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83"/>
        </w:trPr>
        <w:tc>
          <w:tcPr>
            <w:tcW w:w="2960" w:type="dxa"/>
            <w:vAlign w:val="bottom"/>
          </w:tcPr>
          <w:p>
            <w:pPr>
              <w:jc w:val="center"/>
              <w:ind w:right="964"/>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330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6"/>
              </w:rPr>
              <w:t>1-2256</w:t>
            </w:r>
          </w:p>
        </w:tc>
        <w:tc>
          <w:tcPr>
            <w:tcW w:w="2600" w:type="dxa"/>
            <w:vAlign w:val="bottom"/>
          </w:tcPr>
          <w:p>
            <w:pPr>
              <w:jc w:val="center"/>
              <w:ind w:left="1144"/>
              <w:spacing w:after="0"/>
              <w:rPr>
                <w:sz w:val="20"/>
                <w:szCs w:val="20"/>
                <w:color w:val="auto"/>
              </w:rPr>
            </w:pPr>
            <w:r>
              <w:rPr>
                <w:rFonts w:ascii="Times New Roman" w:cs="Times New Roman" w:eastAsia="Times New Roman" w:hAnsi="Times New Roman"/>
                <w:sz w:val="22"/>
                <w:szCs w:val="22"/>
                <w:b w:val="1"/>
                <w:bCs w:val="1"/>
                <w:color w:val="auto"/>
                <w:w w:val="97"/>
              </w:rPr>
              <w:t>13-5409005</w:t>
            </w:r>
          </w:p>
        </w:tc>
      </w:tr>
      <w:tr>
        <w:trPr>
          <w:trHeight w:val="189"/>
        </w:trPr>
        <w:tc>
          <w:tcPr>
            <w:tcW w:w="2960" w:type="dxa"/>
            <w:vAlign w:val="bottom"/>
          </w:tcPr>
          <w:p>
            <w:pPr>
              <w:jc w:val="center"/>
              <w:ind w:right="964"/>
              <w:spacing w:after="0" w:line="18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300" w:type="dxa"/>
            <w:vAlign w:val="bottom"/>
          </w:tcPr>
          <w:p>
            <w:pPr>
              <w:jc w:val="center"/>
              <w:ind w:right="84"/>
              <w:spacing w:after="0" w:line="189" w:lineRule="exact"/>
              <w:rPr>
                <w:sz w:val="20"/>
                <w:szCs w:val="20"/>
                <w:color w:val="auto"/>
              </w:rPr>
            </w:pPr>
            <w:r>
              <w:rPr>
                <w:rFonts w:ascii="Times New Roman" w:cs="Times New Roman" w:eastAsia="Times New Roman" w:hAnsi="Times New Roman"/>
                <w:sz w:val="18"/>
                <w:szCs w:val="18"/>
                <w:color w:val="auto"/>
                <w:w w:val="98"/>
              </w:rPr>
              <w:t>(Commission</w:t>
            </w:r>
          </w:p>
        </w:tc>
        <w:tc>
          <w:tcPr>
            <w:tcW w:w="2600" w:type="dxa"/>
            <w:vAlign w:val="bottom"/>
          </w:tcPr>
          <w:p>
            <w:pPr>
              <w:jc w:val="center"/>
              <w:ind w:left="1144"/>
              <w:spacing w:after="0" w:line="189"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right="964"/>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300" w:type="dxa"/>
            <w:vAlign w:val="bottom"/>
          </w:tcPr>
          <w:p>
            <w:pPr>
              <w:jc w:val="center"/>
              <w:ind w:right="64"/>
              <w:spacing w:after="0"/>
              <w:rPr>
                <w:sz w:val="20"/>
                <w:szCs w:val="20"/>
                <w:color w:val="auto"/>
              </w:rPr>
            </w:pPr>
            <w:r>
              <w:rPr>
                <w:rFonts w:ascii="Times New Roman" w:cs="Times New Roman" w:eastAsia="Times New Roman" w:hAnsi="Times New Roman"/>
                <w:sz w:val="18"/>
                <w:szCs w:val="18"/>
                <w:color w:val="auto"/>
              </w:rPr>
              <w:t>File Number)</w:t>
            </w:r>
          </w:p>
        </w:tc>
        <w:tc>
          <w:tcPr>
            <w:tcW w:w="2600" w:type="dxa"/>
            <w:vAlign w:val="bottom"/>
          </w:tcPr>
          <w:p>
            <w:pPr>
              <w:jc w:val="center"/>
              <w:ind w:left="1164"/>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22777 Springwoods Village Parkway, Spring, Texas 77389-1425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1213485</wp:posOffset>
            </wp:positionH>
            <wp:positionV relativeFrom="paragraph">
              <wp:posOffset>243840</wp:posOffset>
            </wp:positionV>
            <wp:extent cx="4723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1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4140" w:type="dxa"/>
            <w:vAlign w:val="bottom"/>
          </w:tcPr>
          <w:p>
            <w:pPr>
              <w:jc w:val="center"/>
              <w:ind w:left="116"/>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83"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5"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Results of Operations and Financial Condition</w:t>
      </w:r>
    </w:p>
    <w:p>
      <w:pPr>
        <w:spacing w:after="0" w:line="40" w:lineRule="exact"/>
        <w:rPr>
          <w:sz w:val="20"/>
          <w:szCs w:val="20"/>
          <w:color w:val="auto"/>
        </w:rPr>
      </w:pPr>
    </w:p>
    <w:p>
      <w:pPr>
        <w:sectPr>
          <w:pgSz w:w="11900" w:h="16838" w:orient="portrait"/>
          <w:cols w:equalWidth="0" w:num="2">
            <w:col w:w="1100" w:space="720"/>
            <w:col w:w="9360"/>
          </w:cols>
          <w:pgMar w:left="340" w:top="927" w:right="379" w:bottom="1440" w:gutter="0" w:footer="0" w:header="0"/>
        </w:sectPr>
      </w:pPr>
    </w:p>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Regulation FD Disclosure</w:t>
      </w:r>
    </w:p>
    <w:p>
      <w:pPr>
        <w:spacing w:after="0" w:line="38" w:lineRule="exact"/>
        <w:rPr>
          <w:sz w:val="20"/>
          <w:szCs w:val="20"/>
          <w:color w:val="auto"/>
        </w:rPr>
      </w:pPr>
    </w:p>
    <w:p>
      <w:pPr>
        <w:sectPr>
          <w:pgSz w:w="11900" w:h="16838" w:orient="portrait"/>
          <w:cols w:equalWidth="0" w:num="2">
            <w:col w:w="1100" w:space="720"/>
            <w:col w:w="9360"/>
          </w:cols>
          <w:pgMar w:left="340" w:top="927" w:right="37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20"/>
          <w:szCs w:val="20"/>
          <w:color w:val="auto"/>
        </w:rPr>
        <w:t>The following information is furnished pursuant to both Item 2.02 and Item 7.01.</w:t>
      </w:r>
    </w:p>
    <w:p>
      <w:pPr>
        <w:spacing w:after="0" w:line="2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The Registrant hereby furnishes the information set forth in its News Release, dated May 1, 2026, announcing first</w:t>
      </w:r>
    </w:p>
    <w:p>
      <w:pPr>
        <w:ind w:left="1820"/>
        <w:spacing w:after="0" w:line="204" w:lineRule="auto"/>
        <w:rPr>
          <w:sz w:val="20"/>
          <w:szCs w:val="20"/>
          <w:color w:val="auto"/>
        </w:rPr>
      </w:pPr>
      <w:r>
        <w:rPr>
          <w:rFonts w:ascii="Times New Roman" w:cs="Times New Roman" w:eastAsia="Times New Roman" w:hAnsi="Times New Roman"/>
          <w:sz w:val="20"/>
          <w:szCs w:val="20"/>
          <w:color w:val="auto"/>
        </w:rPr>
        <w:t>quarter 2026 results, a copy of which is included as Exhibit 99.1, and furnishes the information in the related 1Q26 Investor Relations Data Summary, a copy of which is included as Exhibit 99.2. Material available by hyperlink from</w:t>
      </w:r>
    </w:p>
    <w:p>
      <w:pPr>
        <w:spacing w:after="0" w:line="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the News Release is not deemed to be furnished herewith or included in this filing.</w:t>
      </w:r>
    </w:p>
    <w:p>
      <w:pPr>
        <w:sectPr>
          <w:pgSz w:w="11900" w:h="16838" w:orient="portrait"/>
          <w:cols w:equalWidth="0" w:num="1">
            <w:col w:w="11180"/>
          </w:cols>
          <w:pgMar w:left="340" w:top="92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27" w:right="379" w:bottom="1440" w:gutter="0" w:footer="0" w:header="0"/>
          <w:type w:val="continuous"/>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6940" w:type="dxa"/>
            <w:vAlign w:val="bottom"/>
          </w:tcPr>
          <w:p>
            <w:pPr>
              <w:spacing w:after="0"/>
              <w:rPr>
                <w:sz w:val="19"/>
                <w:szCs w:val="19"/>
                <w:color w:val="auto"/>
              </w:rPr>
            </w:pPr>
          </w:p>
        </w:tc>
      </w:tr>
      <w:tr>
        <w:trPr>
          <w:trHeight w:val="493"/>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Exxon Mobil Corporation News Release, dated May 1, 2026, announcing first quarter 2026 results.</w:t>
            </w:r>
          </w:p>
        </w:tc>
      </w:tr>
      <w:tr>
        <w:trPr>
          <w:trHeight w:val="493"/>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2</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1Q26 Investor Relations Data Summary.</w:t>
            </w:r>
          </w:p>
        </w:tc>
      </w:tr>
      <w:tr>
        <w:trPr>
          <w:trHeight w:val="53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886" w:right="79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May 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29845</wp:posOffset>
            </wp:positionV>
            <wp:extent cx="3034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86" w:right="699" w:bottom="1440" w:gutter="0" w:footer="0" w:header="0"/>
          <w:type w:val="continuous"/>
        </w:sectPr>
      </w:pPr>
    </w:p>
    <w:p>
      <w:pPr>
        <w:ind w:left="8360"/>
        <w:spacing w:after="0"/>
        <w:rPr>
          <w:sz w:val="20"/>
          <w:szCs w:val="20"/>
          <w:color w:val="auto"/>
        </w:rPr>
      </w:pPr>
      <w:r>
        <w:rPr>
          <w:rFonts w:ascii="Times New Roman" w:cs="Times New Roman" w:eastAsia="Times New Roman" w:hAnsi="Times New Roman"/>
          <w:sz w:val="20"/>
          <w:szCs w:val="20"/>
          <w:color w:val="auto"/>
        </w:rPr>
        <w:t>Len M. Fox</w:t>
      </w:r>
    </w:p>
    <w:p>
      <w:pPr>
        <w:spacing w:after="0" w:line="1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9"/>
          <w:szCs w:val="19"/>
          <w:color w:val="auto"/>
        </w:rPr>
        <w:t>Vice President, Controller and Tax</w:t>
      </w:r>
    </w:p>
    <w:p>
      <w:pPr>
        <w:ind w:left="760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ind w:left="10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wp:posOffset>
            </wp:positionV>
            <wp:extent cx="128587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29"/>
          <w:szCs w:val="29"/>
          <w:b w:val="1"/>
          <w:bCs w:val="1"/>
          <w:color w:val="auto"/>
        </w:rPr>
        <w:t>1Q 2026 Earnings Release</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IMMEDIATE RELEASE</w:t>
            </w:r>
          </w:p>
        </w:tc>
        <w:tc>
          <w:tcPr>
            <w:tcW w:w="492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w w:val="98"/>
              </w:rPr>
              <w:t>May 1, 2026</w:t>
            </w:r>
          </w:p>
        </w:tc>
      </w:tr>
    </w:tbl>
    <w:p>
      <w:pPr>
        <w:spacing w:after="0" w:line="6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C479D"/>
        </w:rPr>
        <w:t>ExxonMobil Announces First-Quarter 2026 Results</w:t>
      </w:r>
    </w:p>
    <w:p>
      <w:pPr>
        <w:spacing w:after="0" w:line="98" w:lineRule="exact"/>
        <w:rPr>
          <w:sz w:val="20"/>
          <w:szCs w:val="20"/>
          <w:color w:val="auto"/>
        </w:rPr>
      </w:pPr>
    </w:p>
    <w:p>
      <w:pPr>
        <w:ind w:left="340" w:hanging="332"/>
        <w:spacing w:after="0" w:line="271"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Delivered first-quarter earnings of $4.2 billion, or $8.8 billion excluding unfavorable estimated timing effects of $3.9 billion and an identified item of $0.7 billion</w:t>
      </w:r>
    </w:p>
    <w:p>
      <w:pPr>
        <w:spacing w:after="0" w:line="20" w:lineRule="exact"/>
        <w:rPr>
          <w:rFonts w:ascii="Arial" w:cs="Arial" w:eastAsia="Arial" w:hAnsi="Arial"/>
          <w:sz w:val="20"/>
          <w:szCs w:val="20"/>
          <w:b w:val="1"/>
          <w:bCs w:val="1"/>
          <w:color w:val="auto"/>
        </w:rPr>
      </w:pPr>
    </w:p>
    <w:p>
      <w:pPr>
        <w:ind w:left="340" w:hanging="332"/>
        <w:spacing w:after="0" w:line="282"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Generated earnings per share of $1.00, or $1.16 excluding the identified item, and $2.09 excluding the identified item and estimated timing effects</w:t>
      </w: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Sustained industry-leading reliability and delivered record production in Guyana</w:t>
      </w:r>
      <w:r>
        <w:rPr>
          <w:rFonts w:ascii="Arial" w:cs="Arial" w:eastAsia="Arial" w:hAnsi="Arial"/>
          <w:sz w:val="25"/>
          <w:szCs w:val="25"/>
          <w:color w:val="auto"/>
          <w:vertAlign w:val="superscript"/>
        </w:rPr>
        <w:t>1</w:t>
      </w:r>
    </w:p>
    <w:p>
      <w:pPr>
        <w:spacing w:after="0" w:line="53"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Achieved first LNG at Golden Pass Train 1, increasing U.S. LNG exports by 5%</w:t>
      </w:r>
    </w:p>
    <w:p>
      <w:pPr>
        <w:spacing w:after="0" w:line="49"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242424"/>
        </w:rPr>
      </w:pPr>
      <w:r>
        <w:rPr>
          <w:rFonts w:ascii="Arial" w:cs="Arial" w:eastAsia="Arial" w:hAnsi="Arial"/>
          <w:sz w:val="20"/>
          <w:szCs w:val="20"/>
          <w:color w:val="auto"/>
        </w:rPr>
        <w:t>Generated a one-year total shareholder return of 48% and shareholder distributions of $9.2 billion</w:t>
      </w:r>
    </w:p>
    <w:p>
      <w:pPr>
        <w:spacing w:after="0" w:line="80" w:lineRule="exact"/>
        <w:rPr>
          <w:rFonts w:ascii="Arial" w:cs="Arial" w:eastAsia="Arial" w:hAnsi="Arial"/>
          <w:sz w:val="20"/>
          <w:szCs w:val="20"/>
          <w:b w:val="1"/>
          <w:bCs w:val="1"/>
          <w:color w:val="242424"/>
        </w:rPr>
      </w:pPr>
    </w:p>
    <w:p>
      <w:pPr>
        <w:ind w:left="340" w:hanging="332"/>
        <w:spacing w:after="0" w:line="286"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Leveraged world-scale supply chain capabilities to optimize the industry's largest and most diverse global portfolio, supporting customers in more than 180 countries</w:t>
      </w:r>
    </w:p>
    <w:p>
      <w:pPr>
        <w:sectPr>
          <w:pgSz w:w="11900" w:h="16838" w:orient="portrait"/>
          <w:cols w:equalWidth="0" w:num="1">
            <w:col w:w="11240"/>
          </w:cols>
          <w:pgMar w:left="320" w:top="692" w:right="339" w:bottom="1440" w:gutter="0" w:footer="0" w:header="0"/>
        </w:sectPr>
      </w:pPr>
    </w:p>
    <w:p>
      <w:pPr>
        <w:spacing w:after="0" w:line="30"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0C479D"/>
        </w:rPr>
        <w:t>Results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30480</wp:posOffset>
            </wp:positionV>
            <wp:extent cx="384048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0480" cy="377190"/>
                    </a:xfrm>
                    <a:prstGeom prst="rect">
                      <a:avLst/>
                    </a:prstGeom>
                    <a:noFill/>
                  </pic:spPr>
                </pic:pic>
              </a:graphicData>
            </a:graphic>
          </wp:anchor>
        </w:drawing>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20"/>
          <w:szCs w:val="20"/>
          <w:i w:val="1"/>
          <w:iCs w:val="1"/>
          <w:color w:val="FFFFFF"/>
        </w:rPr>
        <w:t>Dollars in millions (except per share data)</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(U.S. GAAP)</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Excluding Identified Items (non-GAAP)</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Excluding Identified Items and Estimated Timing Effects (non-GAAP)</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Per Common Share ²</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Excluding Identified Items Per Common Share (non-GAAP) ²</w:t>
      </w:r>
    </w:p>
    <w:p>
      <w:pPr>
        <w:spacing w:after="0" w:line="104" w:lineRule="exact"/>
        <w:rPr>
          <w:sz w:val="20"/>
          <w:szCs w:val="20"/>
          <w:color w:val="auto"/>
        </w:rPr>
      </w:pPr>
    </w:p>
    <w:p>
      <w:pPr>
        <w:ind w:left="540" w:right="140"/>
        <w:spacing w:after="0"/>
        <w:rPr>
          <w:sz w:val="20"/>
          <w:szCs w:val="20"/>
          <w:color w:val="auto"/>
        </w:rPr>
      </w:pPr>
      <w:r>
        <w:rPr>
          <w:rFonts w:ascii="Arial" w:cs="Arial" w:eastAsia="Arial" w:hAnsi="Arial"/>
          <w:sz w:val="18"/>
          <w:szCs w:val="18"/>
          <w:color w:val="auto"/>
        </w:rPr>
        <w:t>Earnings Excluding Identified Items and Estimated Timing Effects Per Common Share (non-GAAP) 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6480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40" w:type="dxa"/>
            <w:vAlign w:val="bottom"/>
            <w:vMerge w:val="restart"/>
            <w:shd w:val="clear" w:color="auto" w:fill="242424"/>
          </w:tcPr>
          <w:p>
            <w:pPr>
              <w:jc w:val="right"/>
              <w:ind w:right="89"/>
              <w:spacing w:after="0"/>
              <w:rPr>
                <w:sz w:val="20"/>
                <w:szCs w:val="20"/>
                <w:color w:val="auto"/>
              </w:rPr>
            </w:pPr>
            <w:r>
              <w:rPr>
                <w:rFonts w:ascii="Arial" w:cs="Arial" w:eastAsia="Arial" w:hAnsi="Arial"/>
                <w:sz w:val="20"/>
                <w:szCs w:val="20"/>
                <w:color w:val="FFFFFF"/>
              </w:rPr>
              <w:t>1Q26</w:t>
            </w:r>
          </w:p>
        </w:tc>
        <w:tc>
          <w:tcPr>
            <w:tcW w:w="820" w:type="dxa"/>
            <w:vAlign w:val="bottom"/>
            <w:vMerge w:val="restart"/>
            <w:shd w:val="clear" w:color="auto" w:fill="0C479D"/>
          </w:tcPr>
          <w:p>
            <w:pPr>
              <w:jc w:val="right"/>
              <w:ind w:right="89"/>
              <w:spacing w:after="0"/>
              <w:rPr>
                <w:sz w:val="20"/>
                <w:szCs w:val="20"/>
                <w:color w:val="auto"/>
              </w:rPr>
            </w:pPr>
            <w:r>
              <w:rPr>
                <w:rFonts w:ascii="Arial" w:cs="Arial" w:eastAsia="Arial" w:hAnsi="Arial"/>
                <w:sz w:val="20"/>
                <w:szCs w:val="20"/>
                <w:color w:val="FFFFFF"/>
              </w:rPr>
              <w:t>4Q25</w:t>
            </w:r>
          </w:p>
        </w:tc>
        <w:tc>
          <w:tcPr>
            <w:tcW w:w="860" w:type="dxa"/>
            <w:vAlign w:val="bottom"/>
            <w:shd w:val="clear" w:color="auto" w:fill="0C479D"/>
          </w:tcPr>
          <w:p>
            <w:pPr>
              <w:jc w:val="center"/>
              <w:spacing w:after="0"/>
              <w:rPr>
                <w:sz w:val="20"/>
                <w:szCs w:val="20"/>
                <w:color w:val="auto"/>
              </w:rPr>
            </w:pPr>
            <w:r>
              <w:rPr>
                <w:rFonts w:ascii="Arial" w:cs="Arial" w:eastAsia="Arial" w:hAnsi="Arial"/>
                <w:sz w:val="18"/>
                <w:szCs w:val="18"/>
                <w:color w:val="FFFFFF"/>
                <w:w w:val="98"/>
              </w:rPr>
              <w:t>Change</w:t>
            </w:r>
          </w:p>
        </w:tc>
        <w:tc>
          <w:tcPr>
            <w:tcW w:w="800" w:type="dxa"/>
            <w:vAlign w:val="bottom"/>
            <w:vMerge w:val="restart"/>
            <w:shd w:val="clear" w:color="auto" w:fill="0C479D"/>
          </w:tcPr>
          <w:p>
            <w:pPr>
              <w:jc w:val="right"/>
              <w:ind w:right="69"/>
              <w:spacing w:after="0"/>
              <w:rPr>
                <w:sz w:val="20"/>
                <w:szCs w:val="20"/>
                <w:color w:val="auto"/>
              </w:rPr>
            </w:pPr>
            <w:r>
              <w:rPr>
                <w:rFonts w:ascii="Arial" w:cs="Arial" w:eastAsia="Arial" w:hAnsi="Arial"/>
                <w:sz w:val="20"/>
                <w:szCs w:val="20"/>
                <w:color w:val="FFFFFF"/>
              </w:rPr>
              <w:t>1Q25</w:t>
            </w:r>
          </w:p>
        </w:tc>
        <w:tc>
          <w:tcPr>
            <w:tcW w:w="840" w:type="dxa"/>
            <w:vAlign w:val="bottom"/>
            <w:shd w:val="clear" w:color="auto" w:fill="0C479D"/>
          </w:tcPr>
          <w:p>
            <w:pPr>
              <w:jc w:val="center"/>
              <w:spacing w:after="0"/>
              <w:rPr>
                <w:sz w:val="20"/>
                <w:szCs w:val="20"/>
                <w:color w:val="auto"/>
              </w:rPr>
            </w:pPr>
            <w:r>
              <w:rPr>
                <w:rFonts w:ascii="Arial" w:cs="Arial" w:eastAsia="Arial" w:hAnsi="Arial"/>
                <w:sz w:val="18"/>
                <w:szCs w:val="18"/>
                <w:color w:val="FFFFFF"/>
                <w:w w:val="98"/>
              </w:rPr>
              <w:t>Change</w:t>
            </w:r>
          </w:p>
        </w:tc>
        <w:tc>
          <w:tcPr>
            <w:tcW w:w="0" w:type="dxa"/>
            <w:vAlign w:val="bottom"/>
          </w:tcPr>
          <w:p>
            <w:pPr>
              <w:spacing w:after="0"/>
              <w:rPr>
                <w:sz w:val="1"/>
                <w:szCs w:val="1"/>
                <w:color w:val="auto"/>
              </w:rPr>
            </w:pPr>
          </w:p>
        </w:tc>
      </w:tr>
      <w:tr>
        <w:trPr>
          <w:trHeight w:val="184"/>
        </w:trPr>
        <w:tc>
          <w:tcPr>
            <w:tcW w:w="840" w:type="dxa"/>
            <w:vAlign w:val="bottom"/>
            <w:vMerge w:val="continue"/>
            <w:shd w:val="clear" w:color="auto" w:fill="242424"/>
          </w:tcPr>
          <w:p>
            <w:pPr>
              <w:spacing w:after="0"/>
              <w:rPr>
                <w:sz w:val="15"/>
                <w:szCs w:val="15"/>
                <w:color w:val="auto"/>
              </w:rPr>
            </w:pPr>
          </w:p>
        </w:tc>
        <w:tc>
          <w:tcPr>
            <w:tcW w:w="820" w:type="dxa"/>
            <w:vAlign w:val="bottom"/>
            <w:vMerge w:val="continue"/>
            <w:shd w:val="clear" w:color="auto" w:fill="0C479D"/>
          </w:tcPr>
          <w:p>
            <w:pPr>
              <w:spacing w:after="0"/>
              <w:rPr>
                <w:sz w:val="15"/>
                <w:szCs w:val="15"/>
                <w:color w:val="auto"/>
              </w:rPr>
            </w:pPr>
          </w:p>
        </w:tc>
        <w:tc>
          <w:tcPr>
            <w:tcW w:w="860" w:type="dxa"/>
            <w:vAlign w:val="bottom"/>
            <w:shd w:val="clear" w:color="auto" w:fill="0C479D"/>
          </w:tcPr>
          <w:p>
            <w:pPr>
              <w:jc w:val="center"/>
              <w:spacing w:after="0" w:line="183" w:lineRule="exact"/>
              <w:rPr>
                <w:sz w:val="20"/>
                <w:szCs w:val="20"/>
                <w:color w:val="auto"/>
              </w:rPr>
            </w:pPr>
            <w:r>
              <w:rPr>
                <w:rFonts w:ascii="Arial" w:cs="Arial" w:eastAsia="Arial" w:hAnsi="Arial"/>
                <w:sz w:val="18"/>
                <w:szCs w:val="18"/>
                <w:color w:val="FFFFFF"/>
                <w:w w:val="99"/>
              </w:rPr>
              <w:t>vs</w:t>
            </w:r>
          </w:p>
        </w:tc>
        <w:tc>
          <w:tcPr>
            <w:tcW w:w="800" w:type="dxa"/>
            <w:vAlign w:val="bottom"/>
            <w:vMerge w:val="continue"/>
            <w:shd w:val="clear" w:color="auto" w:fill="0C479D"/>
          </w:tcPr>
          <w:p>
            <w:pPr>
              <w:spacing w:after="0"/>
              <w:rPr>
                <w:sz w:val="15"/>
                <w:szCs w:val="15"/>
                <w:color w:val="auto"/>
              </w:rPr>
            </w:pPr>
          </w:p>
        </w:tc>
        <w:tc>
          <w:tcPr>
            <w:tcW w:w="840" w:type="dxa"/>
            <w:vAlign w:val="bottom"/>
            <w:shd w:val="clear" w:color="auto" w:fill="0C479D"/>
          </w:tcPr>
          <w:p>
            <w:pPr>
              <w:jc w:val="center"/>
              <w:spacing w:after="0" w:line="183" w:lineRule="exact"/>
              <w:rPr>
                <w:sz w:val="20"/>
                <w:szCs w:val="20"/>
                <w:color w:val="auto"/>
              </w:rPr>
            </w:pPr>
            <w:r>
              <w:rPr>
                <w:rFonts w:ascii="Arial" w:cs="Arial" w:eastAsia="Arial" w:hAnsi="Arial"/>
                <w:sz w:val="18"/>
                <w:szCs w:val="18"/>
                <w:color w:val="FFFFFF"/>
                <w:w w:val="99"/>
              </w:rPr>
              <w:t>vs</w:t>
            </w:r>
          </w:p>
        </w:tc>
        <w:tc>
          <w:tcPr>
            <w:tcW w:w="0" w:type="dxa"/>
            <w:vAlign w:val="bottom"/>
          </w:tcPr>
          <w:p>
            <w:pPr>
              <w:spacing w:after="0"/>
              <w:rPr>
                <w:sz w:val="1"/>
                <w:szCs w:val="1"/>
                <w:color w:val="auto"/>
              </w:rPr>
            </w:pPr>
          </w:p>
        </w:tc>
      </w:tr>
      <w:tr>
        <w:trPr>
          <w:trHeight w:val="235"/>
        </w:trPr>
        <w:tc>
          <w:tcPr>
            <w:tcW w:w="840" w:type="dxa"/>
            <w:vAlign w:val="bottom"/>
            <w:shd w:val="clear" w:color="auto" w:fill="242424"/>
          </w:tcPr>
          <w:p>
            <w:pPr>
              <w:spacing w:after="0"/>
              <w:rPr>
                <w:sz w:val="20"/>
                <w:szCs w:val="20"/>
                <w:color w:val="auto"/>
              </w:rPr>
            </w:pPr>
          </w:p>
        </w:tc>
        <w:tc>
          <w:tcPr>
            <w:tcW w:w="820" w:type="dxa"/>
            <w:vAlign w:val="bottom"/>
            <w:shd w:val="clear" w:color="auto" w:fill="0C479D"/>
          </w:tcPr>
          <w:p>
            <w:pPr>
              <w:spacing w:after="0"/>
              <w:rPr>
                <w:sz w:val="20"/>
                <w:szCs w:val="20"/>
                <w:color w:val="auto"/>
              </w:rPr>
            </w:pPr>
          </w:p>
        </w:tc>
        <w:tc>
          <w:tcPr>
            <w:tcW w:w="860" w:type="dxa"/>
            <w:vAlign w:val="bottom"/>
            <w:shd w:val="clear" w:color="auto" w:fill="0C479D"/>
          </w:tcPr>
          <w:p>
            <w:pPr>
              <w:jc w:val="center"/>
              <w:spacing w:after="0"/>
              <w:rPr>
                <w:sz w:val="20"/>
                <w:szCs w:val="20"/>
                <w:color w:val="auto"/>
              </w:rPr>
            </w:pPr>
            <w:r>
              <w:rPr>
                <w:rFonts w:ascii="Arial" w:cs="Arial" w:eastAsia="Arial" w:hAnsi="Arial"/>
                <w:sz w:val="18"/>
                <w:szCs w:val="18"/>
                <w:color w:val="FFFFFF"/>
                <w:w w:val="99"/>
              </w:rPr>
              <w:t>4Q25</w:t>
            </w:r>
          </w:p>
        </w:tc>
        <w:tc>
          <w:tcPr>
            <w:tcW w:w="800" w:type="dxa"/>
            <w:vAlign w:val="bottom"/>
            <w:shd w:val="clear" w:color="auto" w:fill="0C479D"/>
          </w:tcPr>
          <w:p>
            <w:pPr>
              <w:spacing w:after="0"/>
              <w:rPr>
                <w:sz w:val="20"/>
                <w:szCs w:val="20"/>
                <w:color w:val="auto"/>
              </w:rPr>
            </w:pPr>
          </w:p>
        </w:tc>
        <w:tc>
          <w:tcPr>
            <w:tcW w:w="840" w:type="dxa"/>
            <w:vAlign w:val="bottom"/>
            <w:shd w:val="clear" w:color="auto" w:fill="0C479D"/>
          </w:tcPr>
          <w:p>
            <w:pPr>
              <w:jc w:val="center"/>
              <w:spacing w:after="0"/>
              <w:rPr>
                <w:sz w:val="20"/>
                <w:szCs w:val="20"/>
                <w:color w:val="auto"/>
              </w:rPr>
            </w:pPr>
            <w:r>
              <w:rPr>
                <w:rFonts w:ascii="Arial" w:cs="Arial" w:eastAsia="Arial" w:hAnsi="Arial"/>
                <w:sz w:val="18"/>
                <w:szCs w:val="18"/>
                <w:color w:val="FFFFFF"/>
                <w:w w:val="99"/>
              </w:rPr>
              <w:t>1Q25</w:t>
            </w:r>
          </w:p>
        </w:tc>
        <w:tc>
          <w:tcPr>
            <w:tcW w:w="0" w:type="dxa"/>
            <w:vAlign w:val="bottom"/>
          </w:tcPr>
          <w:p>
            <w:pPr>
              <w:spacing w:after="0"/>
              <w:rPr>
                <w:sz w:val="1"/>
                <w:szCs w:val="1"/>
                <w:color w:val="auto"/>
              </w:rPr>
            </w:pPr>
          </w:p>
        </w:tc>
      </w:tr>
      <w:tr>
        <w:trPr>
          <w:trHeight w:val="247"/>
        </w:trPr>
        <w:tc>
          <w:tcPr>
            <w:tcW w:w="84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4,183</w:t>
            </w:r>
          </w:p>
        </w:tc>
        <w:tc>
          <w:tcPr>
            <w:tcW w:w="820" w:type="dxa"/>
            <w:vAlign w:val="bottom"/>
          </w:tcPr>
          <w:p>
            <w:pPr>
              <w:jc w:val="right"/>
              <w:ind w:right="9"/>
              <w:spacing w:after="0"/>
              <w:rPr>
                <w:sz w:val="20"/>
                <w:szCs w:val="20"/>
                <w:color w:val="auto"/>
              </w:rPr>
            </w:pPr>
            <w:r>
              <w:rPr>
                <w:rFonts w:ascii="Arial" w:cs="Arial" w:eastAsia="Arial" w:hAnsi="Arial"/>
                <w:sz w:val="18"/>
                <w:szCs w:val="18"/>
                <w:color w:val="auto"/>
              </w:rPr>
              <w:t>6,501</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-2,318</w:t>
            </w:r>
          </w:p>
        </w:tc>
        <w:tc>
          <w:tcPr>
            <w:tcW w:w="800" w:type="dxa"/>
            <w:vAlign w:val="bottom"/>
          </w:tcPr>
          <w:p>
            <w:pPr>
              <w:jc w:val="right"/>
              <w:ind w:right="29"/>
              <w:spacing w:after="0"/>
              <w:rPr>
                <w:sz w:val="20"/>
                <w:szCs w:val="20"/>
                <w:color w:val="auto"/>
              </w:rPr>
            </w:pPr>
            <w:r>
              <w:rPr>
                <w:rFonts w:ascii="Arial" w:cs="Arial" w:eastAsia="Arial" w:hAnsi="Arial"/>
                <w:sz w:val="18"/>
                <w:szCs w:val="18"/>
                <w:color w:val="auto"/>
              </w:rPr>
              <w:t>7,713</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-3,530</w:t>
            </w:r>
          </w:p>
        </w:tc>
        <w:tc>
          <w:tcPr>
            <w:tcW w:w="0" w:type="dxa"/>
            <w:vAlign w:val="bottom"/>
          </w:tcPr>
          <w:p>
            <w:pPr>
              <w:spacing w:after="0"/>
              <w:rPr>
                <w:sz w:val="1"/>
                <w:szCs w:val="1"/>
                <w:color w:val="auto"/>
              </w:rPr>
            </w:pPr>
          </w:p>
        </w:tc>
      </w:tr>
      <w:tr>
        <w:trPr>
          <w:trHeight w:val="324"/>
        </w:trPr>
        <w:tc>
          <w:tcPr>
            <w:tcW w:w="84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4,889</w:t>
            </w:r>
          </w:p>
        </w:tc>
        <w:tc>
          <w:tcPr>
            <w:tcW w:w="820" w:type="dxa"/>
            <w:vAlign w:val="bottom"/>
          </w:tcPr>
          <w:p>
            <w:pPr>
              <w:jc w:val="right"/>
              <w:ind w:right="9"/>
              <w:spacing w:after="0"/>
              <w:rPr>
                <w:sz w:val="20"/>
                <w:szCs w:val="20"/>
                <w:color w:val="auto"/>
              </w:rPr>
            </w:pPr>
            <w:r>
              <w:rPr>
                <w:rFonts w:ascii="Arial" w:cs="Arial" w:eastAsia="Arial" w:hAnsi="Arial"/>
                <w:sz w:val="18"/>
                <w:szCs w:val="18"/>
                <w:color w:val="auto"/>
              </w:rPr>
              <w:t>7,256</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-2,367</w:t>
            </w:r>
          </w:p>
        </w:tc>
        <w:tc>
          <w:tcPr>
            <w:tcW w:w="800" w:type="dxa"/>
            <w:vAlign w:val="bottom"/>
          </w:tcPr>
          <w:p>
            <w:pPr>
              <w:jc w:val="right"/>
              <w:ind w:right="29"/>
              <w:spacing w:after="0"/>
              <w:rPr>
                <w:sz w:val="20"/>
                <w:szCs w:val="20"/>
                <w:color w:val="auto"/>
              </w:rPr>
            </w:pPr>
            <w:r>
              <w:rPr>
                <w:rFonts w:ascii="Arial" w:cs="Arial" w:eastAsia="Arial" w:hAnsi="Arial"/>
                <w:sz w:val="18"/>
                <w:szCs w:val="18"/>
                <w:color w:val="auto"/>
              </w:rPr>
              <w:t>7,713</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-2,824</w:t>
            </w:r>
          </w:p>
        </w:tc>
        <w:tc>
          <w:tcPr>
            <w:tcW w:w="0" w:type="dxa"/>
            <w:vAlign w:val="bottom"/>
          </w:tcPr>
          <w:p>
            <w:pPr>
              <w:spacing w:after="0"/>
              <w:rPr>
                <w:sz w:val="1"/>
                <w:szCs w:val="1"/>
                <w:color w:val="auto"/>
              </w:rPr>
            </w:pPr>
          </w:p>
        </w:tc>
      </w:tr>
      <w:tr>
        <w:trPr>
          <w:trHeight w:val="405"/>
        </w:trPr>
        <w:tc>
          <w:tcPr>
            <w:tcW w:w="84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8,772</w:t>
            </w:r>
          </w:p>
        </w:tc>
        <w:tc>
          <w:tcPr>
            <w:tcW w:w="820" w:type="dxa"/>
            <w:vAlign w:val="bottom"/>
          </w:tcPr>
          <w:p>
            <w:pPr>
              <w:jc w:val="right"/>
              <w:ind w:right="9"/>
              <w:spacing w:after="0"/>
              <w:rPr>
                <w:sz w:val="20"/>
                <w:szCs w:val="20"/>
                <w:color w:val="auto"/>
              </w:rPr>
            </w:pPr>
            <w:r>
              <w:rPr>
                <w:rFonts w:ascii="Arial" w:cs="Arial" w:eastAsia="Arial" w:hAnsi="Arial"/>
                <w:sz w:val="18"/>
                <w:szCs w:val="18"/>
                <w:color w:val="auto"/>
              </w:rPr>
              <w:t>6,920</w:t>
            </w:r>
          </w:p>
        </w:tc>
        <w:tc>
          <w:tcPr>
            <w:tcW w:w="860" w:type="dxa"/>
            <w:vAlign w:val="bottom"/>
          </w:tcPr>
          <w:p>
            <w:pPr>
              <w:jc w:val="center"/>
              <w:spacing w:after="0"/>
              <w:rPr>
                <w:sz w:val="20"/>
                <w:szCs w:val="20"/>
                <w:color w:val="auto"/>
              </w:rPr>
            </w:pPr>
            <w:r>
              <w:rPr>
                <w:rFonts w:ascii="Arial" w:cs="Arial" w:eastAsia="Arial" w:hAnsi="Arial"/>
                <w:sz w:val="18"/>
                <w:szCs w:val="18"/>
                <w:color w:val="auto"/>
              </w:rPr>
              <w:t>+1,852</w:t>
            </w:r>
          </w:p>
        </w:tc>
        <w:tc>
          <w:tcPr>
            <w:tcW w:w="800" w:type="dxa"/>
            <w:vAlign w:val="bottom"/>
          </w:tcPr>
          <w:p>
            <w:pPr>
              <w:jc w:val="right"/>
              <w:ind w:right="29"/>
              <w:spacing w:after="0"/>
              <w:rPr>
                <w:sz w:val="20"/>
                <w:szCs w:val="20"/>
                <w:color w:val="auto"/>
              </w:rPr>
            </w:pPr>
            <w:r>
              <w:rPr>
                <w:rFonts w:ascii="Arial" w:cs="Arial" w:eastAsia="Arial" w:hAnsi="Arial"/>
                <w:sz w:val="18"/>
                <w:szCs w:val="18"/>
                <w:color w:val="auto"/>
              </w:rPr>
              <w:t>7,584</w:t>
            </w: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+1,188</w:t>
            </w:r>
          </w:p>
        </w:tc>
        <w:tc>
          <w:tcPr>
            <w:tcW w:w="0" w:type="dxa"/>
            <w:vAlign w:val="bottom"/>
          </w:tcPr>
          <w:p>
            <w:pPr>
              <w:spacing w:after="0"/>
              <w:rPr>
                <w:sz w:val="1"/>
                <w:szCs w:val="1"/>
                <w:color w:val="auto"/>
              </w:rPr>
            </w:pPr>
          </w:p>
        </w:tc>
      </w:tr>
      <w:tr>
        <w:trPr>
          <w:trHeight w:val="392"/>
        </w:trPr>
        <w:tc>
          <w:tcPr>
            <w:tcW w:w="84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1.00</w:t>
            </w:r>
          </w:p>
        </w:tc>
        <w:tc>
          <w:tcPr>
            <w:tcW w:w="820" w:type="dxa"/>
            <w:vAlign w:val="bottom"/>
          </w:tcPr>
          <w:p>
            <w:pPr>
              <w:jc w:val="right"/>
              <w:ind w:right="9"/>
              <w:spacing w:after="0"/>
              <w:rPr>
                <w:sz w:val="20"/>
                <w:szCs w:val="20"/>
                <w:color w:val="auto"/>
              </w:rPr>
            </w:pPr>
            <w:r>
              <w:rPr>
                <w:rFonts w:ascii="Arial" w:cs="Arial" w:eastAsia="Arial" w:hAnsi="Arial"/>
                <w:sz w:val="18"/>
                <w:szCs w:val="18"/>
                <w:color w:val="auto"/>
              </w:rPr>
              <w:t>1.53</w:t>
            </w:r>
          </w:p>
        </w:tc>
        <w:tc>
          <w:tcPr>
            <w:tcW w:w="860" w:type="dxa"/>
            <w:vAlign w:val="bottom"/>
          </w:tcPr>
          <w:p>
            <w:pPr>
              <w:jc w:val="center"/>
              <w:spacing w:after="0"/>
              <w:rPr>
                <w:sz w:val="20"/>
                <w:szCs w:val="20"/>
                <w:color w:val="auto"/>
              </w:rPr>
            </w:pPr>
            <w:r>
              <w:rPr>
                <w:rFonts w:ascii="Arial" w:cs="Arial" w:eastAsia="Arial" w:hAnsi="Arial"/>
                <w:sz w:val="18"/>
                <w:szCs w:val="18"/>
                <w:color w:val="auto"/>
              </w:rPr>
              <w:t>-0.53</w:t>
            </w:r>
          </w:p>
        </w:tc>
        <w:tc>
          <w:tcPr>
            <w:tcW w:w="800" w:type="dxa"/>
            <w:vAlign w:val="bottom"/>
          </w:tcPr>
          <w:p>
            <w:pPr>
              <w:jc w:val="right"/>
              <w:ind w:right="29"/>
              <w:spacing w:after="0"/>
              <w:rPr>
                <w:sz w:val="20"/>
                <w:szCs w:val="20"/>
                <w:color w:val="auto"/>
              </w:rPr>
            </w:pPr>
            <w:r>
              <w:rPr>
                <w:rFonts w:ascii="Arial" w:cs="Arial" w:eastAsia="Arial" w:hAnsi="Arial"/>
                <w:sz w:val="18"/>
                <w:szCs w:val="18"/>
                <w:color w:val="auto"/>
              </w:rPr>
              <w:t>1.76</w:t>
            </w:r>
          </w:p>
        </w:tc>
        <w:tc>
          <w:tcPr>
            <w:tcW w:w="840" w:type="dxa"/>
            <w:vAlign w:val="bottom"/>
          </w:tcPr>
          <w:p>
            <w:pPr>
              <w:jc w:val="center"/>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324"/>
        </w:trPr>
        <w:tc>
          <w:tcPr>
            <w:tcW w:w="84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1.16</w:t>
            </w:r>
          </w:p>
        </w:tc>
        <w:tc>
          <w:tcPr>
            <w:tcW w:w="820" w:type="dxa"/>
            <w:vAlign w:val="bottom"/>
          </w:tcPr>
          <w:p>
            <w:pPr>
              <w:jc w:val="right"/>
              <w:ind w:right="9"/>
              <w:spacing w:after="0"/>
              <w:rPr>
                <w:sz w:val="20"/>
                <w:szCs w:val="20"/>
                <w:color w:val="auto"/>
              </w:rPr>
            </w:pPr>
            <w:r>
              <w:rPr>
                <w:rFonts w:ascii="Arial" w:cs="Arial" w:eastAsia="Arial" w:hAnsi="Arial"/>
                <w:sz w:val="18"/>
                <w:szCs w:val="18"/>
                <w:color w:val="auto"/>
              </w:rPr>
              <w:t>1.71</w:t>
            </w:r>
          </w:p>
        </w:tc>
        <w:tc>
          <w:tcPr>
            <w:tcW w:w="860" w:type="dxa"/>
            <w:vAlign w:val="bottom"/>
          </w:tcPr>
          <w:p>
            <w:pPr>
              <w:jc w:val="center"/>
              <w:spacing w:after="0"/>
              <w:rPr>
                <w:sz w:val="20"/>
                <w:szCs w:val="20"/>
                <w:color w:val="auto"/>
              </w:rPr>
            </w:pPr>
            <w:r>
              <w:rPr>
                <w:rFonts w:ascii="Arial" w:cs="Arial" w:eastAsia="Arial" w:hAnsi="Arial"/>
                <w:sz w:val="18"/>
                <w:szCs w:val="18"/>
                <w:color w:val="auto"/>
              </w:rPr>
              <w:t>-0.55</w:t>
            </w:r>
          </w:p>
        </w:tc>
        <w:tc>
          <w:tcPr>
            <w:tcW w:w="800" w:type="dxa"/>
            <w:vAlign w:val="bottom"/>
          </w:tcPr>
          <w:p>
            <w:pPr>
              <w:jc w:val="right"/>
              <w:ind w:right="29"/>
              <w:spacing w:after="0"/>
              <w:rPr>
                <w:sz w:val="20"/>
                <w:szCs w:val="20"/>
                <w:color w:val="auto"/>
              </w:rPr>
            </w:pPr>
            <w:r>
              <w:rPr>
                <w:rFonts w:ascii="Arial" w:cs="Arial" w:eastAsia="Arial" w:hAnsi="Arial"/>
                <w:sz w:val="18"/>
                <w:szCs w:val="18"/>
                <w:color w:val="auto"/>
              </w:rPr>
              <w:t>1.76</w:t>
            </w:r>
          </w:p>
        </w:tc>
        <w:tc>
          <w:tcPr>
            <w:tcW w:w="840" w:type="dxa"/>
            <w:vAlign w:val="bottom"/>
          </w:tcPr>
          <w:p>
            <w:pPr>
              <w:jc w:val="center"/>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405"/>
        </w:trPr>
        <w:tc>
          <w:tcPr>
            <w:tcW w:w="84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2.09</w:t>
            </w:r>
          </w:p>
        </w:tc>
        <w:tc>
          <w:tcPr>
            <w:tcW w:w="820" w:type="dxa"/>
            <w:vAlign w:val="bottom"/>
          </w:tcPr>
          <w:p>
            <w:pPr>
              <w:jc w:val="right"/>
              <w:ind w:right="9"/>
              <w:spacing w:after="0"/>
              <w:rPr>
                <w:sz w:val="20"/>
                <w:szCs w:val="20"/>
                <w:color w:val="auto"/>
              </w:rPr>
            </w:pPr>
            <w:r>
              <w:rPr>
                <w:rFonts w:ascii="Arial" w:cs="Arial" w:eastAsia="Arial" w:hAnsi="Arial"/>
                <w:sz w:val="18"/>
                <w:szCs w:val="18"/>
                <w:color w:val="auto"/>
              </w:rPr>
              <w:t>1.63</w:t>
            </w:r>
          </w:p>
        </w:tc>
        <w:tc>
          <w:tcPr>
            <w:tcW w:w="860" w:type="dxa"/>
            <w:vAlign w:val="bottom"/>
          </w:tcPr>
          <w:p>
            <w:pPr>
              <w:jc w:val="center"/>
              <w:spacing w:after="0"/>
              <w:rPr>
                <w:sz w:val="20"/>
                <w:szCs w:val="20"/>
                <w:color w:val="auto"/>
              </w:rPr>
            </w:pPr>
            <w:r>
              <w:rPr>
                <w:rFonts w:ascii="Arial" w:cs="Arial" w:eastAsia="Arial" w:hAnsi="Arial"/>
                <w:sz w:val="18"/>
                <w:szCs w:val="18"/>
                <w:color w:val="auto"/>
              </w:rPr>
              <w:t>+0.46</w:t>
            </w:r>
          </w:p>
        </w:tc>
        <w:tc>
          <w:tcPr>
            <w:tcW w:w="800" w:type="dxa"/>
            <w:vAlign w:val="bottom"/>
          </w:tcPr>
          <w:p>
            <w:pPr>
              <w:jc w:val="right"/>
              <w:ind w:right="29"/>
              <w:spacing w:after="0"/>
              <w:rPr>
                <w:sz w:val="20"/>
                <w:szCs w:val="20"/>
                <w:color w:val="auto"/>
              </w:rPr>
            </w:pPr>
            <w:r>
              <w:rPr>
                <w:rFonts w:ascii="Arial" w:cs="Arial" w:eastAsia="Arial" w:hAnsi="Arial"/>
                <w:sz w:val="18"/>
                <w:szCs w:val="18"/>
                <w:color w:val="auto"/>
              </w:rPr>
              <w:t>1.73</w:t>
            </w:r>
          </w:p>
        </w:tc>
        <w:tc>
          <w:tcPr>
            <w:tcW w:w="840" w:type="dxa"/>
            <w:vAlign w:val="bottom"/>
          </w:tcPr>
          <w:p>
            <w:pPr>
              <w:jc w:val="center"/>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04"/>
        </w:trPr>
        <w:tc>
          <w:tcPr>
            <w:tcW w:w="840" w:type="dxa"/>
            <w:vAlign w:val="bottom"/>
            <w:shd w:val="clear" w:color="auto" w:fill="DCDDD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ectPr>
          <w:pgSz w:w="11900" w:h="16838" w:orient="portrait"/>
          <w:cols w:equalWidth="0" w:num="2">
            <w:col w:w="6200" w:space="360"/>
            <w:col w:w="4680"/>
          </w:cols>
          <w:pgMar w:left="320" w:top="692" w:right="339" w:bottom="1440" w:gutter="0" w:footer="0" w:header="0"/>
          <w:type w:val="continuous"/>
        </w:sectPr>
      </w:pPr>
    </w:p>
    <w:p>
      <w:pPr>
        <w:jc w:val="both"/>
        <w:spacing w:after="0" w:line="232" w:lineRule="auto"/>
        <w:rPr>
          <w:sz w:val="20"/>
          <w:szCs w:val="20"/>
          <w:color w:val="auto"/>
        </w:rPr>
      </w:pPr>
      <w:r>
        <w:rPr>
          <w:rFonts w:ascii="Arial" w:cs="Arial" w:eastAsia="Arial" w:hAnsi="Arial"/>
          <w:sz w:val="20"/>
          <w:szCs w:val="20"/>
          <w:b w:val="1"/>
          <w:bCs w:val="1"/>
          <w:color w:val="auto"/>
        </w:rPr>
        <w:t xml:space="preserve">SPRING, Texas – May 1, 2026 </w:t>
      </w:r>
      <w:r>
        <w:rPr>
          <w:rFonts w:ascii="Arial" w:cs="Arial" w:eastAsia="Arial" w:hAnsi="Arial"/>
          <w:sz w:val="20"/>
          <w:szCs w:val="20"/>
          <w:color w:val="auto"/>
        </w:rPr>
        <w:t>– Exxon Mobil Corporation today announced first-quarter 2026 earnings of $4.2 billion, or $1.00</w:t>
      </w:r>
      <w:r>
        <w:rPr>
          <w:rFonts w:ascii="Arial" w:cs="Arial" w:eastAsia="Arial" w:hAnsi="Arial"/>
          <w:sz w:val="20"/>
          <w:szCs w:val="20"/>
          <w:b w:val="1"/>
          <w:bCs w:val="1"/>
          <w:color w:val="auto"/>
        </w:rPr>
        <w:t xml:space="preserve"> </w:t>
      </w:r>
      <w:r>
        <w:rPr>
          <w:rFonts w:ascii="Arial" w:cs="Arial" w:eastAsia="Arial" w:hAnsi="Arial"/>
          <w:sz w:val="20"/>
          <w:szCs w:val="20"/>
          <w:color w:val="auto"/>
        </w:rPr>
        <w:t>per share assuming dilution. Earnings excluding identified items were $4.9 billion, or $1.16 per share. Earnings were $8.8 billion, or $2.09 per share, excluding identified items and unfavorable estimated timing effects that unwind in subsequent periods.</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Cash flow from operating activities was $8.7 billion, or $13.8 billion excluding margin postings, which primarily fluctuate with the fair value of underlying derivatives.</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Shareholder distributions of $9.2 billion included $4.3 billion of dividends and $4.9 billion of share repurchases, consistent with the company's previously announced plans.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quarter demonstrated that ExxonMobil is a fundamentally stronger company than it was just a few years ago, built to perform through disruption and across market cycles. Events in the Middle East tested that strength with the safety of our people remaining our top priority. Those events also underscored the importance of reliable, affordable energy products and the value of the capabilities we have built to deliver them," said Darren Woods, chairman and chief executive officer.</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underlying business delivered strong results, reflecting the benefits of the strategy we have consistently executed since 2018. We have grown advantaged volumes, optimized our operations, reduced structural costs, and strengthened our earnings power. The result is a more resilient, lower-cost business, grounded in advantaged assets, disciplined capital allocation, and execution excellence. That foundation gives us a durable platform to grow earnings, cash flow, and shareholder value through 2030 and beyond."</w:t>
      </w:r>
    </w:p>
    <w:p>
      <w:pPr>
        <w:spacing w:after="0" w:line="201" w:lineRule="exact"/>
        <w:rPr>
          <w:sz w:val="20"/>
          <w:szCs w:val="20"/>
          <w:color w:val="auto"/>
        </w:rPr>
      </w:pPr>
    </w:p>
    <w:p>
      <w:pPr>
        <w:ind w:right="320" w:firstLine="8"/>
        <w:spacing w:after="0" w:line="201" w:lineRule="auto"/>
        <w:tabs>
          <w:tab w:leader="none" w:pos="78" w:val="left"/>
        </w:tabs>
        <w:numPr>
          <w:ilvl w:val="0"/>
          <w:numId w:val="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Guyana 1Q26 FPSO performance is industry-leading in operational availability against Solomon Associates’ most current benchmarking report, dated April 2026. Solomon defines industry-leading as the top two performers.</w:t>
      </w:r>
    </w:p>
    <w:p>
      <w:pPr>
        <w:spacing w:after="0"/>
        <w:rPr>
          <w:rFonts w:ascii="Arial" w:cs="Arial" w:eastAsia="Arial" w:hAnsi="Arial"/>
          <w:sz w:val="18"/>
          <w:szCs w:val="18"/>
          <w:i w:val="1"/>
          <w:iCs w:val="1"/>
          <w:color w:val="auto"/>
          <w:vertAlign w:val="superscript"/>
        </w:rPr>
      </w:pPr>
      <w:r>
        <w:rPr>
          <w:rFonts w:ascii="Arial" w:cs="Arial" w:eastAsia="Arial" w:hAnsi="Arial"/>
          <w:sz w:val="9"/>
          <w:szCs w:val="9"/>
          <w:i w:val="1"/>
          <w:iCs w:val="1"/>
          <w:color w:val="auto"/>
        </w:rPr>
        <w:t xml:space="preserve">2 </w:t>
      </w:r>
      <w:r>
        <w:rPr>
          <w:rFonts w:ascii="Arial" w:cs="Arial" w:eastAsia="Arial" w:hAnsi="Arial"/>
          <w:sz w:val="14"/>
          <w:szCs w:val="14"/>
          <w:i w:val="1"/>
          <w:iCs w:val="1"/>
          <w:color w:val="auto"/>
        </w:rPr>
        <w:t>Assuming dilution.</w:t>
      </w:r>
    </w:p>
    <w:p>
      <w:pPr>
        <w:spacing w:after="0" w:line="14" w:lineRule="exact"/>
        <w:rPr>
          <w:rFonts w:ascii="Arial" w:cs="Arial" w:eastAsia="Arial" w:hAnsi="Arial"/>
          <w:sz w:val="18"/>
          <w:szCs w:val="18"/>
          <w:i w:val="1"/>
          <w:iCs w:val="1"/>
          <w:color w:val="auto"/>
          <w:vertAlign w:val="superscript"/>
        </w:rPr>
      </w:pPr>
    </w:p>
    <w:p>
      <w:pPr>
        <w:ind w:left="80" w:right="140" w:hanging="81"/>
        <w:spacing w:after="0" w:line="232" w:lineRule="auto"/>
        <w:rPr>
          <w:rFonts w:ascii="Arial" w:cs="Arial" w:eastAsia="Arial" w:hAnsi="Arial"/>
          <w:sz w:val="18"/>
          <w:szCs w:val="18"/>
          <w:i w:val="1"/>
          <w:iCs w:val="1"/>
          <w:color w:val="auto"/>
          <w:vertAlign w:val="superscript"/>
        </w:rPr>
      </w:pPr>
      <w:r>
        <w:rPr>
          <w:rFonts w:ascii="Arial" w:cs="Arial" w:eastAsia="Arial" w:hAnsi="Arial"/>
          <w:sz w:val="9"/>
          <w:szCs w:val="9"/>
          <w:i w:val="1"/>
          <w:iCs w:val="1"/>
          <w:color w:val="auto"/>
        </w:rPr>
        <w:t xml:space="preserve">3 </w:t>
      </w:r>
      <w:r>
        <w:rPr>
          <w:rFonts w:ascii="Arial" w:cs="Arial" w:eastAsia="Arial" w:hAnsi="Arial"/>
          <w:sz w:val="14"/>
          <w:szCs w:val="14"/>
          <w:i w:val="1"/>
          <w:iCs w:val="1"/>
          <w:color w:val="auto"/>
        </w:rPr>
        <w:t>Estimated t</w:t>
      </w:r>
      <w:r>
        <w:rPr>
          <w:rFonts w:ascii="Arial" w:cs="Arial" w:eastAsia="Arial" w:hAnsi="Arial"/>
          <w:sz w:val="17"/>
          <w:szCs w:val="17"/>
          <w:i w:val="1"/>
          <w:iCs w:val="1"/>
          <w:color w:val="auto"/>
        </w:rPr>
        <w:t>i</w:t>
      </w:r>
      <w:r>
        <w:rPr>
          <w:rFonts w:ascii="Arial" w:cs="Arial" w:eastAsia="Arial" w:hAnsi="Arial"/>
          <w:sz w:val="14"/>
          <w:szCs w:val="14"/>
          <w:i w:val="1"/>
          <w:iCs w:val="1"/>
          <w:color w:val="auto"/>
        </w:rPr>
        <w:t>ming effects, which unwind in subsequent periods, are primarily related to unsettled derivatives that are required to be marked to current period-end prices (mark-to-market), where the associated physical shipments are not reflected in earnings until the physical transaction is complete. It also includes estimated recognition differences between the settlement of derivatives and their offsetting physical commodity realizations (due to LIFO inventory accounting).</w:t>
      </w:r>
    </w:p>
    <w:p>
      <w:pPr>
        <w:spacing w:after="0" w:line="14" w:lineRule="exact"/>
        <w:rPr>
          <w:sz w:val="20"/>
          <w:szCs w:val="20"/>
          <w:color w:val="auto"/>
        </w:rPr>
      </w:pPr>
    </w:p>
    <w:p>
      <w:pPr>
        <w:ind w:left="80" w:hanging="72"/>
        <w:spacing w:after="0"/>
        <w:tabs>
          <w:tab w:leader="none" w:pos="80" w:val="left"/>
        </w:tabs>
        <w:numPr>
          <w:ilvl w:val="0"/>
          <w:numId w:val="4"/>
        </w:numPr>
        <w:rPr>
          <w:rFonts w:ascii="Arial" w:cs="Arial" w:eastAsia="Arial" w:hAnsi="Arial"/>
          <w:sz w:val="8"/>
          <w:szCs w:val="8"/>
          <w:i w:val="1"/>
          <w:iCs w:val="1"/>
          <w:color w:val="auto"/>
        </w:rPr>
      </w:pPr>
      <w:r>
        <w:rPr>
          <w:rFonts w:ascii="Arial" w:cs="Arial" w:eastAsia="Arial" w:hAnsi="Arial"/>
          <w:sz w:val="14"/>
          <w:szCs w:val="14"/>
          <w:i w:val="1"/>
          <w:iCs w:val="1"/>
          <w:color w:val="auto"/>
        </w:rPr>
        <w:t>Margin postings refer to cash collateral posted in support of derivative positions on regulated futures exchanges like ICE and CME.</w:t>
      </w:r>
    </w:p>
    <w:p>
      <w:pPr>
        <w:sectPr>
          <w:pgSz w:w="11900" w:h="16838" w:orient="portrait"/>
          <w:cols w:equalWidth="0" w:num="1">
            <w:col w:w="11240"/>
          </w:cols>
          <w:pgMar w:left="320" w:top="692" w:right="339" w:bottom="1440" w:gutter="0" w:footer="0" w:header="0"/>
          <w:type w:val="continuous"/>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692" w:right="339" w:bottom="1440" w:gutter="0" w:footer="0" w:header="0"/>
          <w:type w:val="continuous"/>
        </w:sectPr>
      </w:pPr>
    </w:p>
    <w:bookmarkStart w:id="5" w:name="page6"/>
    <w:bookmarkEnd w:id="5"/>
    <w:p>
      <w:pPr>
        <w:ind w:left="597"/>
        <w:spacing w:after="0"/>
        <w:rPr>
          <w:sz w:val="20"/>
          <w:szCs w:val="20"/>
          <w:color w:val="auto"/>
        </w:rPr>
      </w:pPr>
      <w:r>
        <w:rPr>
          <w:rFonts w:ascii="Arial" w:cs="Arial" w:eastAsia="Arial" w:hAnsi="Arial"/>
          <w:sz w:val="25"/>
          <w:szCs w:val="25"/>
          <w:b w:val="1"/>
          <w:bCs w:val="1"/>
          <w:color w:val="0C479D"/>
        </w:rPr>
        <w:t>1Q25 to 1Q26 Earnings Driver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81915</wp:posOffset>
            </wp:positionV>
            <wp:extent cx="6480810" cy="2082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081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17"/>
        <w:spacing w:after="0"/>
        <w:rPr>
          <w:sz w:val="20"/>
          <w:szCs w:val="20"/>
          <w:color w:val="auto"/>
        </w:rPr>
      </w:pPr>
      <w:r>
        <w:rPr>
          <w:rFonts w:ascii="Arial" w:cs="Arial" w:eastAsia="Arial" w:hAnsi="Arial"/>
          <w:sz w:val="25"/>
          <w:szCs w:val="25"/>
          <w:b w:val="1"/>
          <w:bCs w:val="1"/>
          <w:color w:val="0C479D"/>
        </w:rPr>
        <w:t>YE25 Cash (U.S. GAAP) to 1Q26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81915</wp:posOffset>
            </wp:positionV>
            <wp:extent cx="6480810" cy="1208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7"/>
        <w:spacing w:after="0"/>
        <w:rPr>
          <w:sz w:val="20"/>
          <w:szCs w:val="20"/>
          <w:color w:val="auto"/>
        </w:rPr>
      </w:pPr>
      <w:r>
        <w:rPr>
          <w:rFonts w:ascii="Arial" w:cs="Arial" w:eastAsia="Arial" w:hAnsi="Arial"/>
          <w:sz w:val="25"/>
          <w:szCs w:val="25"/>
          <w:b w:val="1"/>
          <w:bCs w:val="1"/>
          <w:color w:val="0C479D"/>
        </w:rPr>
        <w:t>Financial Highlights</w:t>
      </w:r>
    </w:p>
    <w:p>
      <w:pPr>
        <w:spacing w:after="0" w:line="30" w:lineRule="exact"/>
        <w:rPr>
          <w:sz w:val="20"/>
          <w:szCs w:val="20"/>
          <w:color w:val="auto"/>
        </w:rPr>
      </w:pPr>
    </w:p>
    <w:p>
      <w:pPr>
        <w:jc w:val="both"/>
        <w:ind w:left="317" w:hanging="317"/>
        <w:spacing w:after="0" w:line="249" w:lineRule="auto"/>
        <w:tabs>
          <w:tab w:leader="none" w:pos="305" w:val="left"/>
        </w:tabs>
        <w:numPr>
          <w:ilvl w:val="0"/>
          <w:numId w:val="5"/>
        </w:numPr>
        <w:rPr>
          <w:rFonts w:ascii="Arial" w:cs="Arial" w:eastAsia="Arial" w:hAnsi="Arial"/>
          <w:sz w:val="20"/>
          <w:szCs w:val="20"/>
          <w:b w:val="1"/>
          <w:bCs w:val="1"/>
          <w:color w:val="242424"/>
        </w:rPr>
      </w:pPr>
      <w:r>
        <w:rPr>
          <w:rFonts w:ascii="Arial" w:cs="Arial" w:eastAsia="Arial" w:hAnsi="Arial"/>
          <w:sz w:val="20"/>
          <w:szCs w:val="20"/>
          <w:color w:val="auto"/>
        </w:rPr>
        <w:t>First-quarter earnings were $4.2 billion compared to $7.7 billion in the first quarter of 2025. Earnings excluding identified items and estimated timing effects were $8.8 billion versus $7.6 billion in the same period last year. Identified items of $0.7 billion reflect losses on settled financial hedges that were not offset by the associated physical shipments due to Middle East supply disruptions. Unfavorable estimated timing effects of $3.9 billion reflect the mismatch between the valuation of financial derivatives and the associated physical transactions, resulting in a timing difference in earnings that unwinds in subsequent periods. These timing effects were primarily driven by unsettled derivatives that are required to be marked to current period-end prices, where the associated physical shipments are not reflected in earnings until completion of the physical transactions. Higher prices and margins, advantaged volume growth, and structural cost savings were partly offset by higher expenses from advantaged investments and Middle East volume impacts.</w:t>
      </w:r>
    </w:p>
    <w:p>
      <w:pPr>
        <w:spacing w:after="0" w:line="8" w:lineRule="exact"/>
        <w:rPr>
          <w:rFonts w:ascii="Arial" w:cs="Arial" w:eastAsia="Arial" w:hAnsi="Arial"/>
          <w:sz w:val="20"/>
          <w:szCs w:val="20"/>
          <w:b w:val="1"/>
          <w:bCs w:val="1"/>
          <w:color w:val="242424"/>
        </w:rPr>
      </w:pPr>
    </w:p>
    <w:p>
      <w:pPr>
        <w:ind w:left="317" w:hanging="317"/>
        <w:spacing w:after="0" w:line="259" w:lineRule="auto"/>
        <w:tabs>
          <w:tab w:leader="none" w:pos="305" w:val="left"/>
        </w:tabs>
        <w:numPr>
          <w:ilvl w:val="0"/>
          <w:numId w:val="5"/>
        </w:numPr>
        <w:rPr>
          <w:rFonts w:ascii="Arial" w:cs="Arial" w:eastAsia="Arial" w:hAnsi="Arial"/>
          <w:sz w:val="20"/>
          <w:szCs w:val="20"/>
          <w:b w:val="1"/>
          <w:bCs w:val="1"/>
          <w:color w:val="242424"/>
        </w:rPr>
      </w:pPr>
      <w:r>
        <w:rPr>
          <w:rFonts w:ascii="Arial" w:cs="Arial" w:eastAsia="Arial" w:hAnsi="Arial"/>
          <w:sz w:val="20"/>
          <w:szCs w:val="20"/>
          <w:color w:val="auto"/>
        </w:rPr>
        <w:t>The company has delivered $15.6 billion in cumulative Structural Cost Savings since 2019, with an additional $0.6 billion achieved during the quarter. Structural Cost Savings are expected to reach $20 billion by 2030.</w:t>
      </w:r>
    </w:p>
    <w:p>
      <w:pPr>
        <w:spacing w:after="0" w:line="3" w:lineRule="exact"/>
        <w:rPr>
          <w:rFonts w:ascii="Arial" w:cs="Arial" w:eastAsia="Arial" w:hAnsi="Arial"/>
          <w:sz w:val="20"/>
          <w:szCs w:val="20"/>
          <w:b w:val="1"/>
          <w:bCs w:val="1"/>
          <w:color w:val="242424"/>
        </w:rPr>
      </w:pPr>
    </w:p>
    <w:p>
      <w:pPr>
        <w:jc w:val="both"/>
        <w:ind w:left="317" w:hanging="317"/>
        <w:spacing w:after="0" w:line="245" w:lineRule="auto"/>
        <w:tabs>
          <w:tab w:leader="none" w:pos="305" w:val="left"/>
        </w:tabs>
        <w:numPr>
          <w:ilvl w:val="0"/>
          <w:numId w:val="5"/>
        </w:numPr>
        <w:rPr>
          <w:rFonts w:ascii="Arial" w:cs="Arial" w:eastAsia="Arial" w:hAnsi="Arial"/>
          <w:sz w:val="20"/>
          <w:szCs w:val="20"/>
          <w:b w:val="1"/>
          <w:bCs w:val="1"/>
          <w:color w:val="242424"/>
        </w:rPr>
      </w:pPr>
      <w:r>
        <w:rPr>
          <w:rFonts w:ascii="Arial" w:cs="Arial" w:eastAsia="Arial" w:hAnsi="Arial"/>
          <w:sz w:val="20"/>
          <w:szCs w:val="20"/>
          <w:color w:val="auto"/>
        </w:rPr>
        <w:t>The company generated cash flow from operations of $8.7 billion, or $13.8 billion excluding margin postings, which primarily fluctuate with the fair value of underlying derivatives, and free cash flow of $2.7 billion. Industry-leading shareholder distributions of $9.2 billion included $4.3 billion of dividends and $4.9 billion of share repurchases, on pace with plans to repurchase $20 billion of shares in 2026, assuming reasonable market conditions. ExxonMobil also delivered industry-leading first quarter total shareholder return (TSR) of 42%.</w:t>
      </w:r>
      <w:r>
        <w:rPr>
          <w:rFonts w:ascii="Arial" w:cs="Arial" w:eastAsia="Arial" w:hAnsi="Arial"/>
          <w:sz w:val="25"/>
          <w:szCs w:val="25"/>
          <w:color w:val="auto"/>
          <w:vertAlign w:val="superscript"/>
        </w:rPr>
        <w:t>1</w:t>
      </w:r>
    </w:p>
    <w:p>
      <w:pPr>
        <w:ind w:left="317" w:hanging="317"/>
        <w:spacing w:after="0" w:line="250" w:lineRule="auto"/>
        <w:tabs>
          <w:tab w:leader="none" w:pos="305" w:val="left"/>
        </w:tabs>
        <w:numPr>
          <w:ilvl w:val="0"/>
          <w:numId w:val="5"/>
        </w:numPr>
        <w:rPr>
          <w:rFonts w:ascii="Arial" w:cs="Arial" w:eastAsia="Arial" w:hAnsi="Arial"/>
          <w:sz w:val="20"/>
          <w:szCs w:val="20"/>
          <w:b w:val="1"/>
          <w:bCs w:val="1"/>
          <w:color w:val="242424"/>
        </w:rPr>
      </w:pPr>
      <w:r>
        <w:rPr>
          <w:rFonts w:ascii="Arial" w:cs="Arial" w:eastAsia="Arial" w:hAnsi="Arial"/>
          <w:sz w:val="20"/>
          <w:szCs w:val="20"/>
          <w:color w:val="auto"/>
        </w:rPr>
        <w:t>The Corporation declared a second-quarter dividend of $1.03 per share, payable on June 10, 2026, to shareholders of record of Common Stock at the close of business on May 15, 2026.</w:t>
      </w:r>
    </w:p>
    <w:p>
      <w:pPr>
        <w:spacing w:after="0" w:line="2" w:lineRule="exact"/>
        <w:rPr>
          <w:rFonts w:ascii="Arial" w:cs="Arial" w:eastAsia="Arial" w:hAnsi="Arial"/>
          <w:sz w:val="20"/>
          <w:szCs w:val="20"/>
          <w:b w:val="1"/>
          <w:bCs w:val="1"/>
          <w:color w:val="242424"/>
        </w:rPr>
      </w:pPr>
    </w:p>
    <w:p>
      <w:pPr>
        <w:ind w:left="317" w:hanging="317"/>
        <w:spacing w:after="0"/>
        <w:tabs>
          <w:tab w:leader="none" w:pos="305" w:val="left"/>
        </w:tabs>
        <w:numPr>
          <w:ilvl w:val="0"/>
          <w:numId w:val="5"/>
        </w:numPr>
        <w:rPr>
          <w:rFonts w:ascii="Arial" w:cs="Arial" w:eastAsia="Arial" w:hAnsi="Arial"/>
          <w:sz w:val="20"/>
          <w:szCs w:val="20"/>
          <w:b w:val="1"/>
          <w:bCs w:val="1"/>
          <w:color w:val="242424"/>
        </w:rPr>
      </w:pPr>
      <w:r>
        <w:rPr>
          <w:rFonts w:ascii="Arial" w:cs="Arial" w:eastAsia="Arial" w:hAnsi="Arial"/>
          <w:sz w:val="20"/>
          <w:szCs w:val="20"/>
          <w:color w:val="auto"/>
        </w:rPr>
        <w:t>The company's industry-leading debt-to-capital and net-debt-to-capital ratios were 15.4% and 13.1%, respectively, with a period-end cash balance of $8.4 billion.</w:t>
      </w:r>
      <w:r>
        <w:rPr>
          <w:rFonts w:ascii="Arial" w:cs="Arial" w:eastAsia="Arial" w:hAnsi="Arial"/>
          <w:sz w:val="25"/>
          <w:szCs w:val="25"/>
          <w:color w:val="auto"/>
          <w:vertAlign w:val="superscript"/>
        </w:rPr>
        <w:t>2</w:t>
      </w:r>
    </w:p>
    <w:p>
      <w:pPr>
        <w:ind w:left="317" w:right="20" w:hanging="317"/>
        <w:spacing w:after="0" w:line="267" w:lineRule="auto"/>
        <w:tabs>
          <w:tab w:leader="none" w:pos="305" w:val="left"/>
        </w:tabs>
        <w:numPr>
          <w:ilvl w:val="0"/>
          <w:numId w:val="5"/>
        </w:numPr>
        <w:rPr>
          <w:rFonts w:ascii="Arial" w:cs="Arial" w:eastAsia="Arial" w:hAnsi="Arial"/>
          <w:sz w:val="20"/>
          <w:szCs w:val="20"/>
          <w:b w:val="1"/>
          <w:bCs w:val="1"/>
          <w:color w:val="242424"/>
        </w:rPr>
      </w:pPr>
      <w:r>
        <w:rPr>
          <w:rFonts w:ascii="Arial" w:cs="Arial" w:eastAsia="Arial" w:hAnsi="Arial"/>
          <w:sz w:val="20"/>
          <w:szCs w:val="20"/>
          <w:color w:val="auto"/>
        </w:rPr>
        <w:t>Cash capital expenditures totaled $6.2 billion, consistent with the company's full-year guidance range of $27-$29 billion, and includes $6.5 billion of additions to property, plant and equipment.</w:t>
      </w:r>
    </w:p>
    <w:p>
      <w:pPr>
        <w:spacing w:after="0" w:line="214" w:lineRule="exact"/>
        <w:rPr>
          <w:sz w:val="20"/>
          <w:szCs w:val="20"/>
          <w:color w:val="auto"/>
        </w:rPr>
      </w:pPr>
    </w:p>
    <w:p>
      <w:pPr>
        <w:ind w:left="137" w:hanging="72"/>
        <w:spacing w:after="0"/>
        <w:tabs>
          <w:tab w:leader="none" w:pos="137"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Shareholder distributions compare IOCs' reported results or Bloomberg consensus as of April 30, 2026. TSR compares to each IOC as of March 31, 2026.</w:t>
      </w:r>
    </w:p>
    <w:p>
      <w:pPr>
        <w:spacing w:after="0" w:line="5" w:lineRule="exact"/>
        <w:rPr>
          <w:sz w:val="20"/>
          <w:szCs w:val="20"/>
          <w:color w:val="auto"/>
        </w:rPr>
      </w:pPr>
    </w:p>
    <w:p>
      <w:pPr>
        <w:ind w:left="137" w:right="80" w:hanging="72"/>
        <w:spacing w:after="0" w:line="228" w:lineRule="auto"/>
        <w:tabs>
          <w:tab w:leader="none" w:pos="134"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debt is total debt of $47.7 billion less $8.4 billion of cash and cash equivalents excluding restricted cash. Net-debt to-capital ratio is net debt divided by the sum of net debt and total equity of $261.0 billion. Period-end cash balance includes cash and cash equivalents including restricted cash. ExxonMobil has lower net debt-to-capital and debt-to-capital than all IOCs. Net debt-to-capital and debt-to-capital are sourced from Bloomberg. Figures are actuals for IOCs that reported results or estimated using Bloomberg consensus as of April 30, 2026.</w:t>
      </w:r>
    </w:p>
    <w:p>
      <w:pPr>
        <w:sectPr>
          <w:pgSz w:w="11900" w:h="16838" w:orient="portrait"/>
          <w:cols w:equalWidth="0" w:num="1">
            <w:col w:w="11297"/>
          </w:cols>
          <w:pgMar w:left="263" w:top="709" w:right="339" w:bottom="1440" w:gutter="0" w:footer="0" w:header="0"/>
        </w:sectPr>
      </w:pPr>
    </w:p>
    <w:p>
      <w:pPr>
        <w:spacing w:after="0" w:line="258"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97"/>
          </w:cols>
          <w:pgMar w:left="263" w:top="709" w:right="339" w:bottom="1440" w:gutter="0" w:footer="0" w:header="0"/>
          <w:type w:val="continuous"/>
        </w:sectPr>
      </w:pPr>
    </w:p>
    <w:bookmarkStart w:id="6" w:name="page7"/>
    <w:bookmarkEnd w:id="6"/>
    <w:p>
      <w:pPr>
        <w:ind w:left="597" w:right="4520"/>
        <w:spacing w:after="0" w:line="300" w:lineRule="auto"/>
        <w:rPr>
          <w:sz w:val="20"/>
          <w:szCs w:val="20"/>
          <w:color w:val="auto"/>
        </w:rPr>
      </w:pPr>
      <w:r>
        <w:rPr>
          <w:rFonts w:ascii="Arial" w:cs="Arial" w:eastAsia="Arial" w:hAnsi="Arial"/>
          <w:sz w:val="25"/>
          <w:szCs w:val="25"/>
          <w:b w:val="1"/>
          <w:bCs w:val="1"/>
          <w:color w:val="0C479D"/>
        </w:rPr>
        <w:drawing>
          <wp:anchor simplePos="0" relativeHeight="251657728" behindDoc="1" locked="0" layoutInCell="0" allowOverlap="1">
            <wp:simplePos x="0" y="0"/>
            <wp:positionH relativeFrom="page">
              <wp:posOffset>542290</wp:posOffset>
            </wp:positionH>
            <wp:positionV relativeFrom="page">
              <wp:posOffset>440055</wp:posOffset>
            </wp:positionV>
            <wp:extent cx="128587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57175"/>
                    </a:xfrm>
                    <a:prstGeom prst="rect">
                      <a:avLst/>
                    </a:prstGeom>
                    <a:noFill/>
                  </pic:spPr>
                </pic:pic>
              </a:graphicData>
            </a:graphic>
          </wp:anchor>
        </w:drawing>
        <w:t>EARNINGS AND VOLUME SUMMARY BY SEGMENT Upstream</w:t>
      </w:r>
    </w:p>
    <w:p>
      <w:pPr>
        <w:spacing w:after="0" w:line="1" w:lineRule="exact"/>
        <w:rPr>
          <w:sz w:val="20"/>
          <w:szCs w:val="20"/>
          <w:color w:val="auto"/>
        </w:rPr>
      </w:pPr>
    </w:p>
    <w:tbl>
      <w:tblPr>
        <w:tblLayout w:type="fixed"/>
        <w:tblInd w:w="577"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ind w:left="380"/>
              <w:spacing w:after="0"/>
              <w:rPr>
                <w:sz w:val="20"/>
                <w:szCs w:val="20"/>
                <w:color w:val="auto"/>
              </w:rPr>
            </w:pPr>
            <w:r>
              <w:rPr>
                <w:rFonts w:ascii="Arial" w:cs="Arial" w:eastAsia="Arial" w:hAnsi="Arial"/>
                <w:sz w:val="20"/>
                <w:szCs w:val="20"/>
                <w:color w:val="FFFFFF"/>
                <w:w w:val="98"/>
              </w:rPr>
              <w:t>1Q26</w:t>
            </w:r>
          </w:p>
        </w:tc>
        <w:tc>
          <w:tcPr>
            <w:tcW w:w="1040" w:type="dxa"/>
            <w:vAlign w:val="bottom"/>
            <w:shd w:val="clear" w:color="auto" w:fill="0C479D"/>
          </w:tcPr>
          <w:p>
            <w:pPr>
              <w:ind w:left="360"/>
              <w:spacing w:after="0"/>
              <w:rPr>
                <w:sz w:val="20"/>
                <w:szCs w:val="20"/>
                <w:color w:val="auto"/>
              </w:rPr>
            </w:pPr>
            <w:r>
              <w:rPr>
                <w:rFonts w:ascii="Arial" w:cs="Arial" w:eastAsia="Arial" w:hAnsi="Arial"/>
                <w:sz w:val="20"/>
                <w:szCs w:val="20"/>
                <w:color w:val="FFFFFF"/>
              </w:rPr>
              <w:t>4Q25</w:t>
            </w:r>
          </w:p>
        </w:tc>
        <w:tc>
          <w:tcPr>
            <w:tcW w:w="700" w:type="dxa"/>
            <w:vAlign w:val="bottom"/>
            <w:shd w:val="clear" w:color="auto" w:fill="0C479D"/>
          </w:tcPr>
          <w:p>
            <w:pPr>
              <w:ind w:left="200"/>
              <w:spacing w:after="0"/>
              <w:rPr>
                <w:sz w:val="20"/>
                <w:szCs w:val="20"/>
                <w:color w:val="auto"/>
              </w:rPr>
            </w:pPr>
            <w:r>
              <w:rPr>
                <w:rFonts w:ascii="Arial" w:cs="Arial" w:eastAsia="Arial" w:hAnsi="Arial"/>
                <w:sz w:val="20"/>
                <w:szCs w:val="20"/>
                <w:color w:val="FFFFFF"/>
                <w:w w:val="98"/>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40" w:type="dxa"/>
            <w:vAlign w:val="bottom"/>
            <w:shd w:val="clear" w:color="auto" w:fill="0C479D"/>
          </w:tcPr>
          <w:p>
            <w:pPr>
              <w:spacing w:after="0"/>
              <w:rPr>
                <w:sz w:val="10"/>
                <w:szCs w:val="10"/>
                <w:color w:val="auto"/>
              </w:rPr>
            </w:pPr>
          </w:p>
        </w:tc>
        <w:tc>
          <w:tcPr>
            <w:tcW w:w="700" w:type="dxa"/>
            <w:vAlign w:val="bottom"/>
            <w:shd w:val="clear" w:color="auto" w:fill="0C479D"/>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0</wp:posOffset>
            </wp:positionV>
            <wp:extent cx="55753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530" cy="342900"/>
                    </a:xfrm>
                    <a:prstGeom prst="rect">
                      <a:avLst/>
                    </a:prstGeom>
                    <a:noFill/>
                  </pic:spPr>
                </pic:pic>
              </a:graphicData>
            </a:graphic>
          </wp:anchor>
        </w:drawing>
      </w:r>
    </w:p>
    <w:p>
      <w:pPr>
        <w:ind w:left="597"/>
        <w:spacing w:after="0"/>
        <w:rPr>
          <w:sz w:val="20"/>
          <w:szCs w:val="20"/>
          <w:color w:val="auto"/>
        </w:rPr>
      </w:pPr>
      <w:r>
        <w:rPr>
          <w:rFonts w:ascii="Arial" w:cs="Arial" w:eastAsia="Arial" w:hAnsi="Arial"/>
          <w:sz w:val="22"/>
          <w:szCs w:val="22"/>
          <w:b w:val="1"/>
          <w:bCs w:val="1"/>
          <w:color w:val="auto"/>
        </w:rPr>
        <w:t>Earnings/(Loss) (U.S. GAAP)</w:t>
      </w:r>
    </w:p>
    <w:p>
      <w:pPr>
        <w:spacing w:after="0" w:line="17" w:lineRule="exact"/>
        <w:rPr>
          <w:sz w:val="20"/>
          <w:szCs w:val="20"/>
          <w:color w:val="auto"/>
        </w:rPr>
      </w:pPr>
    </w:p>
    <w:tbl>
      <w:tblPr>
        <w:tblLayout w:type="fixed"/>
        <w:tblInd w:w="577" w:type="dxa"/>
        <w:tblCellMar>
          <w:top w:w="0" w:type="dxa"/>
          <w:left w:w="0" w:type="dxa"/>
          <w:bottom w:w="0" w:type="dxa"/>
          <w:right w:w="0" w:type="dxa"/>
        </w:tblCellMar>
      </w:tblPr>
      <w:tr>
        <w:trPr>
          <w:trHeight w:val="250"/>
        </w:trPr>
        <w:tc>
          <w:tcPr>
            <w:tcW w:w="7580" w:type="dxa"/>
            <w:vAlign w:val="bottom"/>
            <w:tcBorders>
              <w:top w:val="single" w:sz="8" w:color="0C479D"/>
            </w:tcBorders>
          </w:tcPr>
          <w:p>
            <w:pPr>
              <w:ind w:left="240"/>
              <w:spacing w:after="0"/>
              <w:rPr>
                <w:sz w:val="20"/>
                <w:szCs w:val="20"/>
                <w:color w:val="auto"/>
              </w:rPr>
            </w:pPr>
            <w:r>
              <w:rPr>
                <w:rFonts w:ascii="Arial" w:cs="Arial" w:eastAsia="Arial" w:hAnsi="Arial"/>
                <w:sz w:val="20"/>
                <w:szCs w:val="20"/>
                <w:color w:val="auto"/>
              </w:rPr>
              <w:t>United States</w:t>
            </w:r>
          </w:p>
        </w:tc>
        <w:tc>
          <w:tcPr>
            <w:tcW w:w="8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1,574</w:t>
            </w:r>
          </w:p>
        </w:tc>
        <w:tc>
          <w:tcPr>
            <w:tcW w:w="1000" w:type="dxa"/>
            <w:vAlign w:val="bottom"/>
            <w:tcBorders>
              <w:top w:val="single" w:sz="8" w:color="0C479D"/>
            </w:tcBorders>
          </w:tcPr>
          <w:p>
            <w:pPr>
              <w:jc w:val="right"/>
              <w:ind w:right="81"/>
              <w:spacing w:after="0"/>
              <w:rPr>
                <w:sz w:val="20"/>
                <w:szCs w:val="20"/>
                <w:color w:val="auto"/>
              </w:rPr>
            </w:pPr>
            <w:r>
              <w:rPr>
                <w:rFonts w:ascii="Arial" w:cs="Arial" w:eastAsia="Arial" w:hAnsi="Arial"/>
                <w:sz w:val="20"/>
                <w:szCs w:val="20"/>
                <w:color w:val="auto"/>
              </w:rPr>
              <w:t>753</w:t>
            </w:r>
          </w:p>
        </w:tc>
        <w:tc>
          <w:tcPr>
            <w:tcW w:w="78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1,870</w:t>
            </w:r>
          </w:p>
        </w:tc>
      </w:tr>
      <w:tr>
        <w:trPr>
          <w:trHeight w:val="260"/>
        </w:trPr>
        <w:tc>
          <w:tcPr>
            <w:tcW w:w="7580" w:type="dxa"/>
            <w:vAlign w:val="bottom"/>
          </w:tcPr>
          <w:p>
            <w:pPr>
              <w:ind w:left="240"/>
              <w:spacing w:after="0"/>
              <w:rPr>
                <w:sz w:val="20"/>
                <w:szCs w:val="20"/>
                <w:color w:val="auto"/>
              </w:rPr>
            </w:pPr>
            <w:r>
              <w:rPr>
                <w:rFonts w:ascii="Arial" w:cs="Arial" w:eastAsia="Arial" w:hAnsi="Arial"/>
                <w:sz w:val="20"/>
                <w:szCs w:val="20"/>
                <w:color w:val="auto"/>
              </w:rPr>
              <w:t>Non-U.S.</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4,163</w:t>
            </w:r>
          </w:p>
        </w:tc>
        <w:tc>
          <w:tcPr>
            <w:tcW w:w="100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color w:val="auto"/>
              </w:rPr>
              <w:t>2,764</w:t>
            </w:r>
          </w:p>
        </w:tc>
        <w:tc>
          <w:tcPr>
            <w:tcW w:w="780" w:type="dxa"/>
            <w:vAlign w:val="bottom"/>
          </w:tcPr>
          <w:p>
            <w:pPr>
              <w:jc w:val="right"/>
              <w:spacing w:after="0"/>
              <w:rPr>
                <w:sz w:val="20"/>
                <w:szCs w:val="20"/>
                <w:color w:val="auto"/>
              </w:rPr>
            </w:pPr>
            <w:r>
              <w:rPr>
                <w:rFonts w:ascii="Arial" w:cs="Arial" w:eastAsia="Arial" w:hAnsi="Arial"/>
                <w:sz w:val="20"/>
                <w:szCs w:val="20"/>
                <w:color w:val="auto"/>
              </w:rPr>
              <w:t>4,886</w:t>
            </w:r>
          </w:p>
        </w:tc>
      </w:tr>
      <w:tr>
        <w:trPr>
          <w:trHeight w:val="280"/>
        </w:trPr>
        <w:tc>
          <w:tcPr>
            <w:tcW w:w="7580" w:type="dxa"/>
            <w:vAlign w:val="bottom"/>
          </w:tcPr>
          <w:p>
            <w:pPr>
              <w:ind w:left="320"/>
              <w:spacing w:after="0"/>
              <w:rPr>
                <w:sz w:val="20"/>
                <w:szCs w:val="20"/>
                <w:color w:val="auto"/>
              </w:rPr>
            </w:pPr>
            <w:r>
              <w:rPr>
                <w:rFonts w:ascii="Arial" w:cs="Arial" w:eastAsia="Arial" w:hAnsi="Arial"/>
                <w:sz w:val="20"/>
                <w:szCs w:val="20"/>
                <w:b w:val="1"/>
                <w:bCs w:val="1"/>
                <w:color w:val="auto"/>
              </w:rPr>
              <w:t>Worldwide</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5,737</w:t>
            </w:r>
          </w:p>
        </w:tc>
        <w:tc>
          <w:tcPr>
            <w:tcW w:w="100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b w:val="1"/>
                <w:bCs w:val="1"/>
                <w:color w:val="auto"/>
              </w:rPr>
              <w:t>3,517</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6,756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0</wp:posOffset>
            </wp:positionV>
            <wp:extent cx="648081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720090"/>
                    </a:xfrm>
                    <a:prstGeom prst="rect">
                      <a:avLst/>
                    </a:prstGeom>
                    <a:noFill/>
                  </pic:spPr>
                </pic:pic>
              </a:graphicData>
            </a:graphic>
          </wp:anchor>
        </w:drawing>
      </w:r>
    </w:p>
    <w:p>
      <w:pPr>
        <w:spacing w:after="0" w:line="19" w:lineRule="exact"/>
        <w:rPr>
          <w:sz w:val="20"/>
          <w:szCs w:val="20"/>
          <w:color w:val="auto"/>
        </w:rPr>
      </w:pPr>
    </w:p>
    <w:p>
      <w:pPr>
        <w:ind w:left="597"/>
        <w:spacing w:after="0"/>
        <w:rPr>
          <w:sz w:val="20"/>
          <w:szCs w:val="20"/>
          <w:color w:val="auto"/>
        </w:rPr>
      </w:pPr>
      <w:r>
        <w:rPr>
          <w:rFonts w:ascii="Arial" w:cs="Arial" w:eastAsia="Arial" w:hAnsi="Arial"/>
          <w:sz w:val="22"/>
          <w:szCs w:val="22"/>
          <w:b w:val="1"/>
          <w:bCs w:val="1"/>
          <w:color w:val="auto"/>
        </w:rPr>
        <w:t>Earnings/(Loss) Excluding Identified Items (non-GAAP)</w:t>
      </w:r>
    </w:p>
    <w:p>
      <w:pPr>
        <w:sectPr>
          <w:pgSz w:w="11900" w:h="16838" w:orient="portrait"/>
          <w:cols w:equalWidth="0" w:num="1">
            <w:col w:w="11297"/>
          </w:cols>
          <w:pgMar w:left="263" w:top="1222" w:right="339" w:bottom="1440" w:gutter="0" w:footer="0" w:header="0"/>
        </w:sectPr>
      </w:pPr>
    </w:p>
    <w:p>
      <w:pPr>
        <w:spacing w:after="0" w:line="45" w:lineRule="exact"/>
        <w:rPr>
          <w:sz w:val="20"/>
          <w:szCs w:val="20"/>
          <w:color w:val="auto"/>
        </w:rPr>
      </w:pPr>
    </w:p>
    <w:p>
      <w:pPr>
        <w:ind w:left="817"/>
        <w:spacing w:after="0"/>
        <w:rPr>
          <w:sz w:val="20"/>
          <w:szCs w:val="20"/>
          <w:color w:val="auto"/>
        </w:rPr>
      </w:pPr>
      <w:r>
        <w:rPr>
          <w:rFonts w:ascii="Arial" w:cs="Arial" w:eastAsia="Arial" w:hAnsi="Arial"/>
          <w:sz w:val="20"/>
          <w:szCs w:val="20"/>
          <w:color w:val="auto"/>
        </w:rPr>
        <w:t>United States</w:t>
      </w:r>
    </w:p>
    <w:p>
      <w:pPr>
        <w:spacing w:after="0" w:line="24" w:lineRule="exact"/>
        <w:rPr>
          <w:sz w:val="20"/>
          <w:szCs w:val="20"/>
          <w:color w:val="auto"/>
        </w:rPr>
      </w:pPr>
    </w:p>
    <w:p>
      <w:pPr>
        <w:ind w:left="817"/>
        <w:spacing w:after="0"/>
        <w:rPr>
          <w:sz w:val="20"/>
          <w:szCs w:val="20"/>
          <w:color w:val="auto"/>
        </w:rPr>
      </w:pPr>
      <w:r>
        <w:rPr>
          <w:rFonts w:ascii="Arial" w:cs="Arial" w:eastAsia="Arial" w:hAnsi="Arial"/>
          <w:sz w:val="20"/>
          <w:szCs w:val="20"/>
          <w:color w:val="auto"/>
        </w:rPr>
        <w:t>Non-U.S.</w:t>
      </w:r>
    </w:p>
    <w:p>
      <w:pPr>
        <w:spacing w:after="0" w:line="33" w:lineRule="exact"/>
        <w:rPr>
          <w:sz w:val="20"/>
          <w:szCs w:val="20"/>
          <w:color w:val="auto"/>
        </w:rPr>
      </w:pPr>
    </w:p>
    <w:p>
      <w:pPr>
        <w:ind w:left="917"/>
        <w:spacing w:after="0"/>
        <w:rPr>
          <w:sz w:val="20"/>
          <w:szCs w:val="20"/>
          <w:color w:val="auto"/>
        </w:rPr>
      </w:pPr>
      <w:r>
        <w:rPr>
          <w:rFonts w:ascii="Arial" w:cs="Arial" w:eastAsia="Arial" w:hAnsi="Arial"/>
          <w:sz w:val="20"/>
          <w:szCs w:val="20"/>
          <w:b w:val="1"/>
          <w:bCs w:val="1"/>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31750</wp:posOffset>
            </wp:positionV>
            <wp:extent cx="648081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548640"/>
                    </a:xfrm>
                    <a:prstGeom prst="rect">
                      <a:avLst/>
                    </a:prstGeom>
                    <a:noFill/>
                  </pic:spPr>
                </pic:pic>
              </a:graphicData>
            </a:graphic>
          </wp:anchor>
        </w:drawing>
      </w:r>
    </w:p>
    <w:p>
      <w:pPr>
        <w:spacing w:after="0" w:line="69" w:lineRule="exact"/>
        <w:rPr>
          <w:sz w:val="20"/>
          <w:szCs w:val="20"/>
          <w:color w:val="auto"/>
        </w:rPr>
      </w:pPr>
    </w:p>
    <w:p>
      <w:pPr>
        <w:ind w:left="597"/>
        <w:spacing w:after="0" w:line="247" w:lineRule="auto"/>
        <w:rPr>
          <w:sz w:val="20"/>
          <w:szCs w:val="20"/>
          <w:color w:val="auto"/>
        </w:rPr>
      </w:pPr>
      <w:r>
        <w:rPr>
          <w:rFonts w:ascii="Arial" w:cs="Arial" w:eastAsia="Arial" w:hAnsi="Arial"/>
          <w:sz w:val="22"/>
          <w:szCs w:val="22"/>
          <w:b w:val="1"/>
          <w:bCs w:val="1"/>
          <w:color w:val="auto"/>
        </w:rPr>
        <w:t>Earnings/(Loss) Excluding Identified Items and Estimated Timing Effects (non-GAAP)</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860" w:val="left"/>
          <w:tab w:leader="none" w:pos="1740" w:val="left"/>
        </w:tabs>
        <w:rPr>
          <w:sz w:val="20"/>
          <w:szCs w:val="20"/>
          <w:color w:val="auto"/>
        </w:rPr>
      </w:pPr>
      <w:r>
        <w:rPr>
          <w:rFonts w:ascii="Arial" w:cs="Arial" w:eastAsia="Arial" w:hAnsi="Arial"/>
          <w:sz w:val="20"/>
          <w:szCs w:val="20"/>
          <w:color w:val="auto"/>
        </w:rPr>
        <w:t>1,574</w:t>
      </w:r>
      <w:r>
        <w:rPr>
          <w:sz w:val="20"/>
          <w:szCs w:val="20"/>
          <w:color w:val="auto"/>
        </w:rPr>
        <w:tab/>
      </w:r>
      <w:r>
        <w:rPr>
          <w:rFonts w:ascii="Arial" w:cs="Arial" w:eastAsia="Arial" w:hAnsi="Arial"/>
          <w:sz w:val="20"/>
          <w:szCs w:val="20"/>
          <w:color w:val="auto"/>
        </w:rPr>
        <w:t>1,224</w:t>
      </w:r>
      <w:r>
        <w:rPr>
          <w:sz w:val="20"/>
          <w:szCs w:val="20"/>
          <w:color w:val="auto"/>
        </w:rPr>
        <w:tab/>
      </w:r>
      <w:r>
        <w:rPr>
          <w:rFonts w:ascii="Arial" w:cs="Arial" w:eastAsia="Arial" w:hAnsi="Arial"/>
          <w:sz w:val="19"/>
          <w:szCs w:val="19"/>
          <w:color w:val="auto"/>
        </w:rPr>
        <w:t>1,870</w:t>
      </w:r>
    </w:p>
    <w:p>
      <w:pPr>
        <w:spacing w:after="0" w:line="24" w:lineRule="exact"/>
        <w:rPr>
          <w:sz w:val="20"/>
          <w:szCs w:val="20"/>
          <w:color w:val="auto"/>
        </w:rPr>
      </w:pPr>
    </w:p>
    <w:p>
      <w:pPr>
        <w:spacing w:after="0"/>
        <w:tabs>
          <w:tab w:leader="none" w:pos="860" w:val="left"/>
          <w:tab w:leader="none" w:pos="1740" w:val="left"/>
        </w:tabs>
        <w:rPr>
          <w:sz w:val="20"/>
          <w:szCs w:val="20"/>
          <w:color w:val="auto"/>
        </w:rPr>
      </w:pPr>
      <w:r>
        <w:rPr>
          <w:rFonts w:ascii="Arial" w:cs="Arial" w:eastAsia="Arial" w:hAnsi="Arial"/>
          <w:sz w:val="20"/>
          <w:szCs w:val="20"/>
          <w:color w:val="auto"/>
        </w:rPr>
        <w:t>4,163</w:t>
      </w:r>
      <w:r>
        <w:rPr>
          <w:sz w:val="20"/>
          <w:szCs w:val="20"/>
          <w:color w:val="auto"/>
        </w:rPr>
        <w:tab/>
      </w:r>
      <w:r>
        <w:rPr>
          <w:rFonts w:ascii="Arial" w:cs="Arial" w:eastAsia="Arial" w:hAnsi="Arial"/>
          <w:sz w:val="20"/>
          <w:szCs w:val="20"/>
          <w:color w:val="auto"/>
        </w:rPr>
        <w:t>3,186</w:t>
      </w:r>
      <w:r>
        <w:rPr>
          <w:sz w:val="20"/>
          <w:szCs w:val="20"/>
          <w:color w:val="auto"/>
        </w:rPr>
        <w:tab/>
      </w:r>
      <w:r>
        <w:rPr>
          <w:rFonts w:ascii="Arial" w:cs="Arial" w:eastAsia="Arial" w:hAnsi="Arial"/>
          <w:sz w:val="19"/>
          <w:szCs w:val="19"/>
          <w:color w:val="auto"/>
        </w:rPr>
        <w:t>4,886</w:t>
      </w:r>
    </w:p>
    <w:p>
      <w:pPr>
        <w:spacing w:after="0" w:line="33" w:lineRule="exact"/>
        <w:rPr>
          <w:sz w:val="20"/>
          <w:szCs w:val="20"/>
          <w:color w:val="auto"/>
        </w:rPr>
      </w:pPr>
    </w:p>
    <w:p>
      <w:pPr>
        <w:spacing w:after="0"/>
        <w:tabs>
          <w:tab w:leader="none" w:pos="860" w:val="left"/>
          <w:tab w:leader="none" w:pos="1740" w:val="left"/>
        </w:tabs>
        <w:rPr>
          <w:sz w:val="20"/>
          <w:szCs w:val="20"/>
          <w:color w:val="auto"/>
        </w:rPr>
      </w:pPr>
      <w:r>
        <w:rPr>
          <w:rFonts w:ascii="Arial" w:cs="Arial" w:eastAsia="Arial" w:hAnsi="Arial"/>
          <w:sz w:val="20"/>
          <w:szCs w:val="20"/>
          <w:b w:val="1"/>
          <w:bCs w:val="1"/>
          <w:color w:val="auto"/>
        </w:rPr>
        <w:t>5,737</w:t>
      </w:r>
      <w:r>
        <w:rPr>
          <w:sz w:val="20"/>
          <w:szCs w:val="20"/>
          <w:color w:val="auto"/>
        </w:rPr>
        <w:tab/>
      </w:r>
      <w:r>
        <w:rPr>
          <w:rFonts w:ascii="Arial" w:cs="Arial" w:eastAsia="Arial" w:hAnsi="Arial"/>
          <w:sz w:val="20"/>
          <w:szCs w:val="20"/>
          <w:b w:val="1"/>
          <w:bCs w:val="1"/>
          <w:color w:val="auto"/>
        </w:rPr>
        <w:t>4,410</w:t>
      </w:r>
      <w:r>
        <w:rPr>
          <w:sz w:val="20"/>
          <w:szCs w:val="20"/>
          <w:color w:val="auto"/>
        </w:rPr>
        <w:tab/>
      </w:r>
      <w:r>
        <w:rPr>
          <w:rFonts w:ascii="Arial" w:cs="Arial" w:eastAsia="Arial" w:hAnsi="Arial"/>
          <w:sz w:val="19"/>
          <w:szCs w:val="19"/>
          <w:b w:val="1"/>
          <w:bCs w:val="1"/>
          <w:color w:val="auto"/>
        </w:rPr>
        <w:t>6,756</w:t>
      </w:r>
    </w:p>
    <w:p>
      <w:pPr>
        <w:spacing w:after="0" w:line="202" w:lineRule="exact"/>
        <w:rPr>
          <w:sz w:val="20"/>
          <w:szCs w:val="20"/>
          <w:color w:val="auto"/>
        </w:rPr>
      </w:pPr>
    </w:p>
    <w:p>
      <w:pPr>
        <w:spacing w:after="0"/>
        <w:tabs>
          <w:tab w:leader="none" w:pos="860" w:val="left"/>
          <w:tab w:leader="none" w:pos="1740" w:val="left"/>
        </w:tabs>
        <w:rPr>
          <w:sz w:val="20"/>
          <w:szCs w:val="20"/>
          <w:color w:val="auto"/>
        </w:rPr>
      </w:pPr>
      <w:r>
        <w:rPr>
          <w:rFonts w:ascii="Arial" w:cs="Arial" w:eastAsia="Arial" w:hAnsi="Arial"/>
          <w:sz w:val="20"/>
          <w:szCs w:val="20"/>
          <w:b w:val="1"/>
          <w:bCs w:val="1"/>
          <w:color w:val="auto"/>
        </w:rPr>
        <w:t>6,265</w:t>
      </w:r>
      <w:r>
        <w:rPr>
          <w:sz w:val="20"/>
          <w:szCs w:val="20"/>
          <w:color w:val="auto"/>
        </w:rPr>
        <w:tab/>
      </w:r>
      <w:r>
        <w:rPr>
          <w:rFonts w:ascii="Arial" w:cs="Arial" w:eastAsia="Arial" w:hAnsi="Arial"/>
          <w:sz w:val="20"/>
          <w:szCs w:val="20"/>
          <w:b w:val="1"/>
          <w:bCs w:val="1"/>
          <w:color w:val="auto"/>
        </w:rPr>
        <w:t>4,429</w:t>
      </w:r>
      <w:r>
        <w:rPr>
          <w:sz w:val="20"/>
          <w:szCs w:val="20"/>
          <w:color w:val="auto"/>
        </w:rPr>
        <w:tab/>
      </w:r>
      <w:r>
        <w:rPr>
          <w:rFonts w:ascii="Arial" w:cs="Arial" w:eastAsia="Arial" w:hAnsi="Arial"/>
          <w:sz w:val="19"/>
          <w:szCs w:val="19"/>
          <w:b w:val="1"/>
          <w:bCs w:val="1"/>
          <w:color w:val="auto"/>
        </w:rPr>
        <w:t>6,598</w:t>
      </w:r>
    </w:p>
    <w:p>
      <w:pPr>
        <w:spacing w:after="0" w:line="203" w:lineRule="exact"/>
        <w:rPr>
          <w:sz w:val="20"/>
          <w:szCs w:val="20"/>
          <w:color w:val="auto"/>
        </w:rPr>
      </w:pPr>
    </w:p>
    <w:p>
      <w:pPr>
        <w:sectPr>
          <w:pgSz w:w="11900" w:h="16838" w:orient="portrait"/>
          <w:cols w:equalWidth="0" w:num="2">
            <w:col w:w="8037" w:space="400"/>
            <w:col w:w="2860"/>
          </w:cols>
          <w:pgMar w:left="263" w:top="1222" w:right="339" w:bottom="1440" w:gutter="0" w:footer="0" w:header="0"/>
          <w:type w:val="continuous"/>
        </w:sectPr>
      </w:pPr>
    </w:p>
    <w:tbl>
      <w:tblPr>
        <w:tblLayout w:type="fixed"/>
        <w:tblInd w:w="577" w:type="dxa"/>
        <w:tblCellMar>
          <w:top w:w="0" w:type="dxa"/>
          <w:left w:w="0" w:type="dxa"/>
          <w:bottom w:w="0" w:type="dxa"/>
          <w:right w:w="0" w:type="dxa"/>
        </w:tblCellMar>
      </w:tblPr>
      <w:tr>
        <w:trPr>
          <w:trHeight w:val="272"/>
        </w:trPr>
        <w:tc>
          <w:tcPr>
            <w:tcW w:w="4780" w:type="dxa"/>
            <w:vAlign w:val="bottom"/>
            <w:tcBorders>
              <w:bottom w:val="single" w:sz="8" w:color="0C479D"/>
            </w:tcBorders>
          </w:tcPr>
          <w:p>
            <w:pPr>
              <w:ind w:left="20"/>
              <w:spacing w:after="0"/>
              <w:rPr>
                <w:sz w:val="20"/>
                <w:szCs w:val="20"/>
                <w:color w:val="auto"/>
              </w:rPr>
            </w:pPr>
            <w:r>
              <w:rPr>
                <w:rFonts w:ascii="Arial" w:cs="Arial" w:eastAsia="Arial" w:hAnsi="Arial"/>
                <w:sz w:val="20"/>
                <w:szCs w:val="20"/>
                <w:color w:val="auto"/>
              </w:rPr>
              <w:t>Production (koebd)</w:t>
            </w:r>
          </w:p>
        </w:tc>
        <w:tc>
          <w:tcPr>
            <w:tcW w:w="3760" w:type="dxa"/>
            <w:vAlign w:val="bottom"/>
            <w:tcBorders>
              <w:bottom w:val="single" w:sz="8" w:color="0C479D"/>
            </w:tcBorders>
          </w:tcPr>
          <w:p>
            <w:pPr>
              <w:jc w:val="right"/>
              <w:ind w:right="81"/>
              <w:spacing w:after="0"/>
              <w:rPr>
                <w:sz w:val="20"/>
                <w:szCs w:val="20"/>
                <w:color w:val="auto"/>
              </w:rPr>
            </w:pPr>
            <w:r>
              <w:rPr>
                <w:rFonts w:ascii="Arial" w:cs="Arial" w:eastAsia="Arial" w:hAnsi="Arial"/>
                <w:sz w:val="20"/>
                <w:szCs w:val="20"/>
                <w:color w:val="auto"/>
              </w:rPr>
              <w:t>4,594</w:t>
            </w:r>
          </w:p>
        </w:tc>
        <w:tc>
          <w:tcPr>
            <w:tcW w:w="880" w:type="dxa"/>
            <w:vAlign w:val="bottom"/>
            <w:tcBorders>
              <w:bottom w:val="single" w:sz="8" w:color="0C479D"/>
            </w:tcBorders>
          </w:tcPr>
          <w:p>
            <w:pPr>
              <w:jc w:val="right"/>
              <w:ind w:right="81"/>
              <w:spacing w:after="0"/>
              <w:rPr>
                <w:sz w:val="20"/>
                <w:szCs w:val="20"/>
                <w:color w:val="auto"/>
              </w:rPr>
            </w:pPr>
            <w:r>
              <w:rPr>
                <w:rFonts w:ascii="Arial" w:cs="Arial" w:eastAsia="Arial" w:hAnsi="Arial"/>
                <w:sz w:val="20"/>
                <w:szCs w:val="20"/>
                <w:color w:val="auto"/>
              </w:rPr>
              <w:t>4,988</w:t>
            </w:r>
          </w:p>
        </w:tc>
        <w:tc>
          <w:tcPr>
            <w:tcW w:w="780" w:type="dxa"/>
            <w:vAlign w:val="bottom"/>
            <w:tcBorders>
              <w:bottom w:val="single" w:sz="8" w:color="0C479D"/>
            </w:tcBorders>
          </w:tcPr>
          <w:p>
            <w:pPr>
              <w:jc w:val="right"/>
              <w:spacing w:after="0"/>
              <w:rPr>
                <w:sz w:val="20"/>
                <w:szCs w:val="20"/>
                <w:color w:val="auto"/>
              </w:rPr>
            </w:pPr>
            <w:r>
              <w:rPr>
                <w:rFonts w:ascii="Arial" w:cs="Arial" w:eastAsia="Arial" w:hAnsi="Arial"/>
                <w:sz w:val="20"/>
                <w:szCs w:val="20"/>
                <w:color w:val="auto"/>
              </w:rPr>
              <w:t>4,551</w:t>
            </w:r>
          </w:p>
        </w:tc>
      </w:tr>
    </w:tbl>
    <w:p>
      <w:pPr>
        <w:spacing w:after="0" w:line="194" w:lineRule="exact"/>
        <w:rPr>
          <w:sz w:val="20"/>
          <w:szCs w:val="20"/>
          <w:color w:val="auto"/>
        </w:rPr>
      </w:pPr>
    </w:p>
    <w:p>
      <w:pPr>
        <w:jc w:val="both"/>
        <w:ind w:left="317" w:hanging="317"/>
        <w:spacing w:after="0" w:line="259"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Upstream first-quarter reported earnings were $5.7 billion versus $6.8 billion in the same period last year. Earnings excluding identified items and estimated timing effects of $6.3 billion decreased $0.3 billion from higher depreciation expense and lower base volumes from divestments and operational disruptions in Kazakhstan, partly offset by advantaged volume growth in Guyana and the Permian, and structural cost savings.</w:t>
      </w:r>
    </w:p>
    <w:p>
      <w:pPr>
        <w:spacing w:after="0" w:line="87" w:lineRule="exact"/>
        <w:rPr>
          <w:rFonts w:ascii="Arial" w:cs="Arial" w:eastAsia="Arial" w:hAnsi="Arial"/>
          <w:sz w:val="20"/>
          <w:szCs w:val="20"/>
          <w:b w:val="1"/>
          <w:bCs w:val="1"/>
          <w:color w:val="242424"/>
        </w:rPr>
      </w:pPr>
    </w:p>
    <w:p>
      <w:pPr>
        <w:jc w:val="both"/>
        <w:ind w:left="317" w:hanging="317"/>
        <w:spacing w:after="0" w:line="255"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Compared to the fourth quarter, reported earnings increased $2.2 billion. Earnings excluding identified items and estimated timing effects of $6.3 billion increased $1.8 billion versus the prior quarter. Higher crude and gas realizations were partly offset by lower volumes from Middle East impacts, operational disruptions in Kazakhstan and from U.S. winter storm Fern, and higher depreciation expense.</w:t>
      </w:r>
    </w:p>
    <w:p>
      <w:pPr>
        <w:spacing w:after="0" w:line="89" w:lineRule="exact"/>
        <w:rPr>
          <w:rFonts w:ascii="Arial" w:cs="Arial" w:eastAsia="Arial" w:hAnsi="Arial"/>
          <w:sz w:val="20"/>
          <w:szCs w:val="20"/>
          <w:b w:val="1"/>
          <w:bCs w:val="1"/>
          <w:color w:val="242424"/>
        </w:rPr>
      </w:pPr>
    </w:p>
    <w:p>
      <w:pPr>
        <w:ind w:left="317" w:right="20" w:hanging="317"/>
        <w:spacing w:after="0" w:line="286"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Net production in the first quarter reached 4.6 million oil-equivalent barrels per day, with Guyana setting a new quarterly production record of more than 900 thousand gross barrels of oil per day.</w:t>
      </w:r>
    </w:p>
    <w:p>
      <w:pPr>
        <w:spacing w:after="0" w:line="59" w:lineRule="exact"/>
        <w:rPr>
          <w:rFonts w:ascii="Arial" w:cs="Arial" w:eastAsia="Arial" w:hAnsi="Arial"/>
          <w:sz w:val="20"/>
          <w:szCs w:val="20"/>
          <w:b w:val="1"/>
          <w:bCs w:val="1"/>
          <w:color w:val="242424"/>
        </w:rPr>
      </w:pPr>
    </w:p>
    <w:p>
      <w:pPr>
        <w:ind w:left="317" w:hanging="317"/>
        <w:spacing w:after="0" w:line="286"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At the end of March, Golden Pass LNG, a joint venture between QatarEnergy and ExxonMobil, achieved first production of LNG from Train 1 at its Sabine Pass Terminal, marking a major milestone, increasing U.S. exports by 5% relative to 2025.</w:t>
      </w:r>
    </w:p>
    <w:p>
      <w:pPr>
        <w:spacing w:after="0" w:line="45" w:lineRule="exact"/>
        <w:rPr>
          <w:rFonts w:ascii="Arial" w:cs="Arial" w:eastAsia="Arial" w:hAnsi="Arial"/>
          <w:sz w:val="20"/>
          <w:szCs w:val="20"/>
          <w:b w:val="1"/>
          <w:bCs w:val="1"/>
          <w:color w:val="242424"/>
        </w:rPr>
      </w:pPr>
    </w:p>
    <w:p>
      <w:pPr>
        <w:ind w:left="317" w:right="20" w:hanging="317"/>
        <w:spacing w:after="0" w:line="286" w:lineRule="auto"/>
        <w:tabs>
          <w:tab w:leader="none" w:pos="305" w:val="left"/>
        </w:tabs>
        <w:numPr>
          <w:ilvl w:val="0"/>
          <w:numId w:val="8"/>
        </w:numPr>
        <w:rPr>
          <w:rFonts w:ascii="Arial" w:cs="Arial" w:eastAsia="Arial" w:hAnsi="Arial"/>
          <w:sz w:val="20"/>
          <w:szCs w:val="20"/>
          <w:b w:val="1"/>
          <w:bCs w:val="1"/>
          <w:color w:val="242424"/>
        </w:rPr>
      </w:pPr>
      <w:r>
        <w:rPr>
          <w:rFonts w:ascii="Arial" w:cs="Arial" w:eastAsia="Arial" w:hAnsi="Arial"/>
          <w:sz w:val="20"/>
          <w:szCs w:val="20"/>
          <w:color w:val="auto"/>
        </w:rPr>
        <w:t>Golden Pass LNG also announced the safe and successful loading and departure of its first LNG export cargo from the Golden Pass LNG terminal in April. This achievement marks another major milestone toward full commercial operations.</w:t>
      </w:r>
    </w:p>
    <w:p>
      <w:pPr>
        <w:sectPr>
          <w:pgSz w:w="11900" w:h="16838" w:orient="portrait"/>
          <w:cols w:equalWidth="0" w:num="1">
            <w:col w:w="11297"/>
          </w:cols>
          <w:pgMar w:left="263" w:top="12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97"/>
          </w:cols>
          <w:pgMar w:left="263" w:top="1222" w:right="339" w:bottom="1440" w:gutter="0" w:footer="0" w:header="0"/>
          <w:type w:val="continuous"/>
        </w:sectPr>
      </w:pPr>
    </w:p>
    <w:bookmarkStart w:id="7" w:name="page8"/>
    <w:bookmarkEnd w:id="7"/>
    <w:p>
      <w:pPr>
        <w:ind w:left="597"/>
        <w:spacing w:after="0"/>
        <w:rPr>
          <w:sz w:val="20"/>
          <w:szCs w:val="20"/>
          <w:color w:val="auto"/>
        </w:rPr>
      </w:pPr>
      <w:r>
        <w:rPr>
          <w:rFonts w:ascii="Arial" w:cs="Arial" w:eastAsia="Arial" w:hAnsi="Arial"/>
          <w:sz w:val="25"/>
          <w:szCs w:val="25"/>
          <w:b w:val="1"/>
          <w:bCs w:val="1"/>
          <w:color w:val="0C479D"/>
        </w:rPr>
        <w:t>Energy Products</w:t>
      </w:r>
    </w:p>
    <w:p>
      <w:pPr>
        <w:spacing w:after="0" w:line="54" w:lineRule="exact"/>
        <w:rPr>
          <w:sz w:val="20"/>
          <w:szCs w:val="20"/>
          <w:color w:val="auto"/>
        </w:rPr>
      </w:pPr>
    </w:p>
    <w:tbl>
      <w:tblPr>
        <w:tblLayout w:type="fixed"/>
        <w:tblInd w:w="577"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ind w:left="380"/>
              <w:spacing w:after="0"/>
              <w:rPr>
                <w:sz w:val="20"/>
                <w:szCs w:val="20"/>
                <w:color w:val="auto"/>
              </w:rPr>
            </w:pPr>
            <w:r>
              <w:rPr>
                <w:rFonts w:ascii="Arial" w:cs="Arial" w:eastAsia="Arial" w:hAnsi="Arial"/>
                <w:sz w:val="20"/>
                <w:szCs w:val="20"/>
                <w:color w:val="FFFFFF"/>
                <w:w w:val="98"/>
              </w:rPr>
              <w:t>1Q26</w:t>
            </w:r>
          </w:p>
        </w:tc>
        <w:tc>
          <w:tcPr>
            <w:tcW w:w="1040" w:type="dxa"/>
            <w:vAlign w:val="bottom"/>
            <w:shd w:val="clear" w:color="auto" w:fill="0C479D"/>
          </w:tcPr>
          <w:p>
            <w:pPr>
              <w:ind w:left="360"/>
              <w:spacing w:after="0"/>
              <w:rPr>
                <w:sz w:val="20"/>
                <w:szCs w:val="20"/>
                <w:color w:val="auto"/>
              </w:rPr>
            </w:pPr>
            <w:r>
              <w:rPr>
                <w:rFonts w:ascii="Arial" w:cs="Arial" w:eastAsia="Arial" w:hAnsi="Arial"/>
                <w:sz w:val="20"/>
                <w:szCs w:val="20"/>
                <w:color w:val="FFFFFF"/>
              </w:rPr>
              <w:t>4Q25</w:t>
            </w:r>
          </w:p>
        </w:tc>
        <w:tc>
          <w:tcPr>
            <w:tcW w:w="700" w:type="dxa"/>
            <w:vAlign w:val="bottom"/>
            <w:shd w:val="clear" w:color="auto" w:fill="0C479D"/>
          </w:tcPr>
          <w:p>
            <w:pPr>
              <w:ind w:left="200"/>
              <w:spacing w:after="0"/>
              <w:rPr>
                <w:sz w:val="20"/>
                <w:szCs w:val="20"/>
                <w:color w:val="auto"/>
              </w:rPr>
            </w:pPr>
            <w:r>
              <w:rPr>
                <w:rFonts w:ascii="Arial" w:cs="Arial" w:eastAsia="Arial" w:hAnsi="Arial"/>
                <w:sz w:val="20"/>
                <w:szCs w:val="20"/>
                <w:color w:val="FFFFFF"/>
                <w:w w:val="98"/>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40" w:type="dxa"/>
            <w:vAlign w:val="bottom"/>
            <w:shd w:val="clear" w:color="auto" w:fill="0C479D"/>
          </w:tcPr>
          <w:p>
            <w:pPr>
              <w:spacing w:after="0"/>
              <w:rPr>
                <w:sz w:val="10"/>
                <w:szCs w:val="10"/>
                <w:color w:val="auto"/>
              </w:rPr>
            </w:pPr>
          </w:p>
        </w:tc>
        <w:tc>
          <w:tcPr>
            <w:tcW w:w="700" w:type="dxa"/>
            <w:vAlign w:val="bottom"/>
            <w:shd w:val="clear" w:color="auto" w:fill="0C479D"/>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0</wp:posOffset>
            </wp:positionV>
            <wp:extent cx="55753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530" cy="342900"/>
                    </a:xfrm>
                    <a:prstGeom prst="rect">
                      <a:avLst/>
                    </a:prstGeom>
                    <a:noFill/>
                  </pic:spPr>
                </pic:pic>
              </a:graphicData>
            </a:graphic>
          </wp:anchor>
        </w:drawing>
      </w:r>
    </w:p>
    <w:p>
      <w:pPr>
        <w:ind w:left="597"/>
        <w:spacing w:after="0"/>
        <w:rPr>
          <w:sz w:val="20"/>
          <w:szCs w:val="20"/>
          <w:color w:val="auto"/>
        </w:rPr>
      </w:pPr>
      <w:r>
        <w:rPr>
          <w:rFonts w:ascii="Arial" w:cs="Arial" w:eastAsia="Arial" w:hAnsi="Arial"/>
          <w:sz w:val="22"/>
          <w:szCs w:val="22"/>
          <w:b w:val="1"/>
          <w:bCs w:val="1"/>
          <w:color w:val="auto"/>
        </w:rPr>
        <w:t>Earnings/(Loss) (U.S. GAAP)</w:t>
      </w:r>
    </w:p>
    <w:p>
      <w:pPr>
        <w:spacing w:after="0" w:line="17" w:lineRule="exact"/>
        <w:rPr>
          <w:sz w:val="20"/>
          <w:szCs w:val="20"/>
          <w:color w:val="auto"/>
        </w:rPr>
      </w:pPr>
    </w:p>
    <w:tbl>
      <w:tblPr>
        <w:tblLayout w:type="fixed"/>
        <w:tblInd w:w="577" w:type="dxa"/>
        <w:tblCellMar>
          <w:top w:w="0" w:type="dxa"/>
          <w:left w:w="0" w:type="dxa"/>
          <w:bottom w:w="0" w:type="dxa"/>
          <w:right w:w="0" w:type="dxa"/>
        </w:tblCellMar>
      </w:tblPr>
      <w:tr>
        <w:trPr>
          <w:trHeight w:val="250"/>
        </w:trPr>
        <w:tc>
          <w:tcPr>
            <w:tcW w:w="7580" w:type="dxa"/>
            <w:vAlign w:val="bottom"/>
            <w:tcBorders>
              <w:top w:val="single" w:sz="8" w:color="0C479D"/>
            </w:tcBorders>
          </w:tcPr>
          <w:p>
            <w:pPr>
              <w:ind w:left="240"/>
              <w:spacing w:after="0"/>
              <w:rPr>
                <w:sz w:val="20"/>
                <w:szCs w:val="20"/>
                <w:color w:val="auto"/>
              </w:rPr>
            </w:pPr>
            <w:r>
              <w:rPr>
                <w:rFonts w:ascii="Arial" w:cs="Arial" w:eastAsia="Arial" w:hAnsi="Arial"/>
                <w:sz w:val="20"/>
                <w:szCs w:val="20"/>
                <w:color w:val="auto"/>
              </w:rPr>
              <w:t>United States</w:t>
            </w:r>
          </w:p>
        </w:tc>
        <w:tc>
          <w:tcPr>
            <w:tcW w:w="8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661</w:t>
            </w:r>
          </w:p>
        </w:tc>
        <w:tc>
          <w:tcPr>
            <w:tcW w:w="1080" w:type="dxa"/>
            <w:vAlign w:val="bottom"/>
            <w:tcBorders>
              <w:top w:val="single" w:sz="8" w:color="0C479D"/>
            </w:tcBorders>
          </w:tcPr>
          <w:p>
            <w:pPr>
              <w:jc w:val="right"/>
              <w:ind w:right="161"/>
              <w:spacing w:after="0"/>
              <w:rPr>
                <w:sz w:val="20"/>
                <w:szCs w:val="20"/>
                <w:color w:val="auto"/>
              </w:rPr>
            </w:pPr>
            <w:r>
              <w:rPr>
                <w:rFonts w:ascii="Arial" w:cs="Arial" w:eastAsia="Arial" w:hAnsi="Arial"/>
                <w:sz w:val="20"/>
                <w:szCs w:val="20"/>
                <w:color w:val="auto"/>
              </w:rPr>
              <w:t>1,012</w:t>
            </w:r>
          </w:p>
        </w:tc>
        <w:tc>
          <w:tcPr>
            <w:tcW w:w="70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297</w:t>
            </w:r>
          </w:p>
        </w:tc>
      </w:tr>
      <w:tr>
        <w:trPr>
          <w:trHeight w:val="260"/>
        </w:trPr>
        <w:tc>
          <w:tcPr>
            <w:tcW w:w="7580" w:type="dxa"/>
            <w:vAlign w:val="bottom"/>
          </w:tcPr>
          <w:p>
            <w:pPr>
              <w:ind w:left="240"/>
              <w:spacing w:after="0"/>
              <w:rPr>
                <w:sz w:val="20"/>
                <w:szCs w:val="20"/>
                <w:color w:val="auto"/>
              </w:rPr>
            </w:pPr>
            <w:r>
              <w:rPr>
                <w:rFonts w:ascii="Arial" w:cs="Arial" w:eastAsia="Arial" w:hAnsi="Arial"/>
                <w:sz w:val="20"/>
                <w:szCs w:val="20"/>
                <w:color w:val="auto"/>
              </w:rPr>
              <w:t>Non-U.S.</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(1,923)</w:t>
            </w:r>
          </w:p>
        </w:tc>
        <w:tc>
          <w:tcPr>
            <w:tcW w:w="1080" w:type="dxa"/>
            <w:vAlign w:val="bottom"/>
            <w:tcBorders>
              <w:left w:val="single" w:sz="8" w:color="DCDDDE"/>
            </w:tcBorders>
          </w:tcPr>
          <w:p>
            <w:pPr>
              <w:jc w:val="right"/>
              <w:ind w:right="161"/>
              <w:spacing w:after="0"/>
              <w:rPr>
                <w:sz w:val="20"/>
                <w:szCs w:val="20"/>
                <w:color w:val="auto"/>
              </w:rPr>
            </w:pPr>
            <w:r>
              <w:rPr>
                <w:rFonts w:ascii="Arial" w:cs="Arial" w:eastAsia="Arial" w:hAnsi="Arial"/>
                <w:sz w:val="20"/>
                <w:szCs w:val="20"/>
                <w:color w:val="auto"/>
              </w:rPr>
              <w:t>2,378</w:t>
            </w:r>
          </w:p>
        </w:tc>
        <w:tc>
          <w:tcPr>
            <w:tcW w:w="700" w:type="dxa"/>
            <w:vAlign w:val="bottom"/>
          </w:tcPr>
          <w:p>
            <w:pPr>
              <w:jc w:val="right"/>
              <w:spacing w:after="0"/>
              <w:rPr>
                <w:sz w:val="20"/>
                <w:szCs w:val="20"/>
                <w:color w:val="auto"/>
              </w:rPr>
            </w:pPr>
            <w:r>
              <w:rPr>
                <w:rFonts w:ascii="Arial" w:cs="Arial" w:eastAsia="Arial" w:hAnsi="Arial"/>
                <w:sz w:val="20"/>
                <w:szCs w:val="20"/>
                <w:color w:val="auto"/>
              </w:rPr>
              <w:t>530</w:t>
            </w:r>
          </w:p>
        </w:tc>
      </w:tr>
      <w:tr>
        <w:trPr>
          <w:trHeight w:val="280"/>
        </w:trPr>
        <w:tc>
          <w:tcPr>
            <w:tcW w:w="7580" w:type="dxa"/>
            <w:vAlign w:val="bottom"/>
          </w:tcPr>
          <w:p>
            <w:pPr>
              <w:ind w:left="320"/>
              <w:spacing w:after="0"/>
              <w:rPr>
                <w:sz w:val="20"/>
                <w:szCs w:val="20"/>
                <w:color w:val="auto"/>
              </w:rPr>
            </w:pPr>
            <w:r>
              <w:rPr>
                <w:rFonts w:ascii="Arial" w:cs="Arial" w:eastAsia="Arial" w:hAnsi="Arial"/>
                <w:sz w:val="20"/>
                <w:szCs w:val="20"/>
                <w:b w:val="1"/>
                <w:bCs w:val="1"/>
                <w:color w:val="auto"/>
              </w:rPr>
              <w:t>Worldwide</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(1,262)</w:t>
            </w:r>
          </w:p>
        </w:tc>
        <w:tc>
          <w:tcPr>
            <w:tcW w:w="1080" w:type="dxa"/>
            <w:vAlign w:val="bottom"/>
            <w:tcBorders>
              <w:left w:val="single" w:sz="8" w:color="DCDDDE"/>
            </w:tcBorders>
          </w:tcPr>
          <w:p>
            <w:pPr>
              <w:jc w:val="right"/>
              <w:ind w:right="161"/>
              <w:spacing w:after="0"/>
              <w:rPr>
                <w:sz w:val="20"/>
                <w:szCs w:val="20"/>
                <w:color w:val="auto"/>
              </w:rPr>
            </w:pPr>
            <w:r>
              <w:rPr>
                <w:rFonts w:ascii="Arial" w:cs="Arial" w:eastAsia="Arial" w:hAnsi="Arial"/>
                <w:sz w:val="20"/>
                <w:szCs w:val="20"/>
                <w:b w:val="1"/>
                <w:bCs w:val="1"/>
                <w:color w:val="auto"/>
              </w:rPr>
              <w:t>3,390</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827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0</wp:posOffset>
            </wp:positionV>
            <wp:extent cx="6480810"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0810" cy="720090"/>
                    </a:xfrm>
                    <a:prstGeom prst="rect">
                      <a:avLst/>
                    </a:prstGeom>
                    <a:noFill/>
                  </pic:spPr>
                </pic:pic>
              </a:graphicData>
            </a:graphic>
          </wp:anchor>
        </w:drawing>
      </w:r>
    </w:p>
    <w:p>
      <w:pPr>
        <w:spacing w:after="0" w:line="19" w:lineRule="exact"/>
        <w:rPr>
          <w:sz w:val="20"/>
          <w:szCs w:val="20"/>
          <w:color w:val="auto"/>
        </w:rPr>
      </w:pPr>
    </w:p>
    <w:p>
      <w:pPr>
        <w:ind w:left="597"/>
        <w:spacing w:after="0"/>
        <w:rPr>
          <w:sz w:val="20"/>
          <w:szCs w:val="20"/>
          <w:color w:val="auto"/>
        </w:rPr>
      </w:pPr>
      <w:r>
        <w:rPr>
          <w:rFonts w:ascii="Arial" w:cs="Arial" w:eastAsia="Arial" w:hAnsi="Arial"/>
          <w:sz w:val="22"/>
          <w:szCs w:val="22"/>
          <w:b w:val="1"/>
          <w:bCs w:val="1"/>
          <w:color w:val="auto"/>
        </w:rPr>
        <w:t>Earnings/(Loss) Excluding Identified Items (non-GAAP)</w:t>
      </w:r>
    </w:p>
    <w:p>
      <w:pPr>
        <w:sectPr>
          <w:pgSz w:w="11900" w:h="16838" w:orient="portrait"/>
          <w:cols w:equalWidth="0" w:num="1">
            <w:col w:w="11297"/>
          </w:cols>
          <w:pgMar w:left="263" w:top="736" w:right="339" w:bottom="1440" w:gutter="0" w:footer="0" w:header="0"/>
        </w:sectPr>
      </w:pPr>
    </w:p>
    <w:p>
      <w:pPr>
        <w:spacing w:after="0" w:line="45" w:lineRule="exact"/>
        <w:rPr>
          <w:sz w:val="20"/>
          <w:szCs w:val="20"/>
          <w:color w:val="auto"/>
        </w:rPr>
      </w:pPr>
    </w:p>
    <w:p>
      <w:pPr>
        <w:ind w:left="817"/>
        <w:spacing w:after="0"/>
        <w:rPr>
          <w:sz w:val="20"/>
          <w:szCs w:val="20"/>
          <w:color w:val="auto"/>
        </w:rPr>
      </w:pPr>
      <w:r>
        <w:rPr>
          <w:rFonts w:ascii="Arial" w:cs="Arial" w:eastAsia="Arial" w:hAnsi="Arial"/>
          <w:sz w:val="20"/>
          <w:szCs w:val="20"/>
          <w:color w:val="auto"/>
        </w:rPr>
        <w:t>United States</w:t>
      </w:r>
    </w:p>
    <w:p>
      <w:pPr>
        <w:spacing w:after="0" w:line="24" w:lineRule="exact"/>
        <w:rPr>
          <w:sz w:val="20"/>
          <w:szCs w:val="20"/>
          <w:color w:val="auto"/>
        </w:rPr>
      </w:pPr>
    </w:p>
    <w:p>
      <w:pPr>
        <w:ind w:left="817"/>
        <w:spacing w:after="0"/>
        <w:rPr>
          <w:sz w:val="20"/>
          <w:szCs w:val="20"/>
          <w:color w:val="auto"/>
        </w:rPr>
      </w:pPr>
      <w:r>
        <w:rPr>
          <w:rFonts w:ascii="Arial" w:cs="Arial" w:eastAsia="Arial" w:hAnsi="Arial"/>
          <w:sz w:val="20"/>
          <w:szCs w:val="20"/>
          <w:color w:val="auto"/>
        </w:rPr>
        <w:t>Non-U.S.</w:t>
      </w:r>
    </w:p>
    <w:p>
      <w:pPr>
        <w:spacing w:after="0" w:line="33" w:lineRule="exact"/>
        <w:rPr>
          <w:sz w:val="20"/>
          <w:szCs w:val="20"/>
          <w:color w:val="auto"/>
        </w:rPr>
      </w:pPr>
    </w:p>
    <w:p>
      <w:pPr>
        <w:ind w:left="917"/>
        <w:spacing w:after="0"/>
        <w:rPr>
          <w:sz w:val="20"/>
          <w:szCs w:val="20"/>
          <w:color w:val="auto"/>
        </w:rPr>
      </w:pPr>
      <w:r>
        <w:rPr>
          <w:rFonts w:ascii="Arial" w:cs="Arial" w:eastAsia="Arial" w:hAnsi="Arial"/>
          <w:sz w:val="20"/>
          <w:szCs w:val="20"/>
          <w:b w:val="1"/>
          <w:bCs w:val="1"/>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31750</wp:posOffset>
            </wp:positionV>
            <wp:extent cx="648081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548640"/>
                    </a:xfrm>
                    <a:prstGeom prst="rect">
                      <a:avLst/>
                    </a:prstGeom>
                    <a:noFill/>
                  </pic:spPr>
                </pic:pic>
              </a:graphicData>
            </a:graphic>
          </wp:anchor>
        </w:drawing>
      </w:r>
    </w:p>
    <w:p>
      <w:pPr>
        <w:spacing w:after="0" w:line="69" w:lineRule="exact"/>
        <w:rPr>
          <w:sz w:val="20"/>
          <w:szCs w:val="20"/>
          <w:color w:val="auto"/>
        </w:rPr>
      </w:pPr>
    </w:p>
    <w:p>
      <w:pPr>
        <w:ind w:left="597"/>
        <w:spacing w:after="0" w:line="247" w:lineRule="auto"/>
        <w:rPr>
          <w:sz w:val="20"/>
          <w:szCs w:val="20"/>
          <w:color w:val="auto"/>
        </w:rPr>
      </w:pPr>
      <w:r>
        <w:rPr>
          <w:rFonts w:ascii="Arial" w:cs="Arial" w:eastAsia="Arial" w:hAnsi="Arial"/>
          <w:sz w:val="22"/>
          <w:szCs w:val="22"/>
          <w:b w:val="1"/>
          <w:bCs w:val="1"/>
          <w:color w:val="auto"/>
        </w:rPr>
        <w:t>Earnings/(Loss) Excluding Identified Items and Estimated Timing Effects (non-GAAP)</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left="240"/>
        <w:spacing w:after="0"/>
        <w:tabs>
          <w:tab w:leader="none" w:pos="940" w:val="left"/>
          <w:tab w:leader="none" w:pos="1980" w:val="left"/>
        </w:tabs>
        <w:rPr>
          <w:sz w:val="20"/>
          <w:szCs w:val="20"/>
          <w:color w:val="auto"/>
        </w:rPr>
      </w:pPr>
      <w:r>
        <w:rPr>
          <w:rFonts w:ascii="Arial" w:cs="Arial" w:eastAsia="Arial" w:hAnsi="Arial"/>
          <w:sz w:val="20"/>
          <w:szCs w:val="20"/>
          <w:color w:val="auto"/>
        </w:rPr>
        <w:t>661</w:t>
      </w:r>
      <w:r>
        <w:rPr>
          <w:sz w:val="20"/>
          <w:szCs w:val="20"/>
          <w:color w:val="auto"/>
        </w:rPr>
        <w:tab/>
      </w:r>
      <w:r>
        <w:rPr>
          <w:rFonts w:ascii="Arial" w:cs="Arial" w:eastAsia="Arial" w:hAnsi="Arial"/>
          <w:sz w:val="20"/>
          <w:szCs w:val="20"/>
          <w:color w:val="auto"/>
        </w:rPr>
        <w:t>1,130</w:t>
      </w:r>
      <w:r>
        <w:rPr>
          <w:sz w:val="20"/>
          <w:szCs w:val="20"/>
          <w:color w:val="auto"/>
        </w:rPr>
        <w:tab/>
      </w:r>
      <w:r>
        <w:rPr>
          <w:rFonts w:ascii="Arial" w:cs="Arial" w:eastAsia="Arial" w:hAnsi="Arial"/>
          <w:sz w:val="20"/>
          <w:szCs w:val="20"/>
          <w:color w:val="auto"/>
        </w:rPr>
        <w:t>297</w:t>
      </w:r>
    </w:p>
    <w:p>
      <w:pPr>
        <w:spacing w:after="0" w:line="24" w:lineRule="exact"/>
        <w:rPr>
          <w:sz w:val="20"/>
          <w:szCs w:val="20"/>
          <w:color w:val="auto"/>
        </w:rPr>
      </w:pPr>
    </w:p>
    <w:p>
      <w:pPr>
        <w:spacing w:after="0"/>
        <w:tabs>
          <w:tab w:leader="none" w:pos="940" w:val="left"/>
          <w:tab w:leader="none" w:pos="1980" w:val="left"/>
        </w:tabs>
        <w:rPr>
          <w:sz w:val="20"/>
          <w:szCs w:val="20"/>
          <w:color w:val="auto"/>
        </w:rPr>
      </w:pPr>
      <w:r>
        <w:rPr>
          <w:rFonts w:ascii="Arial" w:cs="Arial" w:eastAsia="Arial" w:hAnsi="Arial"/>
          <w:sz w:val="20"/>
          <w:szCs w:val="20"/>
          <w:color w:val="auto"/>
        </w:rPr>
        <w:t>(1,217)</w:t>
        <w:tab/>
        <w:t>1,777</w:t>
      </w:r>
      <w:r>
        <w:rPr>
          <w:sz w:val="20"/>
          <w:szCs w:val="20"/>
          <w:color w:val="auto"/>
        </w:rPr>
        <w:tab/>
      </w:r>
      <w:r>
        <w:rPr>
          <w:rFonts w:ascii="Arial" w:cs="Arial" w:eastAsia="Arial" w:hAnsi="Arial"/>
          <w:sz w:val="20"/>
          <w:szCs w:val="20"/>
          <w:color w:val="auto"/>
        </w:rPr>
        <w:t>530</w:t>
      </w:r>
    </w:p>
    <w:p>
      <w:pPr>
        <w:spacing w:after="0" w:line="33" w:lineRule="exact"/>
        <w:rPr>
          <w:sz w:val="20"/>
          <w:szCs w:val="20"/>
          <w:color w:val="auto"/>
        </w:rPr>
      </w:pPr>
    </w:p>
    <w:p>
      <w:pPr>
        <w:ind w:left="160"/>
        <w:spacing w:after="0"/>
        <w:tabs>
          <w:tab w:leader="none" w:pos="940" w:val="left"/>
          <w:tab w:leader="none" w:pos="1980" w:val="left"/>
        </w:tabs>
        <w:rPr>
          <w:sz w:val="20"/>
          <w:szCs w:val="20"/>
          <w:color w:val="auto"/>
        </w:rPr>
      </w:pPr>
      <w:r>
        <w:rPr>
          <w:rFonts w:ascii="Arial" w:cs="Arial" w:eastAsia="Arial" w:hAnsi="Arial"/>
          <w:sz w:val="20"/>
          <w:szCs w:val="20"/>
          <w:b w:val="1"/>
          <w:bCs w:val="1"/>
          <w:color w:val="auto"/>
        </w:rPr>
        <w:t>(556)</w:t>
        <w:tab/>
        <w:t>2,907</w:t>
      </w:r>
      <w:r>
        <w:rPr>
          <w:sz w:val="20"/>
          <w:szCs w:val="20"/>
          <w:color w:val="auto"/>
        </w:rPr>
        <w:tab/>
      </w:r>
      <w:r>
        <w:rPr>
          <w:rFonts w:ascii="Arial" w:cs="Arial" w:eastAsia="Arial" w:hAnsi="Arial"/>
          <w:sz w:val="20"/>
          <w:szCs w:val="20"/>
          <w:b w:val="1"/>
          <w:bCs w:val="1"/>
          <w:color w:val="auto"/>
        </w:rPr>
        <w:t>827</w:t>
      </w:r>
    </w:p>
    <w:p>
      <w:pPr>
        <w:spacing w:after="0" w:line="202" w:lineRule="exact"/>
        <w:rPr>
          <w:sz w:val="20"/>
          <w:szCs w:val="20"/>
          <w:color w:val="auto"/>
        </w:rPr>
      </w:pPr>
    </w:p>
    <w:p>
      <w:pPr>
        <w:ind w:left="80"/>
        <w:spacing w:after="0"/>
        <w:tabs>
          <w:tab w:leader="none" w:pos="940" w:val="left"/>
          <w:tab w:leader="none" w:pos="1980" w:val="left"/>
        </w:tabs>
        <w:rPr>
          <w:sz w:val="20"/>
          <w:szCs w:val="20"/>
          <w:color w:val="auto"/>
        </w:rPr>
      </w:pPr>
      <w:r>
        <w:rPr>
          <w:rFonts w:ascii="Arial" w:cs="Arial" w:eastAsia="Arial" w:hAnsi="Arial"/>
          <w:sz w:val="20"/>
          <w:szCs w:val="20"/>
          <w:b w:val="1"/>
          <w:bCs w:val="1"/>
          <w:color w:val="auto"/>
        </w:rPr>
        <w:t>2,799</w:t>
      </w:r>
      <w:r>
        <w:rPr>
          <w:sz w:val="20"/>
          <w:szCs w:val="20"/>
          <w:color w:val="auto"/>
        </w:rPr>
        <w:tab/>
      </w:r>
      <w:r>
        <w:rPr>
          <w:rFonts w:ascii="Arial" w:cs="Arial" w:eastAsia="Arial" w:hAnsi="Arial"/>
          <w:sz w:val="20"/>
          <w:szCs w:val="20"/>
          <w:b w:val="1"/>
          <w:bCs w:val="1"/>
          <w:color w:val="auto"/>
        </w:rPr>
        <w:t>2,552</w:t>
      </w:r>
      <w:r>
        <w:rPr>
          <w:sz w:val="20"/>
          <w:szCs w:val="20"/>
          <w:color w:val="auto"/>
        </w:rPr>
        <w:tab/>
      </w:r>
      <w:r>
        <w:rPr>
          <w:rFonts w:ascii="Arial" w:cs="Arial" w:eastAsia="Arial" w:hAnsi="Arial"/>
          <w:sz w:val="20"/>
          <w:szCs w:val="20"/>
          <w:b w:val="1"/>
          <w:bCs w:val="1"/>
          <w:color w:val="auto"/>
        </w:rPr>
        <w:t>856</w:t>
      </w:r>
    </w:p>
    <w:p>
      <w:pPr>
        <w:spacing w:after="0" w:line="203" w:lineRule="exact"/>
        <w:rPr>
          <w:sz w:val="20"/>
          <w:szCs w:val="20"/>
          <w:color w:val="auto"/>
        </w:rPr>
      </w:pPr>
    </w:p>
    <w:p>
      <w:pPr>
        <w:sectPr>
          <w:pgSz w:w="11900" w:h="16838" w:orient="portrait"/>
          <w:cols w:equalWidth="0" w:num="2">
            <w:col w:w="8037" w:space="320"/>
            <w:col w:w="2940"/>
          </w:cols>
          <w:pgMar w:left="263" w:top="736" w:right="339" w:bottom="1440" w:gutter="0" w:footer="0" w:header="0"/>
          <w:type w:val="continuous"/>
        </w:sectPr>
      </w:pPr>
    </w:p>
    <w:tbl>
      <w:tblPr>
        <w:tblLayout w:type="fixed"/>
        <w:tblInd w:w="577" w:type="dxa"/>
        <w:tblCellMar>
          <w:top w:w="0" w:type="dxa"/>
          <w:left w:w="0" w:type="dxa"/>
          <w:bottom w:w="0" w:type="dxa"/>
          <w:right w:w="0" w:type="dxa"/>
        </w:tblCellMar>
      </w:tblPr>
      <w:tr>
        <w:trPr>
          <w:trHeight w:val="272"/>
        </w:trPr>
        <w:tc>
          <w:tcPr>
            <w:tcW w:w="5200" w:type="dxa"/>
            <w:vAlign w:val="bottom"/>
            <w:tcBorders>
              <w:bottom w:val="single" w:sz="8" w:color="0D469D"/>
            </w:tcBorders>
          </w:tcPr>
          <w:p>
            <w:pPr>
              <w:ind w:left="20"/>
              <w:spacing w:after="0"/>
              <w:rPr>
                <w:sz w:val="20"/>
                <w:szCs w:val="20"/>
                <w:color w:val="auto"/>
              </w:rPr>
            </w:pPr>
            <w:r>
              <w:rPr>
                <w:rFonts w:ascii="Arial" w:cs="Arial" w:eastAsia="Arial" w:hAnsi="Arial"/>
                <w:sz w:val="20"/>
                <w:szCs w:val="20"/>
                <w:color w:val="auto"/>
              </w:rPr>
              <w:t>Energy Products Sales (kbd)</w:t>
            </w:r>
          </w:p>
        </w:tc>
        <w:tc>
          <w:tcPr>
            <w:tcW w:w="3340" w:type="dxa"/>
            <w:vAlign w:val="bottom"/>
            <w:tcBorders>
              <w:bottom w:val="single" w:sz="8" w:color="0D469D"/>
            </w:tcBorders>
          </w:tcPr>
          <w:p>
            <w:pPr>
              <w:jc w:val="right"/>
              <w:ind w:right="81"/>
              <w:spacing w:after="0"/>
              <w:rPr>
                <w:sz w:val="20"/>
                <w:szCs w:val="20"/>
                <w:color w:val="auto"/>
              </w:rPr>
            </w:pPr>
            <w:r>
              <w:rPr>
                <w:rFonts w:ascii="Arial" w:cs="Arial" w:eastAsia="Arial" w:hAnsi="Arial"/>
                <w:sz w:val="20"/>
                <w:szCs w:val="20"/>
                <w:color w:val="auto"/>
              </w:rPr>
              <w:t>5,630</w:t>
            </w:r>
          </w:p>
        </w:tc>
        <w:tc>
          <w:tcPr>
            <w:tcW w:w="880" w:type="dxa"/>
            <w:vAlign w:val="bottom"/>
            <w:tcBorders>
              <w:bottom w:val="single" w:sz="8" w:color="0D469D"/>
            </w:tcBorders>
          </w:tcPr>
          <w:p>
            <w:pPr>
              <w:jc w:val="right"/>
              <w:ind w:right="81"/>
              <w:spacing w:after="0"/>
              <w:rPr>
                <w:sz w:val="20"/>
                <w:szCs w:val="20"/>
                <w:color w:val="auto"/>
              </w:rPr>
            </w:pPr>
            <w:r>
              <w:rPr>
                <w:rFonts w:ascii="Arial" w:cs="Arial" w:eastAsia="Arial" w:hAnsi="Arial"/>
                <w:sz w:val="20"/>
                <w:szCs w:val="20"/>
                <w:color w:val="auto"/>
              </w:rPr>
              <w:t>5,804</w:t>
            </w:r>
          </w:p>
        </w:tc>
        <w:tc>
          <w:tcPr>
            <w:tcW w:w="780" w:type="dxa"/>
            <w:vAlign w:val="bottom"/>
            <w:tcBorders>
              <w:bottom w:val="single" w:sz="8" w:color="0D469D"/>
            </w:tcBorders>
          </w:tcPr>
          <w:p>
            <w:pPr>
              <w:jc w:val="right"/>
              <w:spacing w:after="0"/>
              <w:rPr>
                <w:sz w:val="20"/>
                <w:szCs w:val="20"/>
                <w:color w:val="auto"/>
              </w:rPr>
            </w:pPr>
            <w:r>
              <w:rPr>
                <w:rFonts w:ascii="Arial" w:cs="Arial" w:eastAsia="Arial" w:hAnsi="Arial"/>
                <w:sz w:val="20"/>
                <w:szCs w:val="20"/>
                <w:color w:val="auto"/>
              </w:rPr>
              <w:t>5,283</w:t>
            </w:r>
          </w:p>
        </w:tc>
      </w:tr>
    </w:tbl>
    <w:p>
      <w:pPr>
        <w:spacing w:after="0" w:line="194" w:lineRule="exact"/>
        <w:rPr>
          <w:sz w:val="20"/>
          <w:szCs w:val="20"/>
          <w:color w:val="auto"/>
        </w:rPr>
      </w:pPr>
    </w:p>
    <w:p>
      <w:pPr>
        <w:jc w:val="both"/>
        <w:ind w:left="317" w:hanging="317"/>
        <w:spacing w:after="0" w:line="254" w:lineRule="auto"/>
        <w:tabs>
          <w:tab w:leader="none" w:pos="305" w:val="left"/>
        </w:tabs>
        <w:numPr>
          <w:ilvl w:val="0"/>
          <w:numId w:val="9"/>
        </w:numPr>
        <w:rPr>
          <w:rFonts w:ascii="Arial" w:cs="Arial" w:eastAsia="Arial" w:hAnsi="Arial"/>
          <w:sz w:val="20"/>
          <w:szCs w:val="20"/>
          <w:b w:val="1"/>
          <w:bCs w:val="1"/>
          <w:color w:val="242424"/>
        </w:rPr>
      </w:pPr>
      <w:r>
        <w:rPr>
          <w:rFonts w:ascii="Arial" w:cs="Arial" w:eastAsia="Arial" w:hAnsi="Arial"/>
          <w:sz w:val="20"/>
          <w:szCs w:val="20"/>
          <w:color w:val="auto"/>
        </w:rPr>
        <w:t>Energy Products reported lower first-quarter earnings versus the same quarter last year. Earnings excluding identified items and estimated timing effects were $2.8 billion, an increase of $1.9 billion versus the same quarter last year. Identified items reflect losses on settled financial hedges that were not offset by the associated physical shipments due to Middle East supply disruptions. Unfavorable estimated timing effects reflect the mismatch between the valuation of financial derivatives and the associated physical transactions, resulting in a timing difference in earnings that unwinds in subsequent periods. Improved margins, including strong trading and optimization results, and structural cost savings were partly offset by higher expenses from planned turnaround activity and unfavorable foreign exchange impacts.</w:t>
      </w:r>
    </w:p>
    <w:p>
      <w:pPr>
        <w:spacing w:after="0" w:line="78" w:lineRule="exact"/>
        <w:rPr>
          <w:rFonts w:ascii="Arial" w:cs="Arial" w:eastAsia="Arial" w:hAnsi="Arial"/>
          <w:sz w:val="20"/>
          <w:szCs w:val="20"/>
          <w:b w:val="1"/>
          <w:bCs w:val="1"/>
          <w:color w:val="242424"/>
        </w:rPr>
      </w:pPr>
    </w:p>
    <w:p>
      <w:pPr>
        <w:jc w:val="both"/>
        <w:ind w:left="317" w:hanging="317"/>
        <w:spacing w:after="0" w:line="258" w:lineRule="auto"/>
        <w:tabs>
          <w:tab w:leader="none" w:pos="305" w:val="left"/>
        </w:tabs>
        <w:numPr>
          <w:ilvl w:val="0"/>
          <w:numId w:val="9"/>
        </w:numPr>
        <w:rPr>
          <w:rFonts w:ascii="Arial" w:cs="Arial" w:eastAsia="Arial" w:hAnsi="Arial"/>
          <w:sz w:val="20"/>
          <w:szCs w:val="20"/>
          <w:b w:val="1"/>
          <w:bCs w:val="1"/>
          <w:color w:val="242424"/>
        </w:rPr>
      </w:pPr>
      <w:r>
        <w:rPr>
          <w:rFonts w:ascii="Arial" w:cs="Arial" w:eastAsia="Arial" w:hAnsi="Arial"/>
          <w:sz w:val="20"/>
          <w:szCs w:val="20"/>
          <w:color w:val="auto"/>
        </w:rPr>
        <w:t>Reported first-quarter earnings decreased versus the prior quarter. Earnings excluding identified items and estimated timing effects increased $247 million compared to the fourth quarter. The quarter-over-quarter increase was driven by strong margins from refining and trading, structural cost savings, and lower seasonal expenses. These favorable impacts were partly offset by lower volumes due to scheduled maintenance and Middle East disruptions, and the absence of favorable year-end inventory effects.</w:t>
      </w:r>
    </w:p>
    <w:p>
      <w:pPr>
        <w:spacing w:after="0" w:line="300" w:lineRule="exact"/>
        <w:rPr>
          <w:sz w:val="20"/>
          <w:szCs w:val="20"/>
          <w:color w:val="auto"/>
        </w:rPr>
      </w:pPr>
    </w:p>
    <w:p>
      <w:pPr>
        <w:ind w:left="597"/>
        <w:spacing w:after="0"/>
        <w:rPr>
          <w:sz w:val="20"/>
          <w:szCs w:val="20"/>
          <w:color w:val="auto"/>
        </w:rPr>
      </w:pPr>
      <w:r>
        <w:rPr>
          <w:rFonts w:ascii="Arial" w:cs="Arial" w:eastAsia="Arial" w:hAnsi="Arial"/>
          <w:sz w:val="25"/>
          <w:szCs w:val="25"/>
          <w:b w:val="1"/>
          <w:bCs w:val="1"/>
          <w:color w:val="0C479D"/>
        </w:rPr>
        <w:t>Chemical Products</w:t>
      </w:r>
    </w:p>
    <w:p>
      <w:pPr>
        <w:spacing w:after="0" w:line="68" w:lineRule="exact"/>
        <w:rPr>
          <w:sz w:val="20"/>
          <w:szCs w:val="20"/>
          <w:color w:val="auto"/>
        </w:rPr>
      </w:pPr>
    </w:p>
    <w:tbl>
      <w:tblPr>
        <w:tblLayout w:type="fixed"/>
        <w:tblInd w:w="577"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ind w:left="380"/>
              <w:spacing w:after="0"/>
              <w:rPr>
                <w:sz w:val="20"/>
                <w:szCs w:val="20"/>
                <w:color w:val="auto"/>
              </w:rPr>
            </w:pPr>
            <w:r>
              <w:rPr>
                <w:rFonts w:ascii="Arial" w:cs="Arial" w:eastAsia="Arial" w:hAnsi="Arial"/>
                <w:sz w:val="20"/>
                <w:szCs w:val="20"/>
                <w:color w:val="FFFFFF"/>
                <w:w w:val="98"/>
              </w:rPr>
              <w:t>1Q26</w:t>
            </w:r>
          </w:p>
        </w:tc>
        <w:tc>
          <w:tcPr>
            <w:tcW w:w="1040" w:type="dxa"/>
            <w:vAlign w:val="bottom"/>
            <w:shd w:val="clear" w:color="auto" w:fill="0C479D"/>
          </w:tcPr>
          <w:p>
            <w:pPr>
              <w:ind w:left="360"/>
              <w:spacing w:after="0"/>
              <w:rPr>
                <w:sz w:val="20"/>
                <w:szCs w:val="20"/>
                <w:color w:val="auto"/>
              </w:rPr>
            </w:pPr>
            <w:r>
              <w:rPr>
                <w:rFonts w:ascii="Arial" w:cs="Arial" w:eastAsia="Arial" w:hAnsi="Arial"/>
                <w:sz w:val="20"/>
                <w:szCs w:val="20"/>
                <w:color w:val="FFFFFF"/>
              </w:rPr>
              <w:t>4Q25</w:t>
            </w:r>
          </w:p>
        </w:tc>
        <w:tc>
          <w:tcPr>
            <w:tcW w:w="700" w:type="dxa"/>
            <w:vAlign w:val="bottom"/>
            <w:shd w:val="clear" w:color="auto" w:fill="0C479D"/>
          </w:tcPr>
          <w:p>
            <w:pPr>
              <w:ind w:left="200"/>
              <w:spacing w:after="0"/>
              <w:rPr>
                <w:sz w:val="20"/>
                <w:szCs w:val="20"/>
                <w:color w:val="auto"/>
              </w:rPr>
            </w:pPr>
            <w:r>
              <w:rPr>
                <w:rFonts w:ascii="Arial" w:cs="Arial" w:eastAsia="Arial" w:hAnsi="Arial"/>
                <w:sz w:val="20"/>
                <w:szCs w:val="20"/>
                <w:color w:val="FFFFFF"/>
                <w:w w:val="98"/>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40" w:type="dxa"/>
            <w:vAlign w:val="bottom"/>
            <w:shd w:val="clear" w:color="auto" w:fill="0C479D"/>
          </w:tcPr>
          <w:p>
            <w:pPr>
              <w:spacing w:after="0"/>
              <w:rPr>
                <w:sz w:val="10"/>
                <w:szCs w:val="10"/>
                <w:color w:val="auto"/>
              </w:rPr>
            </w:pPr>
          </w:p>
        </w:tc>
        <w:tc>
          <w:tcPr>
            <w:tcW w:w="700" w:type="dxa"/>
            <w:vAlign w:val="bottom"/>
            <w:shd w:val="clear" w:color="auto" w:fill="0C479D"/>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0</wp:posOffset>
            </wp:positionV>
            <wp:extent cx="55753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530" cy="342900"/>
                    </a:xfrm>
                    <a:prstGeom prst="rect">
                      <a:avLst/>
                    </a:prstGeom>
                    <a:noFill/>
                  </pic:spPr>
                </pic:pic>
              </a:graphicData>
            </a:graphic>
          </wp:anchor>
        </w:drawing>
      </w:r>
    </w:p>
    <w:p>
      <w:pPr>
        <w:ind w:left="597"/>
        <w:spacing w:after="0"/>
        <w:rPr>
          <w:sz w:val="20"/>
          <w:szCs w:val="20"/>
          <w:color w:val="auto"/>
        </w:rPr>
      </w:pPr>
      <w:r>
        <w:rPr>
          <w:rFonts w:ascii="Arial" w:cs="Arial" w:eastAsia="Arial" w:hAnsi="Arial"/>
          <w:sz w:val="22"/>
          <w:szCs w:val="22"/>
          <w:b w:val="1"/>
          <w:bCs w:val="1"/>
          <w:color w:val="auto"/>
        </w:rPr>
        <w:t>Earnings/(Loss) (U.S. GAAP)</w:t>
      </w:r>
    </w:p>
    <w:p>
      <w:pPr>
        <w:spacing w:after="0" w:line="17" w:lineRule="exact"/>
        <w:rPr>
          <w:sz w:val="20"/>
          <w:szCs w:val="20"/>
          <w:color w:val="auto"/>
        </w:rPr>
      </w:pPr>
    </w:p>
    <w:tbl>
      <w:tblPr>
        <w:tblLayout w:type="fixed"/>
        <w:tblInd w:w="577" w:type="dxa"/>
        <w:tblCellMar>
          <w:top w:w="0" w:type="dxa"/>
          <w:left w:w="0" w:type="dxa"/>
          <w:bottom w:w="0" w:type="dxa"/>
          <w:right w:w="0" w:type="dxa"/>
        </w:tblCellMar>
      </w:tblPr>
      <w:tr>
        <w:trPr>
          <w:trHeight w:val="250"/>
        </w:trPr>
        <w:tc>
          <w:tcPr>
            <w:tcW w:w="7580" w:type="dxa"/>
            <w:vAlign w:val="bottom"/>
            <w:tcBorders>
              <w:top w:val="single" w:sz="8" w:color="0C479D"/>
            </w:tcBorders>
          </w:tcPr>
          <w:p>
            <w:pPr>
              <w:ind w:left="240"/>
              <w:spacing w:after="0"/>
              <w:rPr>
                <w:sz w:val="20"/>
                <w:szCs w:val="20"/>
                <w:color w:val="auto"/>
              </w:rPr>
            </w:pPr>
            <w:r>
              <w:rPr>
                <w:rFonts w:ascii="Arial" w:cs="Arial" w:eastAsia="Arial" w:hAnsi="Arial"/>
                <w:sz w:val="20"/>
                <w:szCs w:val="20"/>
                <w:color w:val="auto"/>
              </w:rPr>
              <w:t>United States</w:t>
            </w:r>
          </w:p>
        </w:tc>
        <w:tc>
          <w:tcPr>
            <w:tcW w:w="8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319</w:t>
            </w:r>
          </w:p>
        </w:tc>
        <w:tc>
          <w:tcPr>
            <w:tcW w:w="1120" w:type="dxa"/>
            <w:vAlign w:val="bottom"/>
            <w:tcBorders>
              <w:top w:val="single" w:sz="8" w:color="0C479D"/>
            </w:tcBorders>
          </w:tcPr>
          <w:p>
            <w:pPr>
              <w:jc w:val="right"/>
              <w:ind w:right="201"/>
              <w:spacing w:after="0"/>
              <w:rPr>
                <w:sz w:val="20"/>
                <w:szCs w:val="20"/>
                <w:color w:val="auto"/>
              </w:rPr>
            </w:pPr>
            <w:r>
              <w:rPr>
                <w:rFonts w:ascii="Arial" w:cs="Arial" w:eastAsia="Arial" w:hAnsi="Arial"/>
                <w:sz w:val="20"/>
                <w:szCs w:val="20"/>
                <w:color w:val="auto"/>
              </w:rPr>
              <w:t>64</w:t>
            </w:r>
          </w:p>
        </w:tc>
        <w:tc>
          <w:tcPr>
            <w:tcW w:w="66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255</w:t>
            </w:r>
          </w:p>
        </w:tc>
      </w:tr>
      <w:tr>
        <w:trPr>
          <w:trHeight w:val="260"/>
        </w:trPr>
        <w:tc>
          <w:tcPr>
            <w:tcW w:w="7580" w:type="dxa"/>
            <w:vAlign w:val="bottom"/>
          </w:tcPr>
          <w:p>
            <w:pPr>
              <w:ind w:left="240"/>
              <w:spacing w:after="0"/>
              <w:rPr>
                <w:sz w:val="20"/>
                <w:szCs w:val="20"/>
                <w:color w:val="auto"/>
              </w:rPr>
            </w:pPr>
            <w:r>
              <w:rPr>
                <w:rFonts w:ascii="Arial" w:cs="Arial" w:eastAsia="Arial" w:hAnsi="Arial"/>
                <w:sz w:val="20"/>
                <w:szCs w:val="20"/>
                <w:color w:val="auto"/>
              </w:rPr>
              <w:t>Non-U.S.</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(209)</w:t>
            </w:r>
          </w:p>
        </w:tc>
        <w:tc>
          <w:tcPr>
            <w:tcW w:w="1120" w:type="dxa"/>
            <w:vAlign w:val="bottom"/>
            <w:tcBorders>
              <w:left w:val="single" w:sz="8" w:color="DCDDDE"/>
            </w:tcBorders>
          </w:tcPr>
          <w:p>
            <w:pPr>
              <w:jc w:val="right"/>
              <w:ind w:right="161"/>
              <w:spacing w:after="0"/>
              <w:rPr>
                <w:sz w:val="20"/>
                <w:szCs w:val="20"/>
                <w:color w:val="auto"/>
              </w:rPr>
            </w:pPr>
            <w:r>
              <w:rPr>
                <w:rFonts w:ascii="Arial" w:cs="Arial" w:eastAsia="Arial" w:hAnsi="Arial"/>
                <w:sz w:val="20"/>
                <w:szCs w:val="20"/>
                <w:color w:val="auto"/>
              </w:rPr>
              <w:t>(345)</w:t>
            </w:r>
          </w:p>
        </w:tc>
        <w:tc>
          <w:tcPr>
            <w:tcW w:w="66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0"/>
        </w:trPr>
        <w:tc>
          <w:tcPr>
            <w:tcW w:w="7580" w:type="dxa"/>
            <w:vAlign w:val="bottom"/>
          </w:tcPr>
          <w:p>
            <w:pPr>
              <w:ind w:left="320"/>
              <w:spacing w:after="0"/>
              <w:rPr>
                <w:sz w:val="20"/>
                <w:szCs w:val="20"/>
                <w:color w:val="auto"/>
              </w:rPr>
            </w:pPr>
            <w:r>
              <w:rPr>
                <w:rFonts w:ascii="Arial" w:cs="Arial" w:eastAsia="Arial" w:hAnsi="Arial"/>
                <w:sz w:val="20"/>
                <w:szCs w:val="20"/>
                <w:b w:val="1"/>
                <w:bCs w:val="1"/>
                <w:color w:val="auto"/>
              </w:rPr>
              <w:t>Worldwide</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110</w:t>
            </w:r>
          </w:p>
        </w:tc>
        <w:tc>
          <w:tcPr>
            <w:tcW w:w="1120" w:type="dxa"/>
            <w:vAlign w:val="bottom"/>
            <w:tcBorders>
              <w:left w:val="single" w:sz="8" w:color="DCDDDE"/>
            </w:tcBorders>
          </w:tcPr>
          <w:p>
            <w:pPr>
              <w:jc w:val="right"/>
              <w:ind w:right="161"/>
              <w:spacing w:after="0"/>
              <w:rPr>
                <w:sz w:val="20"/>
                <w:szCs w:val="20"/>
                <w:color w:val="auto"/>
              </w:rPr>
            </w:pPr>
            <w:r>
              <w:rPr>
                <w:rFonts w:ascii="Arial" w:cs="Arial" w:eastAsia="Arial" w:hAnsi="Arial"/>
                <w:sz w:val="20"/>
                <w:szCs w:val="20"/>
                <w:b w:val="1"/>
                <w:bCs w:val="1"/>
                <w:color w:val="auto"/>
              </w:rPr>
              <w:t>(281)</w:t>
            </w: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0</wp:posOffset>
            </wp:positionV>
            <wp:extent cx="55753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530" cy="377190"/>
                    </a:xfrm>
                    <a:prstGeom prst="rect">
                      <a:avLst/>
                    </a:prstGeom>
                    <a:noFill/>
                  </pic:spPr>
                </pic:pic>
              </a:graphicData>
            </a:graphic>
          </wp:anchor>
        </w:drawing>
      </w:r>
    </w:p>
    <w:p>
      <w:pPr>
        <w:spacing w:after="0" w:line="19" w:lineRule="exact"/>
        <w:rPr>
          <w:sz w:val="20"/>
          <w:szCs w:val="20"/>
          <w:color w:val="auto"/>
        </w:rPr>
      </w:pPr>
    </w:p>
    <w:p>
      <w:pPr>
        <w:ind w:left="597"/>
        <w:spacing w:after="0"/>
        <w:rPr>
          <w:sz w:val="20"/>
          <w:szCs w:val="20"/>
          <w:color w:val="auto"/>
        </w:rPr>
      </w:pPr>
      <w:r>
        <w:rPr>
          <w:rFonts w:ascii="Arial" w:cs="Arial" w:eastAsia="Arial" w:hAnsi="Arial"/>
          <w:sz w:val="22"/>
          <w:szCs w:val="22"/>
          <w:b w:val="1"/>
          <w:bCs w:val="1"/>
          <w:color w:val="auto"/>
        </w:rPr>
        <w:t>Earnings/(Loss) Excluding Identified Items (non-GAAP)</w:t>
      </w:r>
    </w:p>
    <w:p>
      <w:pPr>
        <w:spacing w:after="0" w:line="32" w:lineRule="exact"/>
        <w:rPr>
          <w:sz w:val="20"/>
          <w:szCs w:val="20"/>
          <w:color w:val="auto"/>
        </w:rPr>
      </w:pPr>
    </w:p>
    <w:tbl>
      <w:tblPr>
        <w:tblLayout w:type="fixed"/>
        <w:tblInd w:w="577" w:type="dxa"/>
        <w:tblCellMar>
          <w:top w:w="0" w:type="dxa"/>
          <w:left w:w="0" w:type="dxa"/>
          <w:bottom w:w="0" w:type="dxa"/>
          <w:right w:w="0" w:type="dxa"/>
        </w:tblCellMar>
      </w:tblPr>
      <w:tr>
        <w:trPr>
          <w:trHeight w:val="250"/>
        </w:trPr>
        <w:tc>
          <w:tcPr>
            <w:tcW w:w="7580" w:type="dxa"/>
            <w:vAlign w:val="bottom"/>
            <w:tcBorders>
              <w:top w:val="single" w:sz="8" w:color="0C479D"/>
            </w:tcBorders>
          </w:tcPr>
          <w:p>
            <w:pPr>
              <w:ind w:left="240"/>
              <w:spacing w:after="0"/>
              <w:rPr>
                <w:sz w:val="20"/>
                <w:szCs w:val="20"/>
                <w:color w:val="auto"/>
              </w:rPr>
            </w:pPr>
            <w:r>
              <w:rPr>
                <w:rFonts w:ascii="Arial" w:cs="Arial" w:eastAsia="Arial" w:hAnsi="Arial"/>
                <w:sz w:val="20"/>
                <w:szCs w:val="20"/>
                <w:color w:val="auto"/>
              </w:rPr>
              <w:t>United States</w:t>
            </w:r>
          </w:p>
        </w:tc>
        <w:tc>
          <w:tcPr>
            <w:tcW w:w="8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319</w:t>
            </w:r>
          </w:p>
        </w:tc>
        <w:tc>
          <w:tcPr>
            <w:tcW w:w="1040" w:type="dxa"/>
            <w:vAlign w:val="bottom"/>
            <w:tcBorders>
              <w:top w:val="single" w:sz="8" w:color="0C479D"/>
            </w:tcBorders>
          </w:tcPr>
          <w:p>
            <w:pPr>
              <w:jc w:val="right"/>
              <w:ind w:right="121"/>
              <w:spacing w:after="0"/>
              <w:rPr>
                <w:sz w:val="20"/>
                <w:szCs w:val="20"/>
                <w:color w:val="auto"/>
              </w:rPr>
            </w:pPr>
            <w:r>
              <w:rPr>
                <w:rFonts w:ascii="Arial" w:cs="Arial" w:eastAsia="Arial" w:hAnsi="Arial"/>
                <w:sz w:val="20"/>
                <w:szCs w:val="20"/>
                <w:color w:val="auto"/>
              </w:rPr>
              <w:t>144</w:t>
            </w:r>
          </w:p>
        </w:tc>
        <w:tc>
          <w:tcPr>
            <w:tcW w:w="74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255</w:t>
            </w:r>
          </w:p>
        </w:tc>
      </w:tr>
      <w:tr>
        <w:trPr>
          <w:trHeight w:val="260"/>
        </w:trPr>
        <w:tc>
          <w:tcPr>
            <w:tcW w:w="7580" w:type="dxa"/>
            <w:vAlign w:val="bottom"/>
          </w:tcPr>
          <w:p>
            <w:pPr>
              <w:ind w:left="240"/>
              <w:spacing w:after="0"/>
              <w:rPr>
                <w:sz w:val="20"/>
                <w:szCs w:val="20"/>
                <w:color w:val="auto"/>
              </w:rPr>
            </w:pPr>
            <w:r>
              <w:rPr>
                <w:rFonts w:ascii="Arial" w:cs="Arial" w:eastAsia="Arial" w:hAnsi="Arial"/>
                <w:sz w:val="20"/>
                <w:szCs w:val="20"/>
                <w:color w:val="auto"/>
              </w:rPr>
              <w:t>Non-U.S.</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(209)</w:t>
            </w:r>
          </w:p>
        </w:tc>
        <w:tc>
          <w:tcPr>
            <w:tcW w:w="104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color w:val="auto"/>
              </w:rPr>
              <w:t>(155)</w:t>
            </w:r>
          </w:p>
        </w:tc>
        <w:tc>
          <w:tcPr>
            <w:tcW w:w="7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73"/>
        </w:trPr>
        <w:tc>
          <w:tcPr>
            <w:tcW w:w="7580" w:type="dxa"/>
            <w:vAlign w:val="bottom"/>
          </w:tcPr>
          <w:p>
            <w:pPr>
              <w:ind w:left="340"/>
              <w:spacing w:after="0"/>
              <w:rPr>
                <w:sz w:val="20"/>
                <w:szCs w:val="20"/>
                <w:color w:val="auto"/>
              </w:rPr>
            </w:pPr>
            <w:r>
              <w:rPr>
                <w:rFonts w:ascii="Arial" w:cs="Arial" w:eastAsia="Arial" w:hAnsi="Arial"/>
                <w:sz w:val="20"/>
                <w:szCs w:val="20"/>
                <w:b w:val="1"/>
                <w:bCs w:val="1"/>
                <w:color w:val="auto"/>
              </w:rPr>
              <w:t>Worldwide</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110</w:t>
            </w:r>
          </w:p>
        </w:tc>
        <w:tc>
          <w:tcPr>
            <w:tcW w:w="104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b w:val="1"/>
                <w:bCs w:val="1"/>
                <w:color w:val="auto"/>
              </w:rPr>
              <w:t>(11)</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273</w:t>
            </w:r>
          </w:p>
        </w:tc>
      </w:tr>
      <w:tr>
        <w:trPr>
          <w:trHeight w:val="61"/>
        </w:trPr>
        <w:tc>
          <w:tcPr>
            <w:tcW w:w="7580" w:type="dxa"/>
            <w:vAlign w:val="bottom"/>
            <w:tcBorders>
              <w:bottom w:val="single" w:sz="8" w:color="0D46A1"/>
            </w:tcBorders>
          </w:tcPr>
          <w:p>
            <w:pPr>
              <w:spacing w:after="0"/>
              <w:rPr>
                <w:sz w:val="5"/>
                <w:szCs w:val="5"/>
                <w:color w:val="auto"/>
              </w:rPr>
            </w:pPr>
          </w:p>
        </w:tc>
        <w:tc>
          <w:tcPr>
            <w:tcW w:w="840" w:type="dxa"/>
            <w:vAlign w:val="bottom"/>
            <w:tcBorders>
              <w:bottom w:val="single" w:sz="8" w:color="0D46A1"/>
            </w:tcBorders>
            <w:shd w:val="clear" w:color="auto" w:fill="DCDDDE"/>
          </w:tcPr>
          <w:p>
            <w:pPr>
              <w:spacing w:after="0"/>
              <w:rPr>
                <w:sz w:val="5"/>
                <w:szCs w:val="5"/>
                <w:color w:val="auto"/>
              </w:rPr>
            </w:pPr>
          </w:p>
        </w:tc>
        <w:tc>
          <w:tcPr>
            <w:tcW w:w="1040" w:type="dxa"/>
            <w:vAlign w:val="bottom"/>
            <w:tcBorders>
              <w:left w:val="single" w:sz="8" w:color="DCDDDE"/>
              <w:bottom w:val="single" w:sz="8" w:color="0D46A1"/>
            </w:tcBorders>
          </w:tcPr>
          <w:p>
            <w:pPr>
              <w:spacing w:after="0"/>
              <w:rPr>
                <w:sz w:val="5"/>
                <w:szCs w:val="5"/>
                <w:color w:val="auto"/>
              </w:rPr>
            </w:pPr>
          </w:p>
        </w:tc>
        <w:tc>
          <w:tcPr>
            <w:tcW w:w="740" w:type="dxa"/>
            <w:vAlign w:val="bottom"/>
            <w:tcBorders>
              <w:bottom w:val="single" w:sz="8" w:color="0D46A1"/>
            </w:tcBorders>
          </w:tcPr>
          <w:p>
            <w:pPr>
              <w:spacing w:after="0"/>
              <w:rPr>
                <w:sz w:val="5"/>
                <w:szCs w:val="5"/>
                <w:color w:val="auto"/>
              </w:rPr>
            </w:pPr>
          </w:p>
        </w:tc>
      </w:tr>
      <w:tr>
        <w:trPr>
          <w:trHeight w:val="250"/>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0"/>
                <w:szCs w:val="20"/>
                <w:color w:val="auto"/>
              </w:rPr>
              <w:t>Chemical Products Sales (kt)</w:t>
            </w:r>
          </w:p>
        </w:tc>
        <w:tc>
          <w:tcPr>
            <w:tcW w:w="8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5,358</w:t>
            </w:r>
          </w:p>
        </w:tc>
        <w:tc>
          <w:tcPr>
            <w:tcW w:w="1040" w:type="dxa"/>
            <w:vAlign w:val="bottom"/>
            <w:tcBorders>
              <w:left w:val="single" w:sz="8" w:color="DCDDDE"/>
              <w:bottom w:val="single" w:sz="8" w:color="0C479D"/>
            </w:tcBorders>
          </w:tcPr>
          <w:p>
            <w:pPr>
              <w:jc w:val="right"/>
              <w:ind w:right="121"/>
              <w:spacing w:after="0"/>
              <w:rPr>
                <w:sz w:val="20"/>
                <w:szCs w:val="20"/>
                <w:color w:val="auto"/>
              </w:rPr>
            </w:pPr>
            <w:r>
              <w:rPr>
                <w:rFonts w:ascii="Arial" w:cs="Arial" w:eastAsia="Arial" w:hAnsi="Arial"/>
                <w:sz w:val="20"/>
                <w:szCs w:val="20"/>
                <w:color w:val="auto"/>
              </w:rPr>
              <w:t>5,743</w:t>
            </w:r>
          </w:p>
        </w:tc>
        <w:tc>
          <w:tcPr>
            <w:tcW w:w="740" w:type="dxa"/>
            <w:vAlign w:val="bottom"/>
            <w:tcBorders>
              <w:bottom w:val="single" w:sz="8" w:color="0C479D"/>
            </w:tcBorders>
          </w:tcPr>
          <w:p>
            <w:pPr>
              <w:jc w:val="right"/>
              <w:spacing w:after="0"/>
              <w:rPr>
                <w:sz w:val="20"/>
                <w:szCs w:val="20"/>
                <w:color w:val="auto"/>
              </w:rPr>
            </w:pPr>
            <w:r>
              <w:rPr>
                <w:rFonts w:ascii="Arial" w:cs="Arial" w:eastAsia="Arial" w:hAnsi="Arial"/>
                <w:sz w:val="20"/>
                <w:szCs w:val="20"/>
                <w:color w:val="auto"/>
              </w:rPr>
              <w:t>4,776</w:t>
            </w:r>
          </w:p>
        </w:tc>
      </w:tr>
    </w:tbl>
    <w:p>
      <w:pPr>
        <w:spacing w:after="0" w:line="100" w:lineRule="exact"/>
        <w:rPr>
          <w:sz w:val="20"/>
          <w:szCs w:val="20"/>
          <w:color w:val="auto"/>
        </w:rPr>
      </w:pPr>
    </w:p>
    <w:p>
      <w:pPr>
        <w:jc w:val="both"/>
        <w:ind w:left="317" w:hanging="317"/>
        <w:spacing w:after="0" w:line="262" w:lineRule="auto"/>
        <w:tabs>
          <w:tab w:leader="none" w:pos="305" w:val="left"/>
        </w:tabs>
        <w:numPr>
          <w:ilvl w:val="0"/>
          <w:numId w:val="10"/>
        </w:numPr>
        <w:rPr>
          <w:rFonts w:ascii="Arial" w:cs="Arial" w:eastAsia="Arial" w:hAnsi="Arial"/>
          <w:sz w:val="20"/>
          <w:szCs w:val="20"/>
          <w:b w:val="1"/>
          <w:bCs w:val="1"/>
          <w:color w:val="242424"/>
        </w:rPr>
      </w:pPr>
      <w:r>
        <w:rPr>
          <w:rFonts w:ascii="Arial" w:cs="Arial" w:eastAsia="Arial" w:hAnsi="Arial"/>
          <w:sz w:val="20"/>
          <w:szCs w:val="20"/>
          <w:color w:val="auto"/>
        </w:rPr>
        <w:t>Chemical Products first-quarter earnings were $110 million, a decrease of $163 million versus the same quarter last year. Weaker margins driven by lower realizations and higher feed costs were partly offset by volume increases from the China Chemical Complex start-up and structural cost savings.</w:t>
      </w:r>
    </w:p>
    <w:p>
      <w:pPr>
        <w:spacing w:after="0" w:line="83" w:lineRule="exact"/>
        <w:rPr>
          <w:rFonts w:ascii="Arial" w:cs="Arial" w:eastAsia="Arial" w:hAnsi="Arial"/>
          <w:sz w:val="20"/>
          <w:szCs w:val="20"/>
          <w:b w:val="1"/>
          <w:bCs w:val="1"/>
          <w:color w:val="242424"/>
        </w:rPr>
      </w:pPr>
    </w:p>
    <w:p>
      <w:pPr>
        <w:jc w:val="both"/>
        <w:ind w:left="317" w:right="20" w:hanging="317"/>
        <w:spacing w:after="0" w:line="262" w:lineRule="auto"/>
        <w:tabs>
          <w:tab w:leader="none" w:pos="305" w:val="left"/>
        </w:tabs>
        <w:numPr>
          <w:ilvl w:val="0"/>
          <w:numId w:val="10"/>
        </w:numPr>
        <w:rPr>
          <w:rFonts w:ascii="Arial" w:cs="Arial" w:eastAsia="Arial" w:hAnsi="Arial"/>
          <w:sz w:val="20"/>
          <w:szCs w:val="20"/>
          <w:b w:val="1"/>
          <w:bCs w:val="1"/>
          <w:color w:val="242424"/>
        </w:rPr>
      </w:pPr>
      <w:r>
        <w:rPr>
          <w:rFonts w:ascii="Arial" w:cs="Arial" w:eastAsia="Arial" w:hAnsi="Arial"/>
          <w:sz w:val="20"/>
          <w:szCs w:val="20"/>
          <w:color w:val="auto"/>
        </w:rPr>
        <w:t>First-quarter earnings of $110 million increased $391 million versus the fourth quarter. Improved results were driven by the absence of prior quarter identified items, lower seasonal expenses, and structural cost savings, partly offset by the absence of favorable tax impacts.</w:t>
      </w:r>
    </w:p>
    <w:p>
      <w:pPr>
        <w:sectPr>
          <w:pgSz w:w="11900" w:h="16838" w:orient="portrait"/>
          <w:cols w:equalWidth="0" w:num="1">
            <w:col w:w="11297"/>
          </w:cols>
          <w:pgMar w:left="263" w:top="736" w:right="339" w:bottom="1440" w:gutter="0" w:footer="0" w:header="0"/>
          <w:type w:val="continuous"/>
        </w:sectPr>
      </w:pPr>
    </w:p>
    <w:p>
      <w:pPr>
        <w:spacing w:after="0" w:line="246"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97"/>
          </w:cols>
          <w:pgMar w:left="263" w:top="736" w:right="339" w:bottom="1440" w:gutter="0" w:footer="0" w:header="0"/>
          <w:type w:val="continuous"/>
        </w:sectPr>
      </w:pPr>
    </w:p>
    <w:bookmarkStart w:id="8" w:name="page9"/>
    <w:bookmarkEnd w:id="8"/>
    <w:p>
      <w:pPr>
        <w:ind w:left="597"/>
        <w:spacing w:after="0"/>
        <w:rPr>
          <w:sz w:val="20"/>
          <w:szCs w:val="20"/>
          <w:color w:val="auto"/>
        </w:rPr>
      </w:pPr>
      <w:r>
        <w:rPr>
          <w:rFonts w:ascii="Arial" w:cs="Arial" w:eastAsia="Arial" w:hAnsi="Arial"/>
          <w:sz w:val="25"/>
          <w:szCs w:val="25"/>
          <w:b w:val="1"/>
          <w:bCs w:val="1"/>
          <w:color w:val="0C479D"/>
        </w:rPr>
        <w:t>Specialty Products</w:t>
      </w:r>
    </w:p>
    <w:p>
      <w:pPr>
        <w:spacing w:after="0" w:line="54" w:lineRule="exact"/>
        <w:rPr>
          <w:sz w:val="20"/>
          <w:szCs w:val="20"/>
          <w:color w:val="auto"/>
        </w:rPr>
      </w:pPr>
    </w:p>
    <w:tbl>
      <w:tblPr>
        <w:tblLayout w:type="fixed"/>
        <w:tblInd w:w="577"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ind w:left="380"/>
              <w:spacing w:after="0"/>
              <w:rPr>
                <w:sz w:val="20"/>
                <w:szCs w:val="20"/>
                <w:color w:val="auto"/>
              </w:rPr>
            </w:pPr>
            <w:r>
              <w:rPr>
                <w:rFonts w:ascii="Arial" w:cs="Arial" w:eastAsia="Arial" w:hAnsi="Arial"/>
                <w:sz w:val="20"/>
                <w:szCs w:val="20"/>
                <w:color w:val="FFFFFF"/>
                <w:w w:val="98"/>
              </w:rPr>
              <w:t>1Q26</w:t>
            </w:r>
          </w:p>
        </w:tc>
        <w:tc>
          <w:tcPr>
            <w:tcW w:w="1040" w:type="dxa"/>
            <w:vAlign w:val="bottom"/>
            <w:shd w:val="clear" w:color="auto" w:fill="0C479D"/>
          </w:tcPr>
          <w:p>
            <w:pPr>
              <w:ind w:left="360"/>
              <w:spacing w:after="0"/>
              <w:rPr>
                <w:sz w:val="20"/>
                <w:szCs w:val="20"/>
                <w:color w:val="auto"/>
              </w:rPr>
            </w:pPr>
            <w:r>
              <w:rPr>
                <w:rFonts w:ascii="Arial" w:cs="Arial" w:eastAsia="Arial" w:hAnsi="Arial"/>
                <w:sz w:val="20"/>
                <w:szCs w:val="20"/>
                <w:color w:val="FFFFFF"/>
              </w:rPr>
              <w:t>4Q25</w:t>
            </w:r>
          </w:p>
        </w:tc>
        <w:tc>
          <w:tcPr>
            <w:tcW w:w="700" w:type="dxa"/>
            <w:vAlign w:val="bottom"/>
            <w:shd w:val="clear" w:color="auto" w:fill="0C479D"/>
          </w:tcPr>
          <w:p>
            <w:pPr>
              <w:ind w:left="200"/>
              <w:spacing w:after="0"/>
              <w:rPr>
                <w:sz w:val="20"/>
                <w:szCs w:val="20"/>
                <w:color w:val="auto"/>
              </w:rPr>
            </w:pPr>
            <w:r>
              <w:rPr>
                <w:rFonts w:ascii="Arial" w:cs="Arial" w:eastAsia="Arial" w:hAnsi="Arial"/>
                <w:sz w:val="20"/>
                <w:szCs w:val="20"/>
                <w:color w:val="FFFFFF"/>
                <w:w w:val="98"/>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40" w:type="dxa"/>
            <w:vAlign w:val="bottom"/>
            <w:shd w:val="clear" w:color="auto" w:fill="0C479D"/>
          </w:tcPr>
          <w:p>
            <w:pPr>
              <w:spacing w:after="0"/>
              <w:rPr>
                <w:sz w:val="10"/>
                <w:szCs w:val="10"/>
                <w:color w:val="auto"/>
              </w:rPr>
            </w:pPr>
          </w:p>
        </w:tc>
        <w:tc>
          <w:tcPr>
            <w:tcW w:w="700" w:type="dxa"/>
            <w:vAlign w:val="bottom"/>
            <w:shd w:val="clear" w:color="auto" w:fill="0C479D"/>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0</wp:posOffset>
            </wp:positionV>
            <wp:extent cx="55753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530" cy="342900"/>
                    </a:xfrm>
                    <a:prstGeom prst="rect">
                      <a:avLst/>
                    </a:prstGeom>
                    <a:noFill/>
                  </pic:spPr>
                </pic:pic>
              </a:graphicData>
            </a:graphic>
          </wp:anchor>
        </w:drawing>
      </w:r>
    </w:p>
    <w:p>
      <w:pPr>
        <w:ind w:left="597"/>
        <w:spacing w:after="0"/>
        <w:rPr>
          <w:sz w:val="20"/>
          <w:szCs w:val="20"/>
          <w:color w:val="auto"/>
        </w:rPr>
      </w:pPr>
      <w:r>
        <w:rPr>
          <w:rFonts w:ascii="Arial" w:cs="Arial" w:eastAsia="Arial" w:hAnsi="Arial"/>
          <w:sz w:val="22"/>
          <w:szCs w:val="22"/>
          <w:b w:val="1"/>
          <w:bCs w:val="1"/>
          <w:color w:val="auto"/>
        </w:rPr>
        <w:t>Earnings/(Loss) (U.S. GAAP)</w:t>
      </w:r>
    </w:p>
    <w:p>
      <w:pPr>
        <w:spacing w:after="0" w:line="17" w:lineRule="exact"/>
        <w:rPr>
          <w:sz w:val="20"/>
          <w:szCs w:val="20"/>
          <w:color w:val="auto"/>
        </w:rPr>
      </w:pPr>
    </w:p>
    <w:tbl>
      <w:tblPr>
        <w:tblLayout w:type="fixed"/>
        <w:tblInd w:w="577" w:type="dxa"/>
        <w:tblCellMar>
          <w:top w:w="0" w:type="dxa"/>
          <w:left w:w="0" w:type="dxa"/>
          <w:bottom w:w="0" w:type="dxa"/>
          <w:right w:w="0" w:type="dxa"/>
        </w:tblCellMar>
      </w:tblPr>
      <w:tr>
        <w:trPr>
          <w:trHeight w:val="250"/>
        </w:trPr>
        <w:tc>
          <w:tcPr>
            <w:tcW w:w="7580" w:type="dxa"/>
            <w:vAlign w:val="bottom"/>
            <w:tcBorders>
              <w:top w:val="single" w:sz="8" w:color="0C479D"/>
            </w:tcBorders>
          </w:tcPr>
          <w:p>
            <w:pPr>
              <w:ind w:left="240"/>
              <w:spacing w:after="0"/>
              <w:rPr>
                <w:sz w:val="20"/>
                <w:szCs w:val="20"/>
                <w:color w:val="auto"/>
              </w:rPr>
            </w:pPr>
            <w:r>
              <w:rPr>
                <w:rFonts w:ascii="Arial" w:cs="Arial" w:eastAsia="Arial" w:hAnsi="Arial"/>
                <w:sz w:val="20"/>
                <w:szCs w:val="20"/>
                <w:color w:val="auto"/>
              </w:rPr>
              <w:t>United States</w:t>
            </w:r>
          </w:p>
        </w:tc>
        <w:tc>
          <w:tcPr>
            <w:tcW w:w="8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274</w:t>
            </w:r>
          </w:p>
        </w:tc>
        <w:tc>
          <w:tcPr>
            <w:tcW w:w="1080" w:type="dxa"/>
            <w:vAlign w:val="bottom"/>
            <w:tcBorders>
              <w:top w:val="single" w:sz="8" w:color="0C479D"/>
            </w:tcBorders>
          </w:tcPr>
          <w:p>
            <w:pPr>
              <w:jc w:val="right"/>
              <w:ind w:right="161"/>
              <w:spacing w:after="0"/>
              <w:rPr>
                <w:sz w:val="20"/>
                <w:szCs w:val="20"/>
                <w:color w:val="auto"/>
              </w:rPr>
            </w:pPr>
            <w:r>
              <w:rPr>
                <w:rFonts w:ascii="Arial" w:cs="Arial" w:eastAsia="Arial" w:hAnsi="Arial"/>
                <w:sz w:val="20"/>
                <w:szCs w:val="20"/>
                <w:color w:val="auto"/>
              </w:rPr>
              <w:t>233</w:t>
            </w:r>
          </w:p>
        </w:tc>
        <w:tc>
          <w:tcPr>
            <w:tcW w:w="70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322</w:t>
            </w:r>
          </w:p>
        </w:tc>
      </w:tr>
      <w:tr>
        <w:trPr>
          <w:trHeight w:val="260"/>
        </w:trPr>
        <w:tc>
          <w:tcPr>
            <w:tcW w:w="7580" w:type="dxa"/>
            <w:vAlign w:val="bottom"/>
          </w:tcPr>
          <w:p>
            <w:pPr>
              <w:ind w:left="240"/>
              <w:spacing w:after="0"/>
              <w:rPr>
                <w:sz w:val="20"/>
                <w:szCs w:val="20"/>
                <w:color w:val="auto"/>
              </w:rPr>
            </w:pPr>
            <w:r>
              <w:rPr>
                <w:rFonts w:ascii="Arial" w:cs="Arial" w:eastAsia="Arial" w:hAnsi="Arial"/>
                <w:sz w:val="20"/>
                <w:szCs w:val="20"/>
                <w:color w:val="auto"/>
              </w:rPr>
              <w:t>Non-U.S.</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377</w:t>
            </w:r>
          </w:p>
        </w:tc>
        <w:tc>
          <w:tcPr>
            <w:tcW w:w="1080" w:type="dxa"/>
            <w:vAlign w:val="bottom"/>
            <w:tcBorders>
              <w:left w:val="single" w:sz="8" w:color="DCDDDE"/>
            </w:tcBorders>
          </w:tcPr>
          <w:p>
            <w:pPr>
              <w:jc w:val="right"/>
              <w:ind w:right="161"/>
              <w:spacing w:after="0"/>
              <w:rPr>
                <w:sz w:val="20"/>
                <w:szCs w:val="20"/>
                <w:color w:val="auto"/>
              </w:rPr>
            </w:pPr>
            <w:r>
              <w:rPr>
                <w:rFonts w:ascii="Arial" w:cs="Arial" w:eastAsia="Arial" w:hAnsi="Arial"/>
                <w:sz w:val="20"/>
                <w:szCs w:val="20"/>
                <w:color w:val="auto"/>
              </w:rPr>
              <w:t>449</w:t>
            </w:r>
          </w:p>
        </w:tc>
        <w:tc>
          <w:tcPr>
            <w:tcW w:w="700" w:type="dxa"/>
            <w:vAlign w:val="bottom"/>
          </w:tcPr>
          <w:p>
            <w:pPr>
              <w:jc w:val="right"/>
              <w:spacing w:after="0"/>
              <w:rPr>
                <w:sz w:val="20"/>
                <w:szCs w:val="20"/>
                <w:color w:val="auto"/>
              </w:rPr>
            </w:pPr>
            <w:r>
              <w:rPr>
                <w:rFonts w:ascii="Arial" w:cs="Arial" w:eastAsia="Arial" w:hAnsi="Arial"/>
                <w:sz w:val="20"/>
                <w:szCs w:val="20"/>
                <w:color w:val="auto"/>
              </w:rPr>
              <w:t>333</w:t>
            </w:r>
          </w:p>
        </w:tc>
      </w:tr>
      <w:tr>
        <w:trPr>
          <w:trHeight w:val="280"/>
        </w:trPr>
        <w:tc>
          <w:tcPr>
            <w:tcW w:w="7580" w:type="dxa"/>
            <w:vAlign w:val="bottom"/>
          </w:tcPr>
          <w:p>
            <w:pPr>
              <w:ind w:left="320"/>
              <w:spacing w:after="0"/>
              <w:rPr>
                <w:sz w:val="20"/>
                <w:szCs w:val="20"/>
                <w:color w:val="auto"/>
              </w:rPr>
            </w:pPr>
            <w:r>
              <w:rPr>
                <w:rFonts w:ascii="Arial" w:cs="Arial" w:eastAsia="Arial" w:hAnsi="Arial"/>
                <w:sz w:val="20"/>
                <w:szCs w:val="20"/>
                <w:b w:val="1"/>
                <w:bCs w:val="1"/>
                <w:color w:val="auto"/>
              </w:rPr>
              <w:t>Worldwide</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651</w:t>
            </w:r>
          </w:p>
        </w:tc>
        <w:tc>
          <w:tcPr>
            <w:tcW w:w="1080" w:type="dxa"/>
            <w:vAlign w:val="bottom"/>
            <w:tcBorders>
              <w:left w:val="single" w:sz="8" w:color="DCDDDE"/>
            </w:tcBorders>
          </w:tcPr>
          <w:p>
            <w:pPr>
              <w:jc w:val="right"/>
              <w:ind w:right="161"/>
              <w:spacing w:after="0"/>
              <w:rPr>
                <w:sz w:val="20"/>
                <w:szCs w:val="20"/>
                <w:color w:val="auto"/>
              </w:rPr>
            </w:pPr>
            <w:r>
              <w:rPr>
                <w:rFonts w:ascii="Arial" w:cs="Arial" w:eastAsia="Arial" w:hAnsi="Arial"/>
                <w:sz w:val="20"/>
                <w:szCs w:val="20"/>
                <w:b w:val="1"/>
                <w:bCs w:val="1"/>
                <w:color w:val="auto"/>
              </w:rPr>
              <w:t>682</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655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0</wp:posOffset>
            </wp:positionV>
            <wp:extent cx="55753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30" cy="377190"/>
                    </a:xfrm>
                    <a:prstGeom prst="rect">
                      <a:avLst/>
                    </a:prstGeom>
                    <a:noFill/>
                  </pic:spPr>
                </pic:pic>
              </a:graphicData>
            </a:graphic>
          </wp:anchor>
        </w:drawing>
      </w:r>
    </w:p>
    <w:p>
      <w:pPr>
        <w:spacing w:after="0" w:line="19" w:lineRule="exact"/>
        <w:rPr>
          <w:sz w:val="20"/>
          <w:szCs w:val="20"/>
          <w:color w:val="auto"/>
        </w:rPr>
      </w:pPr>
    </w:p>
    <w:p>
      <w:pPr>
        <w:ind w:left="597"/>
        <w:spacing w:after="0"/>
        <w:rPr>
          <w:sz w:val="20"/>
          <w:szCs w:val="20"/>
          <w:color w:val="auto"/>
        </w:rPr>
      </w:pPr>
      <w:r>
        <w:rPr>
          <w:rFonts w:ascii="Arial" w:cs="Arial" w:eastAsia="Arial" w:hAnsi="Arial"/>
          <w:sz w:val="22"/>
          <w:szCs w:val="22"/>
          <w:b w:val="1"/>
          <w:bCs w:val="1"/>
          <w:color w:val="auto"/>
        </w:rPr>
        <w:t>Earnings/(Loss) Excluding Identified Items (non-GAAP)</w:t>
      </w:r>
    </w:p>
    <w:p>
      <w:pPr>
        <w:spacing w:after="0" w:line="32" w:lineRule="exact"/>
        <w:rPr>
          <w:sz w:val="20"/>
          <w:szCs w:val="20"/>
          <w:color w:val="auto"/>
        </w:rPr>
      </w:pPr>
    </w:p>
    <w:tbl>
      <w:tblPr>
        <w:tblLayout w:type="fixed"/>
        <w:tblInd w:w="577" w:type="dxa"/>
        <w:tblCellMar>
          <w:top w:w="0" w:type="dxa"/>
          <w:left w:w="0" w:type="dxa"/>
          <w:bottom w:w="0" w:type="dxa"/>
          <w:right w:w="0" w:type="dxa"/>
        </w:tblCellMar>
      </w:tblPr>
      <w:tr>
        <w:trPr>
          <w:trHeight w:val="250"/>
        </w:trPr>
        <w:tc>
          <w:tcPr>
            <w:tcW w:w="7580" w:type="dxa"/>
            <w:vAlign w:val="bottom"/>
            <w:tcBorders>
              <w:top w:val="single" w:sz="8" w:color="0C479D"/>
            </w:tcBorders>
          </w:tcPr>
          <w:p>
            <w:pPr>
              <w:ind w:left="240"/>
              <w:spacing w:after="0"/>
              <w:rPr>
                <w:sz w:val="20"/>
                <w:szCs w:val="20"/>
                <w:color w:val="auto"/>
              </w:rPr>
            </w:pPr>
            <w:r>
              <w:rPr>
                <w:rFonts w:ascii="Arial" w:cs="Arial" w:eastAsia="Arial" w:hAnsi="Arial"/>
                <w:sz w:val="20"/>
                <w:szCs w:val="20"/>
                <w:color w:val="auto"/>
              </w:rPr>
              <w:t>United States</w:t>
            </w:r>
          </w:p>
        </w:tc>
        <w:tc>
          <w:tcPr>
            <w:tcW w:w="84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274</w:t>
            </w:r>
          </w:p>
        </w:tc>
        <w:tc>
          <w:tcPr>
            <w:tcW w:w="1000" w:type="dxa"/>
            <w:vAlign w:val="bottom"/>
            <w:tcBorders>
              <w:top w:val="single" w:sz="8" w:color="0C479D"/>
            </w:tcBorders>
          </w:tcPr>
          <w:p>
            <w:pPr>
              <w:jc w:val="right"/>
              <w:ind w:right="81"/>
              <w:spacing w:after="0"/>
              <w:rPr>
                <w:sz w:val="20"/>
                <w:szCs w:val="20"/>
                <w:color w:val="auto"/>
              </w:rPr>
            </w:pPr>
            <w:r>
              <w:rPr>
                <w:rFonts w:ascii="Arial" w:cs="Arial" w:eastAsia="Arial" w:hAnsi="Arial"/>
                <w:sz w:val="20"/>
                <w:szCs w:val="20"/>
                <w:color w:val="auto"/>
              </w:rPr>
              <w:t>221</w:t>
            </w:r>
          </w:p>
        </w:tc>
        <w:tc>
          <w:tcPr>
            <w:tcW w:w="780" w:type="dxa"/>
            <w:vAlign w:val="bottom"/>
            <w:tcBorders>
              <w:top w:val="single" w:sz="8" w:color="0C479D"/>
            </w:tcBorders>
          </w:tcPr>
          <w:p>
            <w:pPr>
              <w:jc w:val="right"/>
              <w:spacing w:after="0"/>
              <w:rPr>
                <w:sz w:val="20"/>
                <w:szCs w:val="20"/>
                <w:color w:val="auto"/>
              </w:rPr>
            </w:pPr>
            <w:r>
              <w:rPr>
                <w:rFonts w:ascii="Arial" w:cs="Arial" w:eastAsia="Arial" w:hAnsi="Arial"/>
                <w:sz w:val="20"/>
                <w:szCs w:val="20"/>
                <w:color w:val="auto"/>
              </w:rPr>
              <w:t>322</w:t>
            </w:r>
          </w:p>
        </w:tc>
      </w:tr>
      <w:tr>
        <w:trPr>
          <w:trHeight w:val="260"/>
        </w:trPr>
        <w:tc>
          <w:tcPr>
            <w:tcW w:w="7580" w:type="dxa"/>
            <w:vAlign w:val="bottom"/>
          </w:tcPr>
          <w:p>
            <w:pPr>
              <w:ind w:left="240"/>
              <w:spacing w:after="0"/>
              <w:rPr>
                <w:sz w:val="20"/>
                <w:szCs w:val="20"/>
                <w:color w:val="auto"/>
              </w:rPr>
            </w:pPr>
            <w:r>
              <w:rPr>
                <w:rFonts w:ascii="Arial" w:cs="Arial" w:eastAsia="Arial" w:hAnsi="Arial"/>
                <w:sz w:val="20"/>
                <w:szCs w:val="20"/>
                <w:color w:val="auto"/>
              </w:rPr>
              <w:t>Non-U.S.</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color w:val="auto"/>
              </w:rPr>
              <w:t>377</w:t>
            </w:r>
          </w:p>
        </w:tc>
        <w:tc>
          <w:tcPr>
            <w:tcW w:w="100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color w:val="auto"/>
              </w:rPr>
              <w:t>461</w:t>
            </w:r>
          </w:p>
        </w:tc>
        <w:tc>
          <w:tcPr>
            <w:tcW w:w="780" w:type="dxa"/>
            <w:vAlign w:val="bottom"/>
          </w:tcPr>
          <w:p>
            <w:pPr>
              <w:jc w:val="right"/>
              <w:spacing w:after="0"/>
              <w:rPr>
                <w:sz w:val="20"/>
                <w:szCs w:val="20"/>
                <w:color w:val="auto"/>
              </w:rPr>
            </w:pPr>
            <w:r>
              <w:rPr>
                <w:rFonts w:ascii="Arial" w:cs="Arial" w:eastAsia="Arial" w:hAnsi="Arial"/>
                <w:sz w:val="20"/>
                <w:szCs w:val="20"/>
                <w:color w:val="auto"/>
              </w:rPr>
              <w:t>333</w:t>
            </w:r>
          </w:p>
        </w:tc>
      </w:tr>
      <w:tr>
        <w:trPr>
          <w:trHeight w:val="273"/>
        </w:trPr>
        <w:tc>
          <w:tcPr>
            <w:tcW w:w="7580" w:type="dxa"/>
            <w:vAlign w:val="bottom"/>
          </w:tcPr>
          <w:p>
            <w:pPr>
              <w:ind w:left="340"/>
              <w:spacing w:after="0"/>
              <w:rPr>
                <w:sz w:val="20"/>
                <w:szCs w:val="20"/>
                <w:color w:val="auto"/>
              </w:rPr>
            </w:pPr>
            <w:r>
              <w:rPr>
                <w:rFonts w:ascii="Arial" w:cs="Arial" w:eastAsia="Arial" w:hAnsi="Arial"/>
                <w:sz w:val="20"/>
                <w:szCs w:val="20"/>
                <w:b w:val="1"/>
                <w:bCs w:val="1"/>
                <w:color w:val="auto"/>
              </w:rPr>
              <w:t>Worldwide</w:t>
            </w:r>
          </w:p>
        </w:tc>
        <w:tc>
          <w:tcPr>
            <w:tcW w:w="84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651</w:t>
            </w:r>
          </w:p>
        </w:tc>
        <w:tc>
          <w:tcPr>
            <w:tcW w:w="1000" w:type="dxa"/>
            <w:vAlign w:val="bottom"/>
            <w:tcBorders>
              <w:left w:val="single" w:sz="8" w:color="DCDDDE"/>
            </w:tcBorders>
          </w:tcPr>
          <w:p>
            <w:pPr>
              <w:jc w:val="right"/>
              <w:ind w:right="81"/>
              <w:spacing w:after="0"/>
              <w:rPr>
                <w:sz w:val="20"/>
                <w:szCs w:val="20"/>
                <w:color w:val="auto"/>
              </w:rPr>
            </w:pPr>
            <w:r>
              <w:rPr>
                <w:rFonts w:ascii="Arial" w:cs="Arial" w:eastAsia="Arial" w:hAnsi="Arial"/>
                <w:sz w:val="20"/>
                <w:szCs w:val="20"/>
                <w:b w:val="1"/>
                <w:bCs w:val="1"/>
                <w:color w:val="auto"/>
              </w:rPr>
              <w:t>682</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auto"/>
              </w:rPr>
              <w:t>655</w:t>
            </w:r>
          </w:p>
        </w:tc>
      </w:tr>
      <w:tr>
        <w:trPr>
          <w:trHeight w:val="61"/>
        </w:trPr>
        <w:tc>
          <w:tcPr>
            <w:tcW w:w="7580" w:type="dxa"/>
            <w:vAlign w:val="bottom"/>
            <w:tcBorders>
              <w:bottom w:val="single" w:sz="8" w:color="0D46A1"/>
            </w:tcBorders>
          </w:tcPr>
          <w:p>
            <w:pPr>
              <w:spacing w:after="0"/>
              <w:rPr>
                <w:sz w:val="5"/>
                <w:szCs w:val="5"/>
                <w:color w:val="auto"/>
              </w:rPr>
            </w:pPr>
          </w:p>
        </w:tc>
        <w:tc>
          <w:tcPr>
            <w:tcW w:w="840" w:type="dxa"/>
            <w:vAlign w:val="bottom"/>
            <w:tcBorders>
              <w:bottom w:val="single" w:sz="8" w:color="0D46A1"/>
            </w:tcBorders>
            <w:shd w:val="clear" w:color="auto" w:fill="DCDDDE"/>
          </w:tcPr>
          <w:p>
            <w:pPr>
              <w:spacing w:after="0"/>
              <w:rPr>
                <w:sz w:val="5"/>
                <w:szCs w:val="5"/>
                <w:color w:val="auto"/>
              </w:rPr>
            </w:pPr>
          </w:p>
        </w:tc>
        <w:tc>
          <w:tcPr>
            <w:tcW w:w="1000" w:type="dxa"/>
            <w:vAlign w:val="bottom"/>
            <w:tcBorders>
              <w:left w:val="single" w:sz="8" w:color="DCDDDE"/>
              <w:bottom w:val="single" w:sz="8" w:color="0D46A1"/>
            </w:tcBorders>
          </w:tcPr>
          <w:p>
            <w:pPr>
              <w:spacing w:after="0"/>
              <w:rPr>
                <w:sz w:val="5"/>
                <w:szCs w:val="5"/>
                <w:color w:val="auto"/>
              </w:rPr>
            </w:pPr>
          </w:p>
        </w:tc>
        <w:tc>
          <w:tcPr>
            <w:tcW w:w="780" w:type="dxa"/>
            <w:vAlign w:val="bottom"/>
            <w:tcBorders>
              <w:bottom w:val="single" w:sz="8" w:color="0D46A1"/>
            </w:tcBorders>
          </w:tcPr>
          <w:p>
            <w:pPr>
              <w:spacing w:after="0"/>
              <w:rPr>
                <w:sz w:val="5"/>
                <w:szCs w:val="5"/>
                <w:color w:val="auto"/>
              </w:rPr>
            </w:pPr>
          </w:p>
        </w:tc>
      </w:tr>
      <w:tr>
        <w:trPr>
          <w:trHeight w:val="250"/>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0"/>
                <w:szCs w:val="20"/>
                <w:color w:val="auto"/>
              </w:rPr>
              <w:t>Specialty Products Sales (kt)</w:t>
            </w:r>
          </w:p>
        </w:tc>
        <w:tc>
          <w:tcPr>
            <w:tcW w:w="84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1,976</w:t>
            </w:r>
          </w:p>
        </w:tc>
        <w:tc>
          <w:tcPr>
            <w:tcW w:w="1000" w:type="dxa"/>
            <w:vAlign w:val="bottom"/>
            <w:tcBorders>
              <w:left w:val="single" w:sz="8" w:color="DCDDDE"/>
              <w:bottom w:val="single" w:sz="8" w:color="0C479D"/>
            </w:tcBorders>
          </w:tcPr>
          <w:p>
            <w:pPr>
              <w:jc w:val="right"/>
              <w:ind w:right="81"/>
              <w:spacing w:after="0"/>
              <w:rPr>
                <w:sz w:val="20"/>
                <w:szCs w:val="20"/>
                <w:color w:val="auto"/>
              </w:rPr>
            </w:pPr>
            <w:r>
              <w:rPr>
                <w:rFonts w:ascii="Arial" w:cs="Arial" w:eastAsia="Arial" w:hAnsi="Arial"/>
                <w:sz w:val="20"/>
                <w:szCs w:val="20"/>
                <w:color w:val="auto"/>
              </w:rPr>
              <w:t>1,919</w:t>
            </w:r>
          </w:p>
        </w:tc>
        <w:tc>
          <w:tcPr>
            <w:tcW w:w="780" w:type="dxa"/>
            <w:vAlign w:val="bottom"/>
            <w:tcBorders>
              <w:bottom w:val="single" w:sz="8" w:color="0C479D"/>
            </w:tcBorders>
          </w:tcPr>
          <w:p>
            <w:pPr>
              <w:jc w:val="right"/>
              <w:spacing w:after="0"/>
              <w:rPr>
                <w:sz w:val="20"/>
                <w:szCs w:val="20"/>
                <w:color w:val="auto"/>
              </w:rPr>
            </w:pPr>
            <w:r>
              <w:rPr>
                <w:rFonts w:ascii="Arial" w:cs="Arial" w:eastAsia="Arial" w:hAnsi="Arial"/>
                <w:sz w:val="20"/>
                <w:szCs w:val="20"/>
                <w:color w:val="auto"/>
              </w:rPr>
              <w:t>1,936</w:t>
            </w:r>
          </w:p>
        </w:tc>
      </w:tr>
    </w:tbl>
    <w:p>
      <w:pPr>
        <w:spacing w:after="0" w:line="194" w:lineRule="exact"/>
        <w:rPr>
          <w:sz w:val="20"/>
          <w:szCs w:val="20"/>
          <w:color w:val="auto"/>
        </w:rPr>
      </w:pPr>
    </w:p>
    <w:p>
      <w:pPr>
        <w:ind w:left="317" w:hanging="317"/>
        <w:spacing w:after="0" w:line="280" w:lineRule="auto"/>
        <w:tabs>
          <w:tab w:leader="none" w:pos="305" w:val="left"/>
        </w:tabs>
        <w:numPr>
          <w:ilvl w:val="0"/>
          <w:numId w:val="11"/>
        </w:numPr>
        <w:rPr>
          <w:rFonts w:ascii="Arial" w:cs="Arial" w:eastAsia="Arial" w:hAnsi="Arial"/>
          <w:sz w:val="20"/>
          <w:szCs w:val="20"/>
          <w:b w:val="1"/>
          <w:bCs w:val="1"/>
          <w:color w:val="242424"/>
        </w:rPr>
      </w:pPr>
      <w:r>
        <w:rPr>
          <w:rFonts w:ascii="Arial" w:cs="Arial" w:eastAsia="Arial" w:hAnsi="Arial"/>
          <w:sz w:val="20"/>
          <w:szCs w:val="20"/>
          <w:color w:val="auto"/>
        </w:rPr>
        <w:t>Specialty Products delivered strong first-quarter earnings of $651 million, consistent with the same period last year. Record sales volume of high-value products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and structural cost savings were offset by lower margins from increased feed costs.</w:t>
      </w:r>
    </w:p>
    <w:p>
      <w:pPr>
        <w:spacing w:after="0" w:line="3" w:lineRule="exact"/>
        <w:rPr>
          <w:rFonts w:ascii="Arial" w:cs="Arial" w:eastAsia="Arial" w:hAnsi="Arial"/>
          <w:sz w:val="20"/>
          <w:szCs w:val="20"/>
          <w:b w:val="1"/>
          <w:bCs w:val="1"/>
          <w:color w:val="242424"/>
        </w:rPr>
      </w:pPr>
    </w:p>
    <w:p>
      <w:pPr>
        <w:ind w:left="317" w:right="20" w:hanging="317"/>
        <w:spacing w:after="0" w:line="271" w:lineRule="auto"/>
        <w:tabs>
          <w:tab w:leader="none" w:pos="305" w:val="left"/>
        </w:tabs>
        <w:numPr>
          <w:ilvl w:val="0"/>
          <w:numId w:val="11"/>
        </w:numPr>
        <w:rPr>
          <w:rFonts w:ascii="Arial" w:cs="Arial" w:eastAsia="Arial" w:hAnsi="Arial"/>
          <w:sz w:val="20"/>
          <w:szCs w:val="20"/>
          <w:b w:val="1"/>
          <w:bCs w:val="1"/>
          <w:color w:val="242424"/>
        </w:rPr>
      </w:pPr>
      <w:r>
        <w:rPr>
          <w:rFonts w:ascii="Arial" w:cs="Arial" w:eastAsia="Arial" w:hAnsi="Arial"/>
          <w:sz w:val="20"/>
          <w:szCs w:val="20"/>
          <w:color w:val="auto"/>
        </w:rPr>
        <w:t>First-quarter earnings of $651 million decreased $31 million from the prior quarter. Higher feed costs that compressed margins were partially offset by lower seasonal expenses and record sales volumes of high-value products.</w:t>
      </w:r>
    </w:p>
    <w:p>
      <w:pPr>
        <w:spacing w:after="0" w:line="200" w:lineRule="exact"/>
        <w:rPr>
          <w:sz w:val="20"/>
          <w:szCs w:val="20"/>
          <w:color w:val="auto"/>
        </w:rPr>
      </w:pPr>
    </w:p>
    <w:p>
      <w:pPr>
        <w:spacing w:after="0" w:line="209" w:lineRule="exact"/>
        <w:rPr>
          <w:sz w:val="20"/>
          <w:szCs w:val="20"/>
          <w:color w:val="auto"/>
        </w:rPr>
      </w:pPr>
    </w:p>
    <w:p>
      <w:pPr>
        <w:ind w:left="597"/>
        <w:spacing w:after="0"/>
        <w:rPr>
          <w:sz w:val="20"/>
          <w:szCs w:val="20"/>
          <w:color w:val="auto"/>
        </w:rPr>
      </w:pPr>
      <w:r>
        <w:rPr>
          <w:rFonts w:ascii="Arial" w:cs="Arial" w:eastAsia="Arial" w:hAnsi="Arial"/>
          <w:sz w:val="25"/>
          <w:szCs w:val="25"/>
          <w:b w:val="1"/>
          <w:bCs w:val="1"/>
          <w:color w:val="0C479D"/>
        </w:rPr>
        <w:t>Corporate and Financing</w:t>
      </w:r>
    </w:p>
    <w:p>
      <w:pPr>
        <w:spacing w:after="0" w:line="54" w:lineRule="exact"/>
        <w:rPr>
          <w:sz w:val="20"/>
          <w:szCs w:val="20"/>
          <w:color w:val="auto"/>
        </w:rPr>
      </w:pPr>
    </w:p>
    <w:tbl>
      <w:tblPr>
        <w:tblLayout w:type="fixed"/>
        <w:tblInd w:w="577"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40" w:type="dxa"/>
            <w:vAlign w:val="bottom"/>
            <w:shd w:val="clear" w:color="auto" w:fill="0C479D"/>
          </w:tcPr>
          <w:p>
            <w:pPr>
              <w:ind w:left="360"/>
              <w:spacing w:after="0"/>
              <w:rPr>
                <w:sz w:val="20"/>
                <w:szCs w:val="20"/>
                <w:color w:val="auto"/>
              </w:rPr>
            </w:pPr>
            <w:r>
              <w:rPr>
                <w:rFonts w:ascii="Arial" w:cs="Arial" w:eastAsia="Arial" w:hAnsi="Arial"/>
                <w:sz w:val="20"/>
                <w:szCs w:val="20"/>
                <w:color w:val="FFFFFF"/>
              </w:rPr>
              <w:t>4Q25</w:t>
            </w:r>
          </w:p>
        </w:tc>
        <w:tc>
          <w:tcPr>
            <w:tcW w:w="700" w:type="dxa"/>
            <w:vAlign w:val="bottom"/>
            <w:shd w:val="clear" w:color="auto" w:fill="0C479D"/>
          </w:tcPr>
          <w:p>
            <w:pPr>
              <w:ind w:left="200"/>
              <w:spacing w:after="0"/>
              <w:rPr>
                <w:sz w:val="20"/>
                <w:szCs w:val="20"/>
                <w:color w:val="auto"/>
              </w:rPr>
            </w:pPr>
            <w:r>
              <w:rPr>
                <w:rFonts w:ascii="Arial" w:cs="Arial" w:eastAsia="Arial" w:hAnsi="Arial"/>
                <w:sz w:val="20"/>
                <w:szCs w:val="20"/>
                <w:color w:val="FFFFFF"/>
                <w:w w:val="98"/>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40" w:type="dxa"/>
            <w:vAlign w:val="bottom"/>
            <w:shd w:val="clear" w:color="auto" w:fill="0C479D"/>
          </w:tcPr>
          <w:p>
            <w:pPr>
              <w:spacing w:after="0"/>
              <w:rPr>
                <w:sz w:val="10"/>
                <w:szCs w:val="10"/>
                <w:color w:val="auto"/>
              </w:rPr>
            </w:pPr>
          </w:p>
        </w:tc>
        <w:tc>
          <w:tcPr>
            <w:tcW w:w="700" w:type="dxa"/>
            <w:vAlign w:val="bottom"/>
            <w:shd w:val="clear" w:color="auto" w:fill="0C479D"/>
          </w:tcPr>
          <w:p>
            <w:pPr>
              <w:spacing w:after="0"/>
              <w:rPr>
                <w:sz w:val="10"/>
                <w:szCs w:val="10"/>
                <w:color w:val="auto"/>
              </w:rPr>
            </w:pPr>
          </w:p>
        </w:tc>
      </w:tr>
      <w:tr>
        <w:trPr>
          <w:trHeight w:val="270"/>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2"/>
                <w:szCs w:val="22"/>
                <w:b w:val="1"/>
                <w:bCs w:val="1"/>
                <w:color w:val="auto"/>
              </w:rPr>
              <w:t>Earnings/(Loss) (U.S. GAAP)</w:t>
            </w:r>
          </w:p>
        </w:tc>
        <w:tc>
          <w:tcPr>
            <w:tcW w:w="88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b w:val="1"/>
                <w:bCs w:val="1"/>
                <w:color w:val="auto"/>
              </w:rPr>
              <w:t>(1,053)</w:t>
            </w:r>
          </w:p>
        </w:tc>
        <w:tc>
          <w:tcPr>
            <w:tcW w:w="1040" w:type="dxa"/>
            <w:vAlign w:val="bottom"/>
            <w:tcBorders>
              <w:bottom w:val="single" w:sz="8" w:color="0C479D"/>
            </w:tcBorders>
          </w:tcPr>
          <w:p>
            <w:pPr>
              <w:ind w:left="360"/>
              <w:spacing w:after="0"/>
              <w:rPr>
                <w:sz w:val="20"/>
                <w:szCs w:val="20"/>
                <w:color w:val="auto"/>
              </w:rPr>
            </w:pPr>
            <w:r>
              <w:rPr>
                <w:rFonts w:ascii="Arial" w:cs="Arial" w:eastAsia="Arial" w:hAnsi="Arial"/>
                <w:sz w:val="20"/>
                <w:szCs w:val="20"/>
                <w:b w:val="1"/>
                <w:bCs w:val="1"/>
                <w:color w:val="auto"/>
              </w:rPr>
              <w:t>(807)</w:t>
            </w:r>
          </w:p>
        </w:tc>
        <w:tc>
          <w:tcPr>
            <w:tcW w:w="700" w:type="dxa"/>
            <w:vAlign w:val="bottom"/>
            <w:tcBorders>
              <w:bottom w:val="single" w:sz="8" w:color="0C479D"/>
            </w:tcBorders>
          </w:tcPr>
          <w:p>
            <w:pPr>
              <w:ind w:left="200"/>
              <w:spacing w:after="0"/>
              <w:rPr>
                <w:sz w:val="20"/>
                <w:szCs w:val="20"/>
                <w:color w:val="auto"/>
              </w:rPr>
            </w:pPr>
            <w:r>
              <w:rPr>
                <w:rFonts w:ascii="Arial" w:cs="Arial" w:eastAsia="Arial" w:hAnsi="Arial"/>
                <w:sz w:val="20"/>
                <w:szCs w:val="20"/>
                <w:b w:val="1"/>
                <w:bCs w:val="1"/>
                <w:color w:val="auto"/>
              </w:rPr>
              <w:t>(798)</w:t>
            </w:r>
          </w:p>
        </w:tc>
      </w:tr>
      <w:tr>
        <w:trPr>
          <w:trHeight w:val="264"/>
        </w:trPr>
        <w:tc>
          <w:tcPr>
            <w:tcW w:w="7580" w:type="dxa"/>
            <w:vAlign w:val="bottom"/>
          </w:tcPr>
          <w:p>
            <w:pPr>
              <w:ind w:left="20"/>
              <w:spacing w:after="0"/>
              <w:rPr>
                <w:sz w:val="20"/>
                <w:szCs w:val="20"/>
                <w:color w:val="auto"/>
              </w:rPr>
            </w:pPr>
            <w:r>
              <w:rPr>
                <w:rFonts w:ascii="Arial" w:cs="Arial" w:eastAsia="Arial" w:hAnsi="Arial"/>
                <w:sz w:val="22"/>
                <w:szCs w:val="22"/>
                <w:b w:val="1"/>
                <w:bCs w:val="1"/>
                <w:color w:val="auto"/>
              </w:rPr>
              <w:t>Earnings/(Loss) Excluding Identified Items (non-GAAP)</w:t>
            </w:r>
          </w:p>
        </w:tc>
        <w:tc>
          <w:tcPr>
            <w:tcW w:w="880" w:type="dxa"/>
            <w:vAlign w:val="bottom"/>
            <w:shd w:val="clear" w:color="auto" w:fill="DCDDDE"/>
          </w:tcPr>
          <w:p>
            <w:pPr>
              <w:jc w:val="right"/>
              <w:spacing w:after="0"/>
              <w:rPr>
                <w:sz w:val="20"/>
                <w:szCs w:val="20"/>
                <w:color w:val="auto"/>
              </w:rPr>
            </w:pPr>
            <w:r>
              <w:rPr>
                <w:rFonts w:ascii="Arial" w:cs="Arial" w:eastAsia="Arial" w:hAnsi="Arial"/>
                <w:sz w:val="20"/>
                <w:szCs w:val="20"/>
                <w:b w:val="1"/>
                <w:bCs w:val="1"/>
                <w:color w:val="auto"/>
              </w:rPr>
              <w:t>(1,053)</w:t>
            </w:r>
          </w:p>
        </w:tc>
        <w:tc>
          <w:tcPr>
            <w:tcW w:w="1040" w:type="dxa"/>
            <w:vAlign w:val="bottom"/>
          </w:tcPr>
          <w:p>
            <w:pPr>
              <w:ind w:left="360"/>
              <w:spacing w:after="0"/>
              <w:rPr>
                <w:sz w:val="20"/>
                <w:szCs w:val="20"/>
                <w:color w:val="auto"/>
              </w:rPr>
            </w:pPr>
            <w:r>
              <w:rPr>
                <w:rFonts w:ascii="Arial" w:cs="Arial" w:eastAsia="Arial" w:hAnsi="Arial"/>
                <w:sz w:val="20"/>
                <w:szCs w:val="20"/>
                <w:b w:val="1"/>
                <w:bCs w:val="1"/>
                <w:color w:val="auto"/>
              </w:rPr>
              <w:t>(732)</w:t>
            </w:r>
          </w:p>
        </w:tc>
        <w:tc>
          <w:tcPr>
            <w:tcW w:w="700" w:type="dxa"/>
            <w:vAlign w:val="bottom"/>
          </w:tcPr>
          <w:p>
            <w:pPr>
              <w:ind w:left="200"/>
              <w:spacing w:after="0"/>
              <w:rPr>
                <w:sz w:val="20"/>
                <w:szCs w:val="20"/>
                <w:color w:val="auto"/>
              </w:rPr>
            </w:pPr>
            <w:r>
              <w:rPr>
                <w:rFonts w:ascii="Arial" w:cs="Arial" w:eastAsia="Arial" w:hAnsi="Arial"/>
                <w:sz w:val="20"/>
                <w:szCs w:val="20"/>
                <w:b w:val="1"/>
                <w:bCs w:val="1"/>
                <w:color w:val="auto"/>
              </w:rPr>
              <w:t>(798)</w:t>
            </w:r>
          </w:p>
        </w:tc>
      </w:tr>
    </w:tbl>
    <w:p>
      <w:pPr>
        <w:spacing w:after="0" w:line="194" w:lineRule="exact"/>
        <w:rPr>
          <w:sz w:val="20"/>
          <w:szCs w:val="20"/>
          <w:color w:val="auto"/>
        </w:rPr>
      </w:pPr>
    </w:p>
    <w:p>
      <w:pPr>
        <w:ind w:left="317" w:hanging="317"/>
        <w:spacing w:after="0" w:line="286" w:lineRule="auto"/>
        <w:tabs>
          <w:tab w:leader="none" w:pos="305" w:val="left"/>
        </w:tabs>
        <w:numPr>
          <w:ilvl w:val="0"/>
          <w:numId w:val="12"/>
        </w:numPr>
        <w:rPr>
          <w:rFonts w:ascii="Arial" w:cs="Arial" w:eastAsia="Arial" w:hAnsi="Arial"/>
          <w:sz w:val="20"/>
          <w:szCs w:val="20"/>
          <w:b w:val="1"/>
          <w:bCs w:val="1"/>
          <w:color w:val="242424"/>
        </w:rPr>
      </w:pPr>
      <w:r>
        <w:rPr>
          <w:rFonts w:ascii="Arial" w:cs="Arial" w:eastAsia="Arial" w:hAnsi="Arial"/>
          <w:sz w:val="20"/>
          <w:szCs w:val="20"/>
          <w:color w:val="auto"/>
        </w:rPr>
        <w:t>Corporate and Financing first-quarter net charges were $1.1 billion compared to $0.8 billion in the same quarter last year due to lower interest income and the absence of favorable tax items.</w:t>
      </w:r>
    </w:p>
    <w:p>
      <w:pPr>
        <w:spacing w:after="0" w:line="59" w:lineRule="exact"/>
        <w:rPr>
          <w:rFonts w:ascii="Arial" w:cs="Arial" w:eastAsia="Arial" w:hAnsi="Arial"/>
          <w:sz w:val="20"/>
          <w:szCs w:val="20"/>
          <w:b w:val="1"/>
          <w:bCs w:val="1"/>
          <w:color w:val="242424"/>
        </w:rPr>
      </w:pPr>
    </w:p>
    <w:p>
      <w:pPr>
        <w:ind w:left="317" w:hanging="317"/>
        <w:spacing w:after="0" w:line="271" w:lineRule="auto"/>
        <w:tabs>
          <w:tab w:leader="none" w:pos="305" w:val="left"/>
        </w:tabs>
        <w:numPr>
          <w:ilvl w:val="0"/>
          <w:numId w:val="12"/>
        </w:numPr>
        <w:rPr>
          <w:rFonts w:ascii="Arial" w:cs="Arial" w:eastAsia="Arial" w:hAnsi="Arial"/>
          <w:sz w:val="20"/>
          <w:szCs w:val="20"/>
          <w:b w:val="1"/>
          <w:bCs w:val="1"/>
          <w:color w:val="242424"/>
        </w:rPr>
      </w:pPr>
      <w:r>
        <w:rPr>
          <w:rFonts w:ascii="Arial" w:cs="Arial" w:eastAsia="Arial" w:hAnsi="Arial"/>
          <w:sz w:val="20"/>
          <w:szCs w:val="20"/>
          <w:color w:val="auto"/>
        </w:rPr>
        <w:t>First-quarter net charges of $1.1 billion increased $0.2 billion versus the fourth quarter driven by the absence of favorable tax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7" w:hanging="72"/>
        <w:spacing w:after="0"/>
        <w:tabs>
          <w:tab w:leader="none" w:pos="137" w:val="left"/>
        </w:tabs>
        <w:numPr>
          <w:ilvl w:val="0"/>
          <w:numId w:val="13"/>
        </w:numPr>
        <w:rPr>
          <w:rFonts w:ascii="Arial" w:cs="Arial" w:eastAsia="Arial" w:hAnsi="Arial"/>
          <w:sz w:val="8"/>
          <w:szCs w:val="8"/>
          <w:color w:val="auto"/>
        </w:rPr>
      </w:pPr>
      <w:r>
        <w:rPr>
          <w:rFonts w:ascii="Arial" w:cs="Arial" w:eastAsia="Arial" w:hAnsi="Arial"/>
          <w:sz w:val="14"/>
          <w:szCs w:val="14"/>
          <w:i w:val="1"/>
          <w:iCs w:val="1"/>
          <w:color w:val="auto"/>
        </w:rPr>
        <w:t>Based on comparing quarterly high-value product sales since 2019.</w:t>
      </w:r>
    </w:p>
    <w:p>
      <w:pPr>
        <w:sectPr>
          <w:pgSz w:w="11900" w:h="16838" w:orient="portrait"/>
          <w:cols w:equalWidth="0" w:num="1">
            <w:col w:w="11297"/>
          </w:cols>
          <w:pgMar w:left="263" w:top="736" w:right="339" w:bottom="1440" w:gutter="0" w:footer="0" w:header="0"/>
        </w:sectPr>
      </w:pPr>
    </w:p>
    <w:p>
      <w:pPr>
        <w:spacing w:after="0" w:line="297"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97"/>
          </w:cols>
          <w:pgMar w:left="263" w:top="736"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25"/>
          <w:szCs w:val="25"/>
          <w:b w:val="1"/>
          <w:bCs w:val="1"/>
          <w:color w:val="0C479D"/>
        </w:rPr>
        <w:drawing>
          <wp:anchor simplePos="0" relativeHeight="251657728" behindDoc="1" locked="0" layoutInCell="0" allowOverlap="1">
            <wp:simplePos x="0" y="0"/>
            <wp:positionH relativeFrom="page">
              <wp:posOffset>542290</wp:posOffset>
            </wp:positionH>
            <wp:positionV relativeFrom="page">
              <wp:posOffset>440055</wp:posOffset>
            </wp:positionV>
            <wp:extent cx="1285875"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57175"/>
                    </a:xfrm>
                    <a:prstGeom prst="rect">
                      <a:avLst/>
                    </a:prstGeom>
                    <a:noFill/>
                  </pic:spPr>
                </pic:pic>
              </a:graphicData>
            </a:graphic>
          </wp:anchor>
        </w:drawing>
        <w:t>CASH FLOW FROM OPERATIONS EXCLUDING WORKING CAPITAL</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94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4Q25</w:t>
            </w:r>
          </w:p>
        </w:tc>
        <w:tc>
          <w:tcPr>
            <w:tcW w:w="800" w:type="dxa"/>
            <w:vAlign w:val="bottom"/>
            <w:shd w:val="clear" w:color="auto" w:fill="0C479D"/>
          </w:tcPr>
          <w:p>
            <w:pPr>
              <w:ind w:left="300"/>
              <w:spacing w:after="0"/>
              <w:rPr>
                <w:sz w:val="20"/>
                <w:szCs w:val="20"/>
                <w:color w:val="auto"/>
              </w:rPr>
            </w:pPr>
            <w:r>
              <w:rPr>
                <w:rFonts w:ascii="Arial" w:cs="Arial" w:eastAsia="Arial" w:hAnsi="Arial"/>
                <w:sz w:val="20"/>
                <w:szCs w:val="20"/>
                <w:color w:val="FFFFFF"/>
                <w:w w:val="98"/>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940" w:type="dxa"/>
            <w:vAlign w:val="bottom"/>
            <w:shd w:val="clear" w:color="auto" w:fill="0C479D"/>
          </w:tcPr>
          <w:p>
            <w:pPr>
              <w:spacing w:after="0"/>
              <w:rPr>
                <w:sz w:val="10"/>
                <w:szCs w:val="10"/>
                <w:color w:val="auto"/>
              </w:rPr>
            </w:pPr>
          </w:p>
        </w:tc>
        <w:tc>
          <w:tcPr>
            <w:tcW w:w="800" w:type="dxa"/>
            <w:vAlign w:val="bottom"/>
            <w:shd w:val="clear" w:color="auto" w:fill="0C479D"/>
          </w:tcPr>
          <w:p>
            <w:pPr>
              <w:spacing w:after="0"/>
              <w:rPr>
                <w:sz w:val="10"/>
                <w:szCs w:val="10"/>
                <w:color w:val="auto"/>
              </w:rPr>
            </w:pPr>
          </w:p>
        </w:tc>
      </w:tr>
      <w:tr>
        <w:trPr>
          <w:trHeight w:val="261"/>
        </w:trPr>
        <w:tc>
          <w:tcPr>
            <w:tcW w:w="7580" w:type="dxa"/>
            <w:vAlign w:val="bottom"/>
          </w:tcPr>
          <w:p>
            <w:pPr>
              <w:ind w:left="20"/>
              <w:spacing w:after="0"/>
              <w:rPr>
                <w:sz w:val="20"/>
                <w:szCs w:val="20"/>
                <w:color w:val="auto"/>
              </w:rPr>
            </w:pPr>
            <w:r>
              <w:rPr>
                <w:rFonts w:ascii="Arial" w:cs="Arial" w:eastAsia="Arial" w:hAnsi="Arial"/>
                <w:sz w:val="20"/>
                <w:szCs w:val="20"/>
                <w:color w:val="auto"/>
              </w:rPr>
              <w:t>Net income/(loss) including noncontrolling interests</w:t>
            </w:r>
          </w:p>
        </w:tc>
        <w:tc>
          <w:tcPr>
            <w:tcW w:w="880" w:type="dxa"/>
            <w:vAlign w:val="bottom"/>
            <w:shd w:val="clear" w:color="auto" w:fill="DCDDDE"/>
          </w:tcPr>
          <w:p>
            <w:pPr>
              <w:jc w:val="right"/>
              <w:ind w:right="1"/>
              <w:spacing w:after="0"/>
              <w:rPr>
                <w:sz w:val="20"/>
                <w:szCs w:val="20"/>
                <w:color w:val="auto"/>
              </w:rPr>
            </w:pPr>
            <w:r>
              <w:rPr>
                <w:rFonts w:ascii="Arial" w:cs="Arial" w:eastAsia="Arial" w:hAnsi="Arial"/>
                <w:sz w:val="20"/>
                <w:szCs w:val="20"/>
                <w:color w:val="auto"/>
              </w:rPr>
              <w:t>4,472</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rPr>
              <w:t>6,609</w:t>
            </w:r>
          </w:p>
        </w:tc>
        <w:tc>
          <w:tcPr>
            <w:tcW w:w="800" w:type="dxa"/>
            <w:vAlign w:val="bottom"/>
          </w:tcPr>
          <w:p>
            <w:pPr>
              <w:jc w:val="right"/>
              <w:spacing w:after="0"/>
              <w:rPr>
                <w:sz w:val="20"/>
                <w:szCs w:val="20"/>
                <w:color w:val="auto"/>
              </w:rPr>
            </w:pPr>
            <w:r>
              <w:rPr>
                <w:rFonts w:ascii="Arial" w:cs="Arial" w:eastAsia="Arial" w:hAnsi="Arial"/>
                <w:sz w:val="20"/>
                <w:szCs w:val="20"/>
                <w:color w:val="auto"/>
              </w:rPr>
              <w:t>8,033</w:t>
            </w:r>
          </w:p>
        </w:tc>
      </w:tr>
      <w:tr>
        <w:trPr>
          <w:trHeight w:val="262"/>
        </w:trPr>
        <w:tc>
          <w:tcPr>
            <w:tcW w:w="7580" w:type="dxa"/>
            <w:vAlign w:val="bottom"/>
          </w:tcPr>
          <w:p>
            <w:pPr>
              <w:ind w:left="20"/>
              <w:spacing w:after="0"/>
              <w:rPr>
                <w:sz w:val="20"/>
                <w:szCs w:val="20"/>
                <w:color w:val="auto"/>
              </w:rPr>
            </w:pPr>
            <w:r>
              <w:rPr>
                <w:rFonts w:ascii="Arial" w:cs="Arial" w:eastAsia="Arial" w:hAnsi="Arial"/>
                <w:sz w:val="20"/>
                <w:szCs w:val="20"/>
                <w:color w:val="auto"/>
              </w:rPr>
              <w:t>Depreciation and depletion (includes impairments)</w:t>
            </w:r>
          </w:p>
        </w:tc>
        <w:tc>
          <w:tcPr>
            <w:tcW w:w="880" w:type="dxa"/>
            <w:vAlign w:val="bottom"/>
            <w:shd w:val="clear" w:color="auto" w:fill="DCDDDE"/>
          </w:tcPr>
          <w:p>
            <w:pPr>
              <w:jc w:val="right"/>
              <w:ind w:right="1"/>
              <w:spacing w:after="0"/>
              <w:rPr>
                <w:sz w:val="20"/>
                <w:szCs w:val="20"/>
                <w:color w:val="auto"/>
              </w:rPr>
            </w:pPr>
            <w:r>
              <w:rPr>
                <w:rFonts w:ascii="Arial" w:cs="Arial" w:eastAsia="Arial" w:hAnsi="Arial"/>
                <w:sz w:val="20"/>
                <w:szCs w:val="20"/>
                <w:color w:val="auto"/>
              </w:rPr>
              <w:t>6,771</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rPr>
              <w:t>7,715</w:t>
            </w:r>
          </w:p>
        </w:tc>
        <w:tc>
          <w:tcPr>
            <w:tcW w:w="800" w:type="dxa"/>
            <w:vAlign w:val="bottom"/>
          </w:tcPr>
          <w:p>
            <w:pPr>
              <w:jc w:val="right"/>
              <w:spacing w:after="0"/>
              <w:rPr>
                <w:sz w:val="20"/>
                <w:szCs w:val="20"/>
                <w:color w:val="auto"/>
              </w:rPr>
            </w:pPr>
            <w:r>
              <w:rPr>
                <w:rFonts w:ascii="Arial" w:cs="Arial" w:eastAsia="Arial" w:hAnsi="Arial"/>
                <w:sz w:val="20"/>
                <w:szCs w:val="20"/>
                <w:color w:val="auto"/>
              </w:rPr>
              <w:t>5,702</w:t>
            </w:r>
          </w:p>
        </w:tc>
      </w:tr>
      <w:tr>
        <w:trPr>
          <w:trHeight w:val="270"/>
        </w:trPr>
        <w:tc>
          <w:tcPr>
            <w:tcW w:w="7580" w:type="dxa"/>
            <w:vAlign w:val="bottom"/>
          </w:tcPr>
          <w:p>
            <w:pPr>
              <w:ind w:left="20"/>
              <w:spacing w:after="0"/>
              <w:rPr>
                <w:sz w:val="20"/>
                <w:szCs w:val="20"/>
                <w:color w:val="auto"/>
              </w:rPr>
            </w:pPr>
            <w:r>
              <w:rPr>
                <w:rFonts w:ascii="Arial" w:cs="Arial" w:eastAsia="Arial" w:hAnsi="Arial"/>
                <w:sz w:val="20"/>
                <w:szCs w:val="20"/>
                <w:color w:val="auto"/>
              </w:rPr>
              <w:t>Changes in operational working capital, excluding cash and debt</w:t>
            </w:r>
          </w:p>
        </w:tc>
        <w:tc>
          <w:tcPr>
            <w:tcW w:w="880" w:type="dxa"/>
            <w:vAlign w:val="bottom"/>
            <w:shd w:val="clear" w:color="auto" w:fill="DCDDDE"/>
          </w:tcPr>
          <w:p>
            <w:pPr>
              <w:jc w:val="right"/>
              <w:spacing w:after="0"/>
              <w:rPr>
                <w:sz w:val="20"/>
                <w:szCs w:val="20"/>
                <w:color w:val="auto"/>
              </w:rPr>
            </w:pPr>
            <w:r>
              <w:rPr>
                <w:rFonts w:ascii="Arial" w:cs="Arial" w:eastAsia="Arial" w:hAnsi="Arial"/>
                <w:sz w:val="20"/>
                <w:szCs w:val="20"/>
                <w:color w:val="auto"/>
              </w:rPr>
              <w:t>(1,758)</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(2,728)</w:t>
            </w:r>
          </w:p>
        </w:tc>
        <w:tc>
          <w:tcPr>
            <w:tcW w:w="800" w:type="dxa"/>
            <w:vAlign w:val="bottom"/>
          </w:tcPr>
          <w:p>
            <w:pPr>
              <w:ind w:left="300"/>
              <w:spacing w:after="0"/>
              <w:rPr>
                <w:sz w:val="20"/>
                <w:szCs w:val="20"/>
                <w:color w:val="auto"/>
              </w:rPr>
            </w:pPr>
            <w:r>
              <w:rPr>
                <w:rFonts w:ascii="Arial" w:cs="Arial" w:eastAsia="Arial" w:hAnsi="Arial"/>
                <w:sz w:val="20"/>
                <w:szCs w:val="20"/>
                <w:color w:val="auto"/>
              </w:rPr>
              <w:t>(878)</w:t>
            </w:r>
          </w:p>
        </w:tc>
      </w:tr>
      <w:tr>
        <w:trPr>
          <w:trHeight w:val="281"/>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0"/>
                <w:szCs w:val="20"/>
                <w:color w:val="auto"/>
              </w:rPr>
              <w:t>Other</w:t>
            </w:r>
          </w:p>
        </w:tc>
        <w:tc>
          <w:tcPr>
            <w:tcW w:w="88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20"/>
                <w:szCs w:val="20"/>
                <w:color w:val="auto"/>
              </w:rPr>
              <w:t>(780)</w:t>
            </w:r>
          </w:p>
        </w:tc>
        <w:tc>
          <w:tcPr>
            <w:tcW w:w="940" w:type="dxa"/>
            <w:vAlign w:val="bottom"/>
            <w:tcBorders>
              <w:bottom w:val="single" w:sz="8" w:color="0C479D"/>
            </w:tcBorders>
          </w:tcPr>
          <w:p>
            <w:pPr>
              <w:jc w:val="right"/>
              <w:ind w:right="61"/>
              <w:spacing w:after="0"/>
              <w:rPr>
                <w:sz w:val="20"/>
                <w:szCs w:val="20"/>
                <w:color w:val="auto"/>
              </w:rPr>
            </w:pPr>
            <w:r>
              <w:rPr>
                <w:rFonts w:ascii="Arial" w:cs="Arial" w:eastAsia="Arial" w:hAnsi="Arial"/>
                <w:sz w:val="20"/>
                <w:szCs w:val="20"/>
                <w:color w:val="auto"/>
              </w:rPr>
              <w:t>1,083</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20"/>
                <w:szCs w:val="20"/>
                <w:color w:val="auto"/>
              </w:rPr>
              <w:t>96</w:t>
            </w:r>
          </w:p>
        </w:tc>
      </w:tr>
      <w:tr>
        <w:trPr>
          <w:trHeight w:val="248"/>
        </w:trPr>
        <w:tc>
          <w:tcPr>
            <w:tcW w:w="7580" w:type="dxa"/>
            <w:vAlign w:val="bottom"/>
          </w:tcPr>
          <w:p>
            <w:pPr>
              <w:ind w:left="20"/>
              <w:spacing w:after="0"/>
              <w:rPr>
                <w:sz w:val="20"/>
                <w:szCs w:val="20"/>
                <w:color w:val="auto"/>
              </w:rPr>
            </w:pPr>
            <w:r>
              <w:rPr>
                <w:rFonts w:ascii="Arial" w:cs="Arial" w:eastAsia="Arial" w:hAnsi="Arial"/>
                <w:sz w:val="20"/>
                <w:szCs w:val="20"/>
                <w:b w:val="1"/>
                <w:bCs w:val="1"/>
                <w:color w:val="auto"/>
              </w:rPr>
              <w:t>Cash Flow from Operating Activities (U.S. GAAP)</w:t>
            </w:r>
          </w:p>
        </w:tc>
        <w:tc>
          <w:tcPr>
            <w:tcW w:w="880" w:type="dxa"/>
            <w:vAlign w:val="bottom"/>
            <w:shd w:val="clear" w:color="auto" w:fill="DCDDDE"/>
          </w:tcPr>
          <w:p>
            <w:pPr>
              <w:jc w:val="right"/>
              <w:ind w:right="1"/>
              <w:spacing w:after="0"/>
              <w:rPr>
                <w:sz w:val="20"/>
                <w:szCs w:val="20"/>
                <w:color w:val="auto"/>
              </w:rPr>
            </w:pPr>
            <w:r>
              <w:rPr>
                <w:rFonts w:ascii="Arial" w:cs="Arial" w:eastAsia="Arial" w:hAnsi="Arial"/>
                <w:sz w:val="20"/>
                <w:szCs w:val="20"/>
                <w:b w:val="1"/>
                <w:bCs w:val="1"/>
                <w:color w:val="auto"/>
              </w:rPr>
              <w:t>8,705</w:t>
            </w: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rPr>
              <w:t>12,679</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12,953</w:t>
            </w:r>
          </w:p>
        </w:tc>
      </w:tr>
      <w:tr>
        <w:trPr>
          <w:trHeight w:val="272"/>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0"/>
                <w:szCs w:val="20"/>
                <w:color w:val="auto"/>
              </w:rPr>
              <w:t>Less: Changes in operational working capital, excluding cash and debt</w:t>
            </w:r>
          </w:p>
        </w:tc>
        <w:tc>
          <w:tcPr>
            <w:tcW w:w="880" w:type="dxa"/>
            <w:vAlign w:val="bottom"/>
            <w:tcBorders>
              <w:bottom w:val="single" w:sz="8" w:color="0C479D"/>
            </w:tcBorders>
            <w:shd w:val="clear" w:color="auto" w:fill="DCDDDE"/>
          </w:tcPr>
          <w:p>
            <w:pPr>
              <w:jc w:val="right"/>
              <w:ind w:right="1"/>
              <w:spacing w:after="0"/>
              <w:rPr>
                <w:sz w:val="20"/>
                <w:szCs w:val="20"/>
                <w:color w:val="auto"/>
              </w:rPr>
            </w:pPr>
            <w:r>
              <w:rPr>
                <w:rFonts w:ascii="Arial" w:cs="Arial" w:eastAsia="Arial" w:hAnsi="Arial"/>
                <w:sz w:val="20"/>
                <w:szCs w:val="20"/>
                <w:color w:val="auto"/>
              </w:rPr>
              <w:t>1,758</w:t>
            </w:r>
          </w:p>
        </w:tc>
        <w:tc>
          <w:tcPr>
            <w:tcW w:w="940" w:type="dxa"/>
            <w:vAlign w:val="bottom"/>
            <w:tcBorders>
              <w:bottom w:val="single" w:sz="8" w:color="0C479D"/>
            </w:tcBorders>
          </w:tcPr>
          <w:p>
            <w:pPr>
              <w:jc w:val="right"/>
              <w:ind w:right="61"/>
              <w:spacing w:after="0"/>
              <w:rPr>
                <w:sz w:val="20"/>
                <w:szCs w:val="20"/>
                <w:color w:val="auto"/>
              </w:rPr>
            </w:pPr>
            <w:r>
              <w:rPr>
                <w:rFonts w:ascii="Arial" w:cs="Arial" w:eastAsia="Arial" w:hAnsi="Arial"/>
                <w:sz w:val="20"/>
                <w:szCs w:val="20"/>
                <w:color w:val="auto"/>
              </w:rPr>
              <w:t>2,728</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20"/>
                <w:szCs w:val="20"/>
                <w:color w:val="auto"/>
              </w:rPr>
              <w:t>878</w:t>
            </w:r>
          </w:p>
        </w:tc>
      </w:tr>
      <w:tr>
        <w:trPr>
          <w:trHeight w:val="256"/>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0"/>
                <w:szCs w:val="20"/>
                <w:b w:val="1"/>
                <w:bCs w:val="1"/>
                <w:color w:val="auto"/>
              </w:rPr>
              <w:t>Cash Flow from Operations excluding Working Capital (non-GAAP)</w:t>
            </w:r>
          </w:p>
        </w:tc>
        <w:tc>
          <w:tcPr>
            <w:tcW w:w="880" w:type="dxa"/>
            <w:vAlign w:val="bottom"/>
            <w:tcBorders>
              <w:bottom w:val="single" w:sz="8" w:color="0C479D"/>
            </w:tcBorders>
            <w:shd w:val="clear" w:color="auto" w:fill="DCDDDE"/>
          </w:tcPr>
          <w:p>
            <w:pPr>
              <w:jc w:val="right"/>
              <w:ind w:right="1"/>
              <w:spacing w:after="0"/>
              <w:rPr>
                <w:sz w:val="20"/>
                <w:szCs w:val="20"/>
                <w:color w:val="auto"/>
              </w:rPr>
            </w:pPr>
            <w:r>
              <w:rPr>
                <w:rFonts w:ascii="Arial" w:cs="Arial" w:eastAsia="Arial" w:hAnsi="Arial"/>
                <w:sz w:val="20"/>
                <w:szCs w:val="20"/>
                <w:b w:val="1"/>
                <w:bCs w:val="1"/>
                <w:color w:val="auto"/>
              </w:rPr>
              <w:t>10,463</w:t>
            </w:r>
          </w:p>
        </w:tc>
        <w:tc>
          <w:tcPr>
            <w:tcW w:w="940" w:type="dxa"/>
            <w:vAlign w:val="bottom"/>
            <w:tcBorders>
              <w:bottom w:val="single" w:sz="8" w:color="0C479D"/>
            </w:tcBorders>
          </w:tcPr>
          <w:p>
            <w:pPr>
              <w:jc w:val="right"/>
              <w:ind w:right="61"/>
              <w:spacing w:after="0"/>
              <w:rPr>
                <w:sz w:val="20"/>
                <w:szCs w:val="20"/>
                <w:color w:val="auto"/>
              </w:rPr>
            </w:pPr>
            <w:r>
              <w:rPr>
                <w:rFonts w:ascii="Arial" w:cs="Arial" w:eastAsia="Arial" w:hAnsi="Arial"/>
                <w:sz w:val="20"/>
                <w:szCs w:val="20"/>
                <w:b w:val="1"/>
                <w:bCs w:val="1"/>
                <w:color w:val="auto"/>
              </w:rPr>
              <w:t>15,407</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20"/>
                <w:szCs w:val="20"/>
                <w:b w:val="1"/>
                <w:bCs w:val="1"/>
                <w:color w:val="auto"/>
              </w:rPr>
              <w:t>13,831</w:t>
            </w:r>
          </w:p>
        </w:tc>
      </w:tr>
    </w:tbl>
    <w:p>
      <w:pPr>
        <w:spacing w:after="0" w:line="39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C479D"/>
        </w:rPr>
        <w:t>FREE CASH FLOW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94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4Q25</w:t>
            </w:r>
          </w:p>
        </w:tc>
        <w:tc>
          <w:tcPr>
            <w:tcW w:w="80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940" w:type="dxa"/>
            <w:vAlign w:val="bottom"/>
            <w:shd w:val="clear" w:color="auto" w:fill="0C479D"/>
          </w:tcPr>
          <w:p>
            <w:pPr>
              <w:spacing w:after="0"/>
              <w:rPr>
                <w:sz w:val="10"/>
                <w:szCs w:val="10"/>
                <w:color w:val="auto"/>
              </w:rPr>
            </w:pPr>
          </w:p>
        </w:tc>
        <w:tc>
          <w:tcPr>
            <w:tcW w:w="800" w:type="dxa"/>
            <w:vAlign w:val="bottom"/>
            <w:shd w:val="clear" w:color="auto" w:fill="0C479D"/>
          </w:tcPr>
          <w:p>
            <w:pPr>
              <w:spacing w:after="0"/>
              <w:rPr>
                <w:sz w:val="10"/>
                <w:szCs w:val="10"/>
                <w:color w:val="auto"/>
              </w:rPr>
            </w:pPr>
          </w:p>
        </w:tc>
      </w:tr>
      <w:tr>
        <w:trPr>
          <w:trHeight w:val="270"/>
        </w:trPr>
        <w:tc>
          <w:tcPr>
            <w:tcW w:w="7580" w:type="dxa"/>
            <w:vAlign w:val="bottom"/>
          </w:tcPr>
          <w:p>
            <w:pPr>
              <w:ind w:left="20"/>
              <w:spacing w:after="0"/>
              <w:rPr>
                <w:sz w:val="20"/>
                <w:szCs w:val="20"/>
                <w:color w:val="auto"/>
              </w:rPr>
            </w:pPr>
            <w:r>
              <w:rPr>
                <w:rFonts w:ascii="Arial" w:cs="Arial" w:eastAsia="Arial" w:hAnsi="Arial"/>
                <w:sz w:val="20"/>
                <w:szCs w:val="20"/>
                <w:b w:val="1"/>
                <w:bCs w:val="1"/>
                <w:color w:val="auto"/>
              </w:rPr>
              <w:t>Cash Flow from Operating Activities (U.S. GAAP)</w:t>
            </w:r>
          </w:p>
        </w:tc>
        <w:tc>
          <w:tcPr>
            <w:tcW w:w="880" w:type="dxa"/>
            <w:vAlign w:val="bottom"/>
            <w:shd w:val="clear" w:color="auto" w:fill="DCDDDE"/>
          </w:tcPr>
          <w:p>
            <w:pPr>
              <w:jc w:val="right"/>
              <w:ind w:right="1"/>
              <w:spacing w:after="0"/>
              <w:rPr>
                <w:sz w:val="20"/>
                <w:szCs w:val="20"/>
                <w:color w:val="auto"/>
              </w:rPr>
            </w:pPr>
            <w:r>
              <w:rPr>
                <w:rFonts w:ascii="Arial" w:cs="Arial" w:eastAsia="Arial" w:hAnsi="Arial"/>
                <w:sz w:val="20"/>
                <w:szCs w:val="20"/>
                <w:b w:val="1"/>
                <w:bCs w:val="1"/>
                <w:color w:val="auto"/>
              </w:rPr>
              <w:t>8,705</w:t>
            </w: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rPr>
              <w:t>12,679</w:t>
            </w: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12,953</w:t>
            </w:r>
          </w:p>
        </w:tc>
      </w:tr>
      <w:tr>
        <w:trPr>
          <w:trHeight w:val="261"/>
        </w:trPr>
        <w:tc>
          <w:tcPr>
            <w:tcW w:w="7580" w:type="dxa"/>
            <w:vAlign w:val="bottom"/>
          </w:tcPr>
          <w:p>
            <w:pPr>
              <w:ind w:left="20"/>
              <w:spacing w:after="0"/>
              <w:rPr>
                <w:sz w:val="20"/>
                <w:szCs w:val="20"/>
                <w:color w:val="auto"/>
              </w:rPr>
            </w:pPr>
            <w:r>
              <w:rPr>
                <w:rFonts w:ascii="Arial" w:cs="Arial" w:eastAsia="Arial" w:hAnsi="Arial"/>
                <w:sz w:val="20"/>
                <w:szCs w:val="20"/>
                <w:color w:val="auto"/>
              </w:rPr>
              <w:t>Additions to property, plant, and equipment</w:t>
            </w:r>
          </w:p>
        </w:tc>
        <w:tc>
          <w:tcPr>
            <w:tcW w:w="880" w:type="dxa"/>
            <w:vAlign w:val="bottom"/>
            <w:shd w:val="clear" w:color="auto" w:fill="DCDDDE"/>
          </w:tcPr>
          <w:p>
            <w:pPr>
              <w:jc w:val="right"/>
              <w:spacing w:after="0"/>
              <w:rPr>
                <w:sz w:val="20"/>
                <w:szCs w:val="20"/>
                <w:color w:val="auto"/>
              </w:rPr>
            </w:pPr>
            <w:r>
              <w:rPr>
                <w:rFonts w:ascii="Arial" w:cs="Arial" w:eastAsia="Arial" w:hAnsi="Arial"/>
                <w:sz w:val="20"/>
                <w:szCs w:val="20"/>
                <w:color w:val="auto"/>
              </w:rPr>
              <w:t>(6,470)</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(7,450)</w:t>
            </w:r>
          </w:p>
        </w:tc>
        <w:tc>
          <w:tcPr>
            <w:tcW w:w="800" w:type="dxa"/>
            <w:vAlign w:val="bottom"/>
          </w:tcPr>
          <w:p>
            <w:pPr>
              <w:jc w:val="right"/>
              <w:spacing w:after="0"/>
              <w:rPr>
                <w:sz w:val="20"/>
                <w:szCs w:val="20"/>
                <w:color w:val="auto"/>
              </w:rPr>
            </w:pPr>
            <w:r>
              <w:rPr>
                <w:rFonts w:ascii="Arial" w:cs="Arial" w:eastAsia="Arial" w:hAnsi="Arial"/>
                <w:sz w:val="20"/>
                <w:szCs w:val="20"/>
                <w:color w:val="auto"/>
              </w:rPr>
              <w:t>(5,898)</w:t>
            </w:r>
          </w:p>
        </w:tc>
      </w:tr>
      <w:tr>
        <w:trPr>
          <w:trHeight w:val="262"/>
        </w:trPr>
        <w:tc>
          <w:tcPr>
            <w:tcW w:w="7580" w:type="dxa"/>
            <w:vAlign w:val="bottom"/>
          </w:tcPr>
          <w:p>
            <w:pPr>
              <w:ind w:left="20"/>
              <w:spacing w:after="0"/>
              <w:rPr>
                <w:sz w:val="20"/>
                <w:szCs w:val="20"/>
                <w:color w:val="auto"/>
              </w:rPr>
            </w:pPr>
            <w:r>
              <w:rPr>
                <w:rFonts w:ascii="Arial" w:cs="Arial" w:eastAsia="Arial" w:hAnsi="Arial"/>
                <w:sz w:val="20"/>
                <w:szCs w:val="20"/>
                <w:color w:val="auto"/>
              </w:rPr>
              <w:t>Additional investments and advances</w:t>
            </w:r>
          </w:p>
        </w:tc>
        <w:tc>
          <w:tcPr>
            <w:tcW w:w="880" w:type="dxa"/>
            <w:vAlign w:val="bottom"/>
            <w:shd w:val="clear" w:color="auto" w:fill="DCDDDE"/>
          </w:tcPr>
          <w:p>
            <w:pPr>
              <w:jc w:val="right"/>
              <w:spacing w:after="0"/>
              <w:rPr>
                <w:sz w:val="20"/>
                <w:szCs w:val="20"/>
                <w:color w:val="auto"/>
              </w:rPr>
            </w:pPr>
            <w:r>
              <w:rPr>
                <w:rFonts w:ascii="Arial" w:cs="Arial" w:eastAsia="Arial" w:hAnsi="Arial"/>
                <w:sz w:val="20"/>
                <w:szCs w:val="20"/>
                <w:color w:val="auto"/>
              </w:rPr>
              <w:t>(387)</w:t>
            </w:r>
          </w:p>
        </w:tc>
        <w:tc>
          <w:tcPr>
            <w:tcW w:w="940" w:type="dxa"/>
            <w:vAlign w:val="bottom"/>
          </w:tcPr>
          <w:p>
            <w:pPr>
              <w:jc w:val="right"/>
              <w:ind w:right="21"/>
              <w:spacing w:after="0"/>
              <w:rPr>
                <w:sz w:val="20"/>
                <w:szCs w:val="20"/>
                <w:color w:val="auto"/>
              </w:rPr>
            </w:pPr>
            <w:r>
              <w:rPr>
                <w:rFonts w:ascii="Arial" w:cs="Arial" w:eastAsia="Arial" w:hAnsi="Arial"/>
                <w:sz w:val="20"/>
                <w:szCs w:val="20"/>
                <w:color w:val="auto"/>
              </w:rPr>
              <w:t>(3,160)</w:t>
            </w:r>
          </w:p>
        </w:tc>
        <w:tc>
          <w:tcPr>
            <w:tcW w:w="80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70"/>
        </w:trPr>
        <w:tc>
          <w:tcPr>
            <w:tcW w:w="7580" w:type="dxa"/>
            <w:vAlign w:val="bottom"/>
          </w:tcPr>
          <w:p>
            <w:pPr>
              <w:ind w:left="20"/>
              <w:spacing w:after="0"/>
              <w:rPr>
                <w:sz w:val="20"/>
                <w:szCs w:val="20"/>
                <w:color w:val="auto"/>
              </w:rPr>
            </w:pPr>
            <w:r>
              <w:rPr>
                <w:rFonts w:ascii="Arial" w:cs="Arial" w:eastAsia="Arial" w:hAnsi="Arial"/>
                <w:sz w:val="20"/>
                <w:szCs w:val="20"/>
                <w:color w:val="auto"/>
              </w:rPr>
              <w:t>Other investing activities including collection of advances</w:t>
            </w:r>
          </w:p>
        </w:tc>
        <w:tc>
          <w:tcPr>
            <w:tcW w:w="880" w:type="dxa"/>
            <w:vAlign w:val="bottom"/>
            <w:shd w:val="clear" w:color="auto" w:fill="DCDDDE"/>
          </w:tcPr>
          <w:p>
            <w:pPr>
              <w:jc w:val="right"/>
              <w:ind w:right="1"/>
              <w:spacing w:after="0"/>
              <w:rPr>
                <w:sz w:val="20"/>
                <w:szCs w:val="20"/>
                <w:color w:val="auto"/>
              </w:rPr>
            </w:pPr>
            <w:r>
              <w:rPr>
                <w:rFonts w:ascii="Arial" w:cs="Arial" w:eastAsia="Arial" w:hAnsi="Arial"/>
                <w:sz w:val="20"/>
                <w:szCs w:val="20"/>
                <w:color w:val="auto"/>
              </w:rPr>
              <w:t>632</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rPr>
              <w:t>2,457</w:t>
            </w:r>
          </w:p>
        </w:tc>
        <w:tc>
          <w:tcPr>
            <w:tcW w:w="80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70"/>
        </w:trPr>
        <w:tc>
          <w:tcPr>
            <w:tcW w:w="7580" w:type="dxa"/>
            <w:vAlign w:val="bottom"/>
          </w:tcPr>
          <w:p>
            <w:pPr>
              <w:ind w:left="20"/>
              <w:spacing w:after="0"/>
              <w:rPr>
                <w:sz w:val="20"/>
                <w:szCs w:val="20"/>
                <w:color w:val="auto"/>
              </w:rPr>
            </w:pPr>
            <w:r>
              <w:rPr>
                <w:rFonts w:ascii="Arial" w:cs="Arial" w:eastAsia="Arial" w:hAnsi="Arial"/>
                <w:sz w:val="20"/>
                <w:szCs w:val="20"/>
                <w:color w:val="auto"/>
              </w:rPr>
              <w:t>Proceeds from asset sales and returns of investments</w:t>
            </w:r>
          </w:p>
        </w:tc>
        <w:tc>
          <w:tcPr>
            <w:tcW w:w="880" w:type="dxa"/>
            <w:vAlign w:val="bottom"/>
            <w:shd w:val="clear" w:color="auto" w:fill="DCDDDE"/>
          </w:tcPr>
          <w:p>
            <w:pPr>
              <w:jc w:val="right"/>
              <w:ind w:right="1"/>
              <w:spacing w:after="0"/>
              <w:rPr>
                <w:sz w:val="20"/>
                <w:szCs w:val="20"/>
                <w:color w:val="auto"/>
              </w:rPr>
            </w:pPr>
            <w:r>
              <w:rPr>
                <w:rFonts w:ascii="Arial" w:cs="Arial" w:eastAsia="Arial" w:hAnsi="Arial"/>
                <w:sz w:val="20"/>
                <w:szCs w:val="20"/>
                <w:color w:val="auto"/>
              </w:rPr>
              <w:t>219</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rPr>
              <w:t>1,020</w:t>
            </w:r>
          </w:p>
        </w:tc>
        <w:tc>
          <w:tcPr>
            <w:tcW w:w="800" w:type="dxa"/>
            <w:vAlign w:val="bottom"/>
          </w:tcPr>
          <w:p>
            <w:pPr>
              <w:jc w:val="right"/>
              <w:spacing w:after="0"/>
              <w:rPr>
                <w:sz w:val="20"/>
                <w:szCs w:val="20"/>
                <w:color w:val="auto"/>
              </w:rPr>
            </w:pPr>
            <w:r>
              <w:rPr>
                <w:rFonts w:ascii="Arial" w:cs="Arial" w:eastAsia="Arial" w:hAnsi="Arial"/>
                <w:sz w:val="20"/>
                <w:szCs w:val="20"/>
                <w:color w:val="auto"/>
              </w:rPr>
              <w:t>1,823</w:t>
            </w:r>
          </w:p>
        </w:tc>
      </w:tr>
      <w:tr>
        <w:trPr>
          <w:trHeight w:val="280"/>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0"/>
                <w:szCs w:val="20"/>
                <w:color w:val="auto"/>
              </w:rPr>
              <w:t>Inflows from noncontrolling interest for major projects</w:t>
            </w:r>
          </w:p>
        </w:tc>
        <w:tc>
          <w:tcPr>
            <w:tcW w:w="880" w:type="dxa"/>
            <w:vAlign w:val="bottom"/>
            <w:tcBorders>
              <w:bottom w:val="single" w:sz="8" w:color="0C479D"/>
            </w:tcBorders>
            <w:shd w:val="clear" w:color="auto" w:fill="DCDDDE"/>
          </w:tcPr>
          <w:p>
            <w:pPr>
              <w:jc w:val="right"/>
              <w:ind w:right="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0C479D"/>
            </w:tcBorders>
          </w:tcPr>
          <w:p>
            <w:pPr>
              <w:jc w:val="right"/>
              <w:ind w:right="61"/>
              <w:spacing w:after="0"/>
              <w:rPr>
                <w:sz w:val="20"/>
                <w:szCs w:val="20"/>
                <w:color w:val="auto"/>
              </w:rPr>
            </w:pPr>
            <w:r>
              <w:rPr>
                <w:rFonts w:ascii="Arial" w:cs="Arial" w:eastAsia="Arial" w:hAnsi="Arial"/>
                <w:sz w:val="20"/>
                <w:szCs w:val="20"/>
                <w:color w:val="auto"/>
              </w:rPr>
              <w:t>20</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20"/>
                <w:szCs w:val="20"/>
                <w:b w:val="1"/>
                <w:bCs w:val="1"/>
                <w:color w:val="auto"/>
              </w:rPr>
              <w:t>Free Cash Flow (non-GAAP)</w:t>
            </w:r>
          </w:p>
        </w:tc>
        <w:tc>
          <w:tcPr>
            <w:tcW w:w="880" w:type="dxa"/>
            <w:vAlign w:val="bottom"/>
            <w:tcBorders>
              <w:bottom w:val="single" w:sz="8" w:color="0C479D"/>
            </w:tcBorders>
            <w:shd w:val="clear" w:color="auto" w:fill="DCDDDE"/>
          </w:tcPr>
          <w:p>
            <w:pPr>
              <w:jc w:val="right"/>
              <w:ind w:right="1"/>
              <w:spacing w:after="0"/>
              <w:rPr>
                <w:sz w:val="20"/>
                <w:szCs w:val="20"/>
                <w:color w:val="auto"/>
              </w:rPr>
            </w:pPr>
            <w:r>
              <w:rPr>
                <w:rFonts w:ascii="Arial" w:cs="Arial" w:eastAsia="Arial" w:hAnsi="Arial"/>
                <w:sz w:val="20"/>
                <w:szCs w:val="20"/>
                <w:b w:val="1"/>
                <w:bCs w:val="1"/>
                <w:color w:val="auto"/>
              </w:rPr>
              <w:t>2,699</w:t>
            </w:r>
          </w:p>
        </w:tc>
        <w:tc>
          <w:tcPr>
            <w:tcW w:w="940" w:type="dxa"/>
            <w:vAlign w:val="bottom"/>
            <w:tcBorders>
              <w:bottom w:val="single" w:sz="8" w:color="0C479D"/>
            </w:tcBorders>
          </w:tcPr>
          <w:p>
            <w:pPr>
              <w:jc w:val="right"/>
              <w:ind w:right="61"/>
              <w:spacing w:after="0"/>
              <w:rPr>
                <w:sz w:val="20"/>
                <w:szCs w:val="20"/>
                <w:color w:val="auto"/>
              </w:rPr>
            </w:pPr>
            <w:r>
              <w:rPr>
                <w:rFonts w:ascii="Arial" w:cs="Arial" w:eastAsia="Arial" w:hAnsi="Arial"/>
                <w:sz w:val="20"/>
                <w:szCs w:val="20"/>
                <w:b w:val="1"/>
                <w:bCs w:val="1"/>
                <w:color w:val="auto"/>
              </w:rPr>
              <w:t>5,566</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20"/>
                <w:szCs w:val="20"/>
                <w:b w:val="1"/>
                <w:bCs w:val="1"/>
                <w:color w:val="auto"/>
              </w:rPr>
              <w:t>8,840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00"/>
          </w:cols>
          <w:pgMar w:left="840" w:top="1222" w:right="859" w:bottom="1440" w:gutter="0" w:footer="0" w:header="0"/>
        </w:sectPr>
      </w:pPr>
    </w:p>
    <w:bookmarkStart w:id="10" w:name="page11"/>
    <w:bookmarkEnd w:id="10"/>
    <w:p>
      <w:pPr>
        <w:ind w:left="20"/>
        <w:spacing w:after="0"/>
        <w:rPr>
          <w:sz w:val="20"/>
          <w:szCs w:val="20"/>
          <w:color w:val="auto"/>
        </w:rPr>
      </w:pPr>
      <w:r>
        <w:rPr>
          <w:rFonts w:ascii="Arial" w:cs="Arial" w:eastAsia="Arial" w:hAnsi="Arial"/>
          <w:sz w:val="25"/>
          <w:szCs w:val="25"/>
          <w:b w:val="1"/>
          <w:bCs w:val="1"/>
          <w:color w:val="0C479D"/>
        </w:rPr>
        <w:drawing>
          <wp:anchor simplePos="0" relativeHeight="251657728" behindDoc="1" locked="0" layoutInCell="0" allowOverlap="1">
            <wp:simplePos x="0" y="0"/>
            <wp:positionH relativeFrom="page">
              <wp:posOffset>542290</wp:posOffset>
            </wp:positionH>
            <wp:positionV relativeFrom="page">
              <wp:posOffset>466090</wp:posOffset>
            </wp:positionV>
            <wp:extent cx="1285875"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57175"/>
                    </a:xfrm>
                    <a:prstGeom prst="rect">
                      <a:avLst/>
                    </a:prstGeom>
                    <a:noFill/>
                  </pic:spPr>
                </pic:pic>
              </a:graphicData>
            </a:graphic>
          </wp:anchor>
        </w:drawing>
        <w:t>CASH CAPITAL EXPENDITURES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shd w:val="clear" w:color="auto" w:fill="0C479D"/>
          </w:tcPr>
          <w:p>
            <w:pPr>
              <w:jc w:val="right"/>
              <w:ind w:right="69"/>
              <w:spacing w:after="0"/>
              <w:rPr>
                <w:sz w:val="20"/>
                <w:szCs w:val="20"/>
                <w:color w:val="auto"/>
              </w:rPr>
            </w:pPr>
            <w:r>
              <w:rPr>
                <w:rFonts w:ascii="Arial" w:cs="Arial" w:eastAsia="Arial" w:hAnsi="Arial"/>
                <w:sz w:val="20"/>
                <w:szCs w:val="20"/>
                <w:color w:val="FFFFFF"/>
              </w:rPr>
              <w:t>4Q25</w:t>
            </w:r>
          </w:p>
        </w:tc>
        <w:tc>
          <w:tcPr>
            <w:tcW w:w="72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20" w:type="dxa"/>
            <w:vAlign w:val="bottom"/>
            <w:shd w:val="clear" w:color="auto" w:fill="0C479D"/>
          </w:tcPr>
          <w:p>
            <w:pPr>
              <w:spacing w:after="0"/>
              <w:rPr>
                <w:sz w:val="10"/>
                <w:szCs w:val="10"/>
                <w:color w:val="auto"/>
              </w:rPr>
            </w:pPr>
          </w:p>
        </w:tc>
        <w:tc>
          <w:tcPr>
            <w:tcW w:w="720" w:type="dxa"/>
            <w:vAlign w:val="bottom"/>
            <w:shd w:val="clear" w:color="auto" w:fill="0C479D"/>
          </w:tcPr>
          <w:p>
            <w:pPr>
              <w:spacing w:after="0"/>
              <w:rPr>
                <w:sz w:val="10"/>
                <w:szCs w:val="10"/>
                <w:color w:val="auto"/>
              </w:rPr>
            </w:pP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6,470</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7,450</w:t>
            </w:r>
          </w:p>
        </w:tc>
        <w:tc>
          <w:tcPr>
            <w:tcW w:w="720" w:type="dxa"/>
            <w:vAlign w:val="bottom"/>
          </w:tcPr>
          <w:p>
            <w:pPr>
              <w:jc w:val="right"/>
              <w:spacing w:after="0"/>
              <w:rPr>
                <w:sz w:val="20"/>
                <w:szCs w:val="20"/>
                <w:color w:val="auto"/>
              </w:rPr>
            </w:pPr>
            <w:r>
              <w:rPr>
                <w:rFonts w:ascii="Arial" w:cs="Arial" w:eastAsia="Arial" w:hAnsi="Arial"/>
                <w:sz w:val="18"/>
                <w:szCs w:val="18"/>
                <w:color w:val="auto"/>
              </w:rPr>
              <w:t>5,898</w:t>
            </w:r>
          </w:p>
        </w:tc>
      </w:tr>
      <w:tr>
        <w:trPr>
          <w:trHeight w:val="270"/>
        </w:trPr>
        <w:tc>
          <w:tcPr>
            <w:tcW w:w="7580" w:type="dxa"/>
            <w:vAlign w:val="bottom"/>
          </w:tcPr>
          <w:p>
            <w:pPr>
              <w:ind w:left="20"/>
              <w:spacing w:after="0"/>
              <w:rPr>
                <w:sz w:val="20"/>
                <w:szCs w:val="20"/>
                <w:color w:val="auto"/>
              </w:rPr>
            </w:pPr>
            <w:r>
              <w:rPr>
                <w:rFonts w:ascii="Arial" w:cs="Arial" w:eastAsia="Arial" w:hAnsi="Arial"/>
                <w:sz w:val="18"/>
                <w:szCs w:val="18"/>
                <w:color w:val="auto"/>
              </w:rPr>
              <w:t>Additional investments and advances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387</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3,160</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7580" w:type="dxa"/>
            <w:vAlign w:val="bottom"/>
          </w:tcPr>
          <w:p>
            <w:pPr>
              <w:ind w:left="20"/>
              <w:spacing w:after="0"/>
              <w:rPr>
                <w:sz w:val="20"/>
                <w:szCs w:val="20"/>
                <w:color w:val="auto"/>
              </w:rPr>
            </w:pPr>
            <w:r>
              <w:rPr>
                <w:rFonts w:ascii="Arial" w:cs="Arial" w:eastAsia="Arial" w:hAnsi="Arial"/>
                <w:sz w:val="18"/>
                <w:szCs w:val="18"/>
                <w:color w:val="auto"/>
              </w:rPr>
              <w:t>Other investing activities including collection of advances</w:t>
            </w:r>
          </w:p>
        </w:tc>
        <w:tc>
          <w:tcPr>
            <w:tcW w:w="880" w:type="dxa"/>
            <w:vAlign w:val="bottom"/>
            <w:shd w:val="clear" w:color="auto" w:fill="DCDDDE"/>
          </w:tcPr>
          <w:p>
            <w:pPr>
              <w:jc w:val="right"/>
              <w:spacing w:after="0"/>
              <w:rPr>
                <w:sz w:val="20"/>
                <w:szCs w:val="20"/>
                <w:color w:val="auto"/>
              </w:rPr>
            </w:pPr>
            <w:r>
              <w:rPr>
                <w:rFonts w:ascii="Arial" w:cs="Arial" w:eastAsia="Arial" w:hAnsi="Arial"/>
                <w:sz w:val="18"/>
                <w:szCs w:val="18"/>
                <w:color w:val="auto"/>
              </w:rPr>
              <w:t>(632)</w:t>
            </w:r>
          </w:p>
        </w:tc>
        <w:tc>
          <w:tcPr>
            <w:tcW w:w="1020" w:type="dxa"/>
            <w:vAlign w:val="bottom"/>
          </w:tcPr>
          <w:p>
            <w:pPr>
              <w:jc w:val="right"/>
              <w:ind w:right="109"/>
              <w:spacing w:after="0"/>
              <w:rPr>
                <w:sz w:val="20"/>
                <w:szCs w:val="20"/>
                <w:color w:val="auto"/>
              </w:rPr>
            </w:pPr>
            <w:r>
              <w:rPr>
                <w:rFonts w:ascii="Arial" w:cs="Arial" w:eastAsia="Arial" w:hAnsi="Arial"/>
                <w:sz w:val="18"/>
                <w:szCs w:val="18"/>
                <w:color w:val="auto"/>
              </w:rPr>
              <w:t>(2,457)</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7580" w:type="dxa"/>
            <w:vAlign w:val="bottom"/>
          </w:tcPr>
          <w:p>
            <w:pPr>
              <w:ind w:left="20"/>
              <w:spacing w:after="0"/>
              <w:rPr>
                <w:sz w:val="20"/>
                <w:szCs w:val="20"/>
                <w:color w:val="auto"/>
              </w:rPr>
            </w:pPr>
            <w:r>
              <w:rPr>
                <w:rFonts w:ascii="Arial" w:cs="Arial" w:eastAsia="Arial" w:hAnsi="Arial"/>
                <w:sz w:val="18"/>
                <w:szCs w:val="18"/>
                <w:color w:val="auto"/>
              </w:rPr>
              <w:t>Inflows from noncontrolling interests for major projects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9"/>
              <w:spacing w:after="0"/>
              <w:rPr>
                <w:sz w:val="20"/>
                <w:szCs w:val="20"/>
                <w:color w:val="auto"/>
              </w:rPr>
            </w:pPr>
            <w:r>
              <w:rPr>
                <w:rFonts w:ascii="Arial" w:cs="Arial" w:eastAsia="Arial" w:hAnsi="Arial"/>
                <w:sz w:val="18"/>
                <w:szCs w:val="18"/>
                <w:color w:val="auto"/>
              </w:rPr>
              <w:t>(20)</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3"/>
        </w:trPr>
        <w:tc>
          <w:tcPr>
            <w:tcW w:w="7580" w:type="dxa"/>
            <w:vAlign w:val="bottom"/>
          </w:tcPr>
          <w:p>
            <w:pPr>
              <w:ind w:left="20"/>
              <w:spacing w:after="0"/>
              <w:rPr>
                <w:sz w:val="20"/>
                <w:szCs w:val="20"/>
                <w:color w:val="auto"/>
              </w:rPr>
            </w:pPr>
            <w:r>
              <w:rPr>
                <w:rFonts w:ascii="Arial" w:cs="Arial" w:eastAsia="Arial" w:hAnsi="Arial"/>
                <w:sz w:val="18"/>
                <w:szCs w:val="18"/>
                <w:color w:val="auto"/>
              </w:rPr>
              <w:t>Less: Advances and collections not related to capital expenditures or equity investments</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(38)</w:t>
            </w:r>
          </w:p>
        </w:tc>
        <w:tc>
          <w:tcPr>
            <w:tcW w:w="1020" w:type="dxa"/>
            <w:vAlign w:val="bottom"/>
          </w:tcPr>
          <w:p>
            <w:pPr>
              <w:jc w:val="right"/>
              <w:ind w:right="109"/>
              <w:spacing w:after="0"/>
              <w:rPr>
                <w:sz w:val="20"/>
                <w:szCs w:val="20"/>
                <w:color w:val="auto"/>
              </w:rPr>
            </w:pPr>
            <w:r>
              <w:rPr>
                <w:rFonts w:ascii="Arial" w:cs="Arial" w:eastAsia="Arial" w:hAnsi="Arial"/>
                <w:sz w:val="18"/>
                <w:szCs w:val="18"/>
                <w:color w:val="auto"/>
              </w:rPr>
              <w:t>(232)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75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Cash Capital Expenditures (non-GAAP)</w:t>
            </w:r>
          </w:p>
        </w:tc>
        <w:tc>
          <w:tcPr>
            <w:tcW w:w="88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6,187</w:t>
            </w:r>
          </w:p>
        </w:tc>
        <w:tc>
          <w:tcPr>
            <w:tcW w:w="1020" w:type="dxa"/>
            <w:vAlign w:val="bottom"/>
            <w:tcBorders>
              <w:top w:val="single" w:sz="8" w:color="0C479D"/>
              <w:bottom w:val="single" w:sz="8" w:color="0C479D"/>
            </w:tcBorders>
          </w:tcPr>
          <w:p>
            <w:pPr>
              <w:jc w:val="right"/>
              <w:ind w:right="149"/>
              <w:spacing w:after="0"/>
              <w:rPr>
                <w:sz w:val="20"/>
                <w:szCs w:val="20"/>
                <w:color w:val="auto"/>
              </w:rPr>
            </w:pPr>
            <w:r>
              <w:rPr>
                <w:rFonts w:ascii="Arial" w:cs="Arial" w:eastAsia="Arial" w:hAnsi="Arial"/>
                <w:sz w:val="18"/>
                <w:szCs w:val="18"/>
                <w:b w:val="1"/>
                <w:bCs w:val="1"/>
                <w:color w:val="auto"/>
              </w:rPr>
              <w:t>7,901</w:t>
            </w:r>
          </w:p>
        </w:tc>
        <w:tc>
          <w:tcPr>
            <w:tcW w:w="72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5,936</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shd w:val="clear" w:color="auto" w:fill="0C479D"/>
          </w:tcPr>
          <w:p>
            <w:pPr>
              <w:jc w:val="right"/>
              <w:ind w:right="69"/>
              <w:spacing w:after="0"/>
              <w:rPr>
                <w:sz w:val="20"/>
                <w:szCs w:val="20"/>
                <w:color w:val="auto"/>
              </w:rPr>
            </w:pPr>
            <w:r>
              <w:rPr>
                <w:rFonts w:ascii="Arial" w:cs="Arial" w:eastAsia="Arial" w:hAnsi="Arial"/>
                <w:sz w:val="20"/>
                <w:szCs w:val="20"/>
                <w:color w:val="FFFFFF"/>
              </w:rPr>
              <w:t>4Q25</w:t>
            </w:r>
          </w:p>
        </w:tc>
        <w:tc>
          <w:tcPr>
            <w:tcW w:w="72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20" w:type="dxa"/>
            <w:vAlign w:val="bottom"/>
            <w:shd w:val="clear" w:color="auto" w:fill="0C479D"/>
          </w:tcPr>
          <w:p>
            <w:pPr>
              <w:spacing w:after="0"/>
              <w:rPr>
                <w:sz w:val="10"/>
                <w:szCs w:val="10"/>
                <w:color w:val="auto"/>
              </w:rPr>
            </w:pPr>
          </w:p>
        </w:tc>
        <w:tc>
          <w:tcPr>
            <w:tcW w:w="720" w:type="dxa"/>
            <w:vAlign w:val="bottom"/>
            <w:shd w:val="clear" w:color="auto" w:fill="0C479D"/>
          </w:tcPr>
          <w:p>
            <w:pPr>
              <w:spacing w:after="0"/>
              <w:rPr>
                <w:sz w:val="10"/>
                <w:szCs w:val="10"/>
                <w:color w:val="auto"/>
              </w:rPr>
            </w:pPr>
          </w:p>
        </w:tc>
      </w:tr>
      <w:tr>
        <w:trPr>
          <w:trHeight w:val="263"/>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Upstream</w:t>
            </w:r>
          </w:p>
        </w:tc>
        <w:tc>
          <w:tcPr>
            <w:tcW w:w="880" w:type="dxa"/>
            <w:vAlign w:val="bottom"/>
            <w:tcBorders>
              <w:bottom w:val="single" w:sz="8" w:color="0C479D"/>
            </w:tcBorders>
            <w:shd w:val="clear" w:color="auto" w:fill="DCDDDE"/>
          </w:tcPr>
          <w:p>
            <w:pPr>
              <w:spacing w:after="0"/>
              <w:rPr>
                <w:sz w:val="22"/>
                <w:szCs w:val="22"/>
                <w:color w:val="auto"/>
              </w:rPr>
            </w:pPr>
          </w:p>
        </w:tc>
        <w:tc>
          <w:tcPr>
            <w:tcW w:w="1020" w:type="dxa"/>
            <w:vAlign w:val="bottom"/>
            <w:tcBorders>
              <w:bottom w:val="single" w:sz="8" w:color="0C479D"/>
            </w:tcBorders>
          </w:tcPr>
          <w:p>
            <w:pPr>
              <w:spacing w:after="0"/>
              <w:rPr>
                <w:sz w:val="22"/>
                <w:szCs w:val="22"/>
                <w:color w:val="auto"/>
              </w:rPr>
            </w:pPr>
          </w:p>
        </w:tc>
        <w:tc>
          <w:tcPr>
            <w:tcW w:w="720" w:type="dxa"/>
            <w:vAlign w:val="bottom"/>
            <w:tcBorders>
              <w:bottom w:val="single" w:sz="8" w:color="0C479D"/>
            </w:tcBorders>
          </w:tcPr>
          <w:p>
            <w:pPr>
              <w:spacing w:after="0"/>
              <w:rPr>
                <w:sz w:val="22"/>
                <w:szCs w:val="22"/>
                <w:color w:val="auto"/>
              </w:rPr>
            </w:pPr>
          </w:p>
        </w:tc>
      </w:tr>
      <w:tr>
        <w:trPr>
          <w:trHeight w:val="247"/>
        </w:trPr>
        <w:tc>
          <w:tcPr>
            <w:tcW w:w="75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3,449</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3,674</w:t>
            </w:r>
          </w:p>
        </w:tc>
        <w:tc>
          <w:tcPr>
            <w:tcW w:w="72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57"/>
        </w:trPr>
        <w:tc>
          <w:tcPr>
            <w:tcW w:w="7580" w:type="dxa"/>
            <w:vAlign w:val="bottom"/>
          </w:tcPr>
          <w:p>
            <w:pPr>
              <w:ind w:left="120"/>
              <w:spacing w:after="0"/>
              <w:rPr>
                <w:sz w:val="20"/>
                <w:szCs w:val="20"/>
                <w:color w:val="auto"/>
              </w:rPr>
            </w:pPr>
            <w:r>
              <w:rPr>
                <w:rFonts w:ascii="Arial" w:cs="Arial" w:eastAsia="Arial" w:hAnsi="Arial"/>
                <w:sz w:val="18"/>
                <w:szCs w:val="18"/>
                <w:color w:val="auto"/>
              </w:rPr>
              <w:t>Non-U.S.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1,363</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2,709</w:t>
            </w: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78"/>
        </w:trPr>
        <w:tc>
          <w:tcPr>
            <w:tcW w:w="758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4,812</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6,383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4,993</w:t>
            </w:r>
          </w:p>
        </w:tc>
      </w:tr>
      <w:tr>
        <w:trPr>
          <w:trHeight w:val="548"/>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Energy Products</w:t>
            </w:r>
          </w:p>
        </w:tc>
        <w:tc>
          <w:tcPr>
            <w:tcW w:w="880" w:type="dxa"/>
            <w:vAlign w:val="bottom"/>
            <w:tcBorders>
              <w:bottom w:val="single" w:sz="8" w:color="0C479D"/>
            </w:tcBorders>
            <w:shd w:val="clear" w:color="auto" w:fill="DCDDDE"/>
          </w:tcPr>
          <w:p>
            <w:pPr>
              <w:spacing w:after="0"/>
              <w:rPr>
                <w:sz w:val="24"/>
                <w:szCs w:val="24"/>
                <w:color w:val="auto"/>
              </w:rPr>
            </w:pPr>
          </w:p>
        </w:tc>
        <w:tc>
          <w:tcPr>
            <w:tcW w:w="1020" w:type="dxa"/>
            <w:vAlign w:val="bottom"/>
            <w:tcBorders>
              <w:bottom w:val="single" w:sz="8" w:color="0C479D"/>
            </w:tcBorders>
          </w:tcPr>
          <w:p>
            <w:pPr>
              <w:spacing w:after="0"/>
              <w:rPr>
                <w:sz w:val="24"/>
                <w:szCs w:val="24"/>
                <w:color w:val="auto"/>
              </w:rPr>
            </w:pPr>
          </w:p>
        </w:tc>
        <w:tc>
          <w:tcPr>
            <w:tcW w:w="720" w:type="dxa"/>
            <w:vAlign w:val="bottom"/>
            <w:tcBorders>
              <w:bottom w:val="single" w:sz="8" w:color="0C479D"/>
            </w:tcBorders>
          </w:tcPr>
          <w:p>
            <w:pPr>
              <w:spacing w:after="0"/>
              <w:rPr>
                <w:sz w:val="24"/>
                <w:szCs w:val="24"/>
                <w:color w:val="auto"/>
              </w:rPr>
            </w:pPr>
          </w:p>
        </w:tc>
      </w:tr>
      <w:tr>
        <w:trPr>
          <w:trHeight w:val="247"/>
        </w:trPr>
        <w:tc>
          <w:tcPr>
            <w:tcW w:w="75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828</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289</w:t>
            </w: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57"/>
        </w:trPr>
        <w:tc>
          <w:tcPr>
            <w:tcW w:w="7580" w:type="dxa"/>
            <w:vAlign w:val="bottom"/>
          </w:tcPr>
          <w:p>
            <w:pPr>
              <w:ind w:left="120"/>
              <w:spacing w:after="0"/>
              <w:rPr>
                <w:sz w:val="20"/>
                <w:szCs w:val="20"/>
                <w:color w:val="auto"/>
              </w:rPr>
            </w:pPr>
            <w:r>
              <w:rPr>
                <w:rFonts w:ascii="Arial" w:cs="Arial" w:eastAsia="Arial" w:hAnsi="Arial"/>
                <w:sz w:val="18"/>
                <w:szCs w:val="18"/>
                <w:color w:val="auto"/>
              </w:rPr>
              <w:t>Non-U.S.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170</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204</w:t>
            </w: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8"/>
        </w:trPr>
        <w:tc>
          <w:tcPr>
            <w:tcW w:w="758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998</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493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378</w:t>
            </w:r>
          </w:p>
        </w:tc>
      </w:tr>
      <w:tr>
        <w:trPr>
          <w:trHeight w:val="549"/>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Chemical Products</w:t>
            </w:r>
          </w:p>
        </w:tc>
        <w:tc>
          <w:tcPr>
            <w:tcW w:w="880" w:type="dxa"/>
            <w:vAlign w:val="bottom"/>
            <w:tcBorders>
              <w:bottom w:val="single" w:sz="8" w:color="0C479D"/>
            </w:tcBorders>
            <w:shd w:val="clear" w:color="auto" w:fill="DCDDDE"/>
          </w:tcPr>
          <w:p>
            <w:pPr>
              <w:spacing w:after="0"/>
              <w:rPr>
                <w:sz w:val="24"/>
                <w:szCs w:val="24"/>
                <w:color w:val="auto"/>
              </w:rPr>
            </w:pPr>
          </w:p>
        </w:tc>
        <w:tc>
          <w:tcPr>
            <w:tcW w:w="1020" w:type="dxa"/>
            <w:vAlign w:val="bottom"/>
            <w:tcBorders>
              <w:bottom w:val="single" w:sz="8" w:color="0C479D"/>
            </w:tcBorders>
          </w:tcPr>
          <w:p>
            <w:pPr>
              <w:spacing w:after="0"/>
              <w:rPr>
                <w:sz w:val="24"/>
                <w:szCs w:val="24"/>
                <w:color w:val="auto"/>
              </w:rPr>
            </w:pPr>
          </w:p>
        </w:tc>
        <w:tc>
          <w:tcPr>
            <w:tcW w:w="720" w:type="dxa"/>
            <w:vAlign w:val="bottom"/>
            <w:tcBorders>
              <w:bottom w:val="single" w:sz="8" w:color="0C479D"/>
            </w:tcBorders>
          </w:tcPr>
          <w:p>
            <w:pPr>
              <w:spacing w:after="0"/>
              <w:rPr>
                <w:sz w:val="24"/>
                <w:szCs w:val="24"/>
                <w:color w:val="auto"/>
              </w:rPr>
            </w:pPr>
          </w:p>
        </w:tc>
      </w:tr>
      <w:tr>
        <w:trPr>
          <w:trHeight w:val="247"/>
        </w:trPr>
        <w:tc>
          <w:tcPr>
            <w:tcW w:w="75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156</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338</w:t>
            </w: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57"/>
        </w:trPr>
        <w:tc>
          <w:tcPr>
            <w:tcW w:w="7580" w:type="dxa"/>
            <w:vAlign w:val="bottom"/>
          </w:tcPr>
          <w:p>
            <w:pPr>
              <w:ind w:left="120"/>
              <w:spacing w:after="0"/>
              <w:rPr>
                <w:sz w:val="20"/>
                <w:szCs w:val="20"/>
                <w:color w:val="auto"/>
              </w:rPr>
            </w:pPr>
            <w:r>
              <w:rPr>
                <w:rFonts w:ascii="Arial" w:cs="Arial" w:eastAsia="Arial" w:hAnsi="Arial"/>
                <w:sz w:val="18"/>
                <w:szCs w:val="18"/>
                <w:color w:val="auto"/>
              </w:rPr>
              <w:t>Non-U.S.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26</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212</w:t>
            </w: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8"/>
        </w:trPr>
        <w:tc>
          <w:tcPr>
            <w:tcW w:w="758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182</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550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291</w:t>
            </w:r>
          </w:p>
        </w:tc>
      </w:tr>
      <w:tr>
        <w:trPr>
          <w:trHeight w:val="549"/>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Specialty Products</w:t>
            </w:r>
          </w:p>
        </w:tc>
        <w:tc>
          <w:tcPr>
            <w:tcW w:w="880" w:type="dxa"/>
            <w:vAlign w:val="bottom"/>
            <w:tcBorders>
              <w:bottom w:val="single" w:sz="8" w:color="0C479D"/>
            </w:tcBorders>
            <w:shd w:val="clear" w:color="auto" w:fill="DCDDDE"/>
          </w:tcPr>
          <w:p>
            <w:pPr>
              <w:spacing w:after="0"/>
              <w:rPr>
                <w:sz w:val="24"/>
                <w:szCs w:val="24"/>
                <w:color w:val="auto"/>
              </w:rPr>
            </w:pPr>
          </w:p>
        </w:tc>
        <w:tc>
          <w:tcPr>
            <w:tcW w:w="1020" w:type="dxa"/>
            <w:vAlign w:val="bottom"/>
            <w:tcBorders>
              <w:bottom w:val="single" w:sz="8" w:color="0C479D"/>
            </w:tcBorders>
          </w:tcPr>
          <w:p>
            <w:pPr>
              <w:spacing w:after="0"/>
              <w:rPr>
                <w:sz w:val="24"/>
                <w:szCs w:val="24"/>
                <w:color w:val="auto"/>
              </w:rPr>
            </w:pPr>
          </w:p>
        </w:tc>
        <w:tc>
          <w:tcPr>
            <w:tcW w:w="720" w:type="dxa"/>
            <w:vAlign w:val="bottom"/>
            <w:tcBorders>
              <w:bottom w:val="single" w:sz="8" w:color="0C479D"/>
            </w:tcBorders>
          </w:tcPr>
          <w:p>
            <w:pPr>
              <w:spacing w:after="0"/>
              <w:rPr>
                <w:sz w:val="24"/>
                <w:szCs w:val="24"/>
                <w:color w:val="auto"/>
              </w:rPr>
            </w:pPr>
          </w:p>
        </w:tc>
      </w:tr>
      <w:tr>
        <w:trPr>
          <w:trHeight w:val="247"/>
        </w:trPr>
        <w:tc>
          <w:tcPr>
            <w:tcW w:w="75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35</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221</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7580" w:type="dxa"/>
            <w:vAlign w:val="bottom"/>
          </w:tcPr>
          <w:p>
            <w:pPr>
              <w:ind w:left="120"/>
              <w:spacing w:after="0"/>
              <w:rPr>
                <w:sz w:val="20"/>
                <w:szCs w:val="20"/>
                <w:color w:val="auto"/>
              </w:rPr>
            </w:pPr>
            <w:r>
              <w:rPr>
                <w:rFonts w:ascii="Arial" w:cs="Arial" w:eastAsia="Arial" w:hAnsi="Arial"/>
                <w:sz w:val="18"/>
                <w:szCs w:val="18"/>
                <w:color w:val="auto"/>
              </w:rPr>
              <w:t>Non-U.S.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20</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86</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8"/>
        </w:trPr>
        <w:tc>
          <w:tcPr>
            <w:tcW w:w="758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55</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307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548"/>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Other</w:t>
            </w:r>
          </w:p>
        </w:tc>
        <w:tc>
          <w:tcPr>
            <w:tcW w:w="880" w:type="dxa"/>
            <w:vAlign w:val="bottom"/>
            <w:tcBorders>
              <w:bottom w:val="single" w:sz="8" w:color="0C479D"/>
            </w:tcBorders>
            <w:shd w:val="clear" w:color="auto" w:fill="DCDDDE"/>
          </w:tcPr>
          <w:p>
            <w:pPr>
              <w:spacing w:after="0"/>
              <w:rPr>
                <w:sz w:val="24"/>
                <w:szCs w:val="24"/>
                <w:color w:val="auto"/>
              </w:rPr>
            </w:pPr>
          </w:p>
        </w:tc>
        <w:tc>
          <w:tcPr>
            <w:tcW w:w="1020" w:type="dxa"/>
            <w:vAlign w:val="bottom"/>
            <w:tcBorders>
              <w:bottom w:val="single" w:sz="8" w:color="0C479D"/>
            </w:tcBorders>
          </w:tcPr>
          <w:p>
            <w:pPr>
              <w:spacing w:after="0"/>
              <w:rPr>
                <w:sz w:val="24"/>
                <w:szCs w:val="24"/>
                <w:color w:val="auto"/>
              </w:rPr>
            </w:pPr>
          </w:p>
        </w:tc>
        <w:tc>
          <w:tcPr>
            <w:tcW w:w="720" w:type="dxa"/>
            <w:vAlign w:val="bottom"/>
            <w:tcBorders>
              <w:bottom w:val="single" w:sz="8" w:color="0C479D"/>
            </w:tcBorders>
          </w:tcPr>
          <w:p>
            <w:pPr>
              <w:spacing w:after="0"/>
              <w:rPr>
                <w:sz w:val="24"/>
                <w:szCs w:val="24"/>
                <w:color w:val="auto"/>
              </w:rPr>
            </w:pPr>
          </w:p>
        </w:tc>
      </w:tr>
      <w:tr>
        <w:trPr>
          <w:trHeight w:val="247"/>
        </w:trPr>
        <w:tc>
          <w:tcPr>
            <w:tcW w:w="7580" w:type="dxa"/>
            <w:vAlign w:val="bottom"/>
          </w:tcPr>
          <w:p>
            <w:pPr>
              <w:ind w:left="1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140</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168</w:t>
            </w:r>
          </w:p>
        </w:tc>
        <w:tc>
          <w:tcPr>
            <w:tcW w:w="7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80"/>
        </w:trPr>
        <w:tc>
          <w:tcPr>
            <w:tcW w:w="7580" w:type="dxa"/>
            <w:vAlign w:val="bottom"/>
            <w:tcBorders>
              <w:bottom w:val="single" w:sz="8" w:color="0C479D"/>
            </w:tcBorders>
          </w:tcPr>
          <w:p>
            <w:pPr>
              <w:spacing w:after="0"/>
              <w:rPr>
                <w:sz w:val="24"/>
                <w:szCs w:val="24"/>
                <w:color w:val="auto"/>
              </w:rPr>
            </w:pPr>
          </w:p>
        </w:tc>
        <w:tc>
          <w:tcPr>
            <w:tcW w:w="880" w:type="dxa"/>
            <w:vAlign w:val="bottom"/>
            <w:tcBorders>
              <w:bottom w:val="single" w:sz="8" w:color="0C479D"/>
            </w:tcBorders>
            <w:shd w:val="clear" w:color="auto" w:fill="DCDDDE"/>
          </w:tcPr>
          <w:p>
            <w:pPr>
              <w:spacing w:after="0"/>
              <w:rPr>
                <w:sz w:val="24"/>
                <w:szCs w:val="24"/>
                <w:color w:val="auto"/>
              </w:rPr>
            </w:pPr>
          </w:p>
        </w:tc>
        <w:tc>
          <w:tcPr>
            <w:tcW w:w="1020" w:type="dxa"/>
            <w:vAlign w:val="bottom"/>
            <w:tcBorders>
              <w:bottom w:val="single" w:sz="8" w:color="0C479D"/>
            </w:tcBorders>
          </w:tcPr>
          <w:p>
            <w:pPr>
              <w:spacing w:after="0"/>
              <w:rPr>
                <w:sz w:val="24"/>
                <w:szCs w:val="24"/>
                <w:color w:val="auto"/>
              </w:rPr>
            </w:pPr>
          </w:p>
        </w:tc>
        <w:tc>
          <w:tcPr>
            <w:tcW w:w="720" w:type="dxa"/>
            <w:vAlign w:val="bottom"/>
            <w:tcBorders>
              <w:bottom w:val="single" w:sz="8" w:color="0C479D"/>
            </w:tcBorders>
          </w:tcPr>
          <w:p>
            <w:pPr>
              <w:spacing w:after="0"/>
              <w:rPr>
                <w:sz w:val="24"/>
                <w:szCs w:val="24"/>
                <w:color w:val="auto"/>
              </w:rPr>
            </w:pPr>
          </w:p>
        </w:tc>
      </w:tr>
      <w:tr>
        <w:trPr>
          <w:trHeight w:val="25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Worldwide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6,187</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7,901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00"/>
          </w:cols>
          <w:pgMar w:left="840" w:top="1209" w:right="859" w:bottom="1440" w:gutter="0" w:footer="0" w:header="0"/>
        </w:sectPr>
      </w:pPr>
    </w:p>
    <w:bookmarkStart w:id="11" w:name="page12"/>
    <w:bookmarkEnd w:id="11"/>
    <w:p>
      <w:pPr>
        <w:ind w:left="560"/>
        <w:spacing w:after="0"/>
        <w:rPr>
          <w:sz w:val="20"/>
          <w:szCs w:val="20"/>
          <w:color w:val="auto"/>
        </w:rPr>
      </w:pPr>
      <w:r>
        <w:rPr>
          <w:rFonts w:ascii="Arial" w:cs="Arial" w:eastAsia="Arial" w:hAnsi="Arial"/>
          <w:sz w:val="25"/>
          <w:szCs w:val="25"/>
          <w:b w:val="1"/>
          <w:bCs w:val="1"/>
          <w:color w:val="0C479D"/>
        </w:rPr>
        <w:drawing>
          <wp:anchor simplePos="0" relativeHeight="251657728" behindDoc="1" locked="0" layoutInCell="0" allowOverlap="1">
            <wp:simplePos x="0" y="0"/>
            <wp:positionH relativeFrom="page">
              <wp:posOffset>551180</wp:posOffset>
            </wp:positionH>
            <wp:positionV relativeFrom="page">
              <wp:posOffset>440690</wp:posOffset>
            </wp:positionV>
            <wp:extent cx="128587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57175"/>
                    </a:xfrm>
                    <a:prstGeom prst="rect">
                      <a:avLst/>
                    </a:prstGeom>
                    <a:noFill/>
                  </pic:spPr>
                </pic:pic>
              </a:graphicData>
            </a:graphic>
          </wp:anchor>
        </w:drawing>
        <w:t>CALCULATION OF STRUCTURAL COST SAVINGS</w:t>
      </w:r>
    </w:p>
    <w:p>
      <w:pPr>
        <w:spacing w:after="0" w:line="81" w:lineRule="exact"/>
        <w:rPr>
          <w:sz w:val="20"/>
          <w:szCs w:val="20"/>
          <w:color w:val="auto"/>
        </w:rPr>
      </w:pPr>
    </w:p>
    <w:tbl>
      <w:tblPr>
        <w:tblLayout w:type="fixed"/>
        <w:tblInd w:w="540" w:type="dxa"/>
        <w:tblCellMar>
          <w:top w:w="0" w:type="dxa"/>
          <w:left w:w="0" w:type="dxa"/>
          <w:bottom w:w="0" w:type="dxa"/>
          <w:right w:w="0" w:type="dxa"/>
        </w:tblCellMar>
      </w:tblPr>
      <w:tr>
        <w:trPr>
          <w:trHeight w:val="223"/>
        </w:trPr>
        <w:tc>
          <w:tcPr>
            <w:tcW w:w="5020" w:type="dxa"/>
            <w:vAlign w:val="bottom"/>
            <w:vMerge w:val="restart"/>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billions (unless otherwise noted)</w:t>
            </w:r>
          </w:p>
        </w:tc>
        <w:tc>
          <w:tcPr>
            <w:tcW w:w="1980" w:type="dxa"/>
            <w:vAlign w:val="bottom"/>
            <w:gridSpan w:val="2"/>
            <w:shd w:val="clear" w:color="auto" w:fill="0C479D"/>
          </w:tcPr>
          <w:p>
            <w:pPr>
              <w:jc w:val="right"/>
              <w:ind w:right="10"/>
              <w:spacing w:after="0"/>
              <w:rPr>
                <w:sz w:val="20"/>
                <w:szCs w:val="20"/>
                <w:color w:val="auto"/>
              </w:rPr>
            </w:pPr>
            <w:r>
              <w:rPr>
                <w:rFonts w:ascii="Arial" w:cs="Arial" w:eastAsia="Arial" w:hAnsi="Arial"/>
                <w:sz w:val="18"/>
                <w:szCs w:val="18"/>
                <w:color w:val="FFFFFF"/>
              </w:rPr>
              <w:t>Twelve Months Ended</w:t>
            </w:r>
          </w:p>
        </w:tc>
        <w:tc>
          <w:tcPr>
            <w:tcW w:w="120" w:type="dxa"/>
            <w:vAlign w:val="bottom"/>
          </w:tcPr>
          <w:p>
            <w:pPr>
              <w:spacing w:after="0"/>
              <w:rPr>
                <w:sz w:val="19"/>
                <w:szCs w:val="19"/>
                <w:color w:val="auto"/>
              </w:rPr>
            </w:pPr>
          </w:p>
        </w:tc>
        <w:tc>
          <w:tcPr>
            <w:tcW w:w="1900" w:type="dxa"/>
            <w:vAlign w:val="bottom"/>
            <w:gridSpan w:val="3"/>
            <w:shd w:val="clear" w:color="auto" w:fill="0C479D"/>
          </w:tcPr>
          <w:p>
            <w:pPr>
              <w:jc w:val="center"/>
              <w:spacing w:after="0"/>
              <w:rPr>
                <w:sz w:val="20"/>
                <w:szCs w:val="20"/>
                <w:color w:val="auto"/>
              </w:rPr>
            </w:pPr>
            <w:r>
              <w:rPr>
                <w:rFonts w:ascii="Arial" w:cs="Arial" w:eastAsia="Arial" w:hAnsi="Arial"/>
                <w:sz w:val="18"/>
                <w:szCs w:val="18"/>
                <w:color w:val="FFFFFF"/>
                <w:w w:val="99"/>
              </w:rPr>
              <w:t>Three Months Ended</w:t>
            </w:r>
          </w:p>
        </w:tc>
        <w:tc>
          <w:tcPr>
            <w:tcW w:w="0" w:type="dxa"/>
            <w:vAlign w:val="bottom"/>
          </w:tcPr>
          <w:p>
            <w:pPr>
              <w:spacing w:after="0"/>
              <w:rPr>
                <w:sz w:val="1"/>
                <w:szCs w:val="1"/>
                <w:color w:val="auto"/>
              </w:rPr>
            </w:pPr>
          </w:p>
        </w:tc>
      </w:tr>
      <w:tr>
        <w:trPr>
          <w:trHeight w:val="158"/>
        </w:trPr>
        <w:tc>
          <w:tcPr>
            <w:tcW w:w="5020" w:type="dxa"/>
            <w:vAlign w:val="bottom"/>
            <w:vMerge w:val="continue"/>
            <w:shd w:val="clear" w:color="auto" w:fill="0C479D"/>
          </w:tcPr>
          <w:p>
            <w:pPr>
              <w:spacing w:after="0"/>
              <w:rPr>
                <w:sz w:val="13"/>
                <w:szCs w:val="13"/>
                <w:color w:val="auto"/>
              </w:rPr>
            </w:pPr>
          </w:p>
        </w:tc>
        <w:tc>
          <w:tcPr>
            <w:tcW w:w="1980" w:type="dxa"/>
            <w:vAlign w:val="bottom"/>
            <w:gridSpan w:val="2"/>
            <w:vMerge w:val="restart"/>
            <w:shd w:val="clear" w:color="auto" w:fill="0C479D"/>
          </w:tcPr>
          <w:p>
            <w:pPr>
              <w:jc w:val="right"/>
              <w:ind w:right="310"/>
              <w:spacing w:after="0"/>
              <w:rPr>
                <w:sz w:val="20"/>
                <w:szCs w:val="20"/>
                <w:color w:val="auto"/>
              </w:rPr>
            </w:pPr>
            <w:r>
              <w:rPr>
                <w:rFonts w:ascii="Arial" w:cs="Arial" w:eastAsia="Arial" w:hAnsi="Arial"/>
                <w:sz w:val="18"/>
                <w:szCs w:val="18"/>
                <w:color w:val="FFFFFF"/>
              </w:rPr>
              <w:t>December 31,</w:t>
            </w:r>
          </w:p>
        </w:tc>
        <w:tc>
          <w:tcPr>
            <w:tcW w:w="120" w:type="dxa"/>
            <w:vAlign w:val="bottom"/>
          </w:tcPr>
          <w:p>
            <w:pPr>
              <w:spacing w:after="0"/>
              <w:rPr>
                <w:sz w:val="13"/>
                <w:szCs w:val="13"/>
                <w:color w:val="auto"/>
              </w:rPr>
            </w:pPr>
          </w:p>
        </w:tc>
        <w:tc>
          <w:tcPr>
            <w:tcW w:w="1400" w:type="dxa"/>
            <w:vAlign w:val="bottom"/>
            <w:gridSpan w:val="2"/>
            <w:vMerge w:val="restart"/>
            <w:shd w:val="clear" w:color="auto" w:fill="0C479D"/>
          </w:tcPr>
          <w:p>
            <w:pPr>
              <w:jc w:val="center"/>
              <w:ind w:left="430"/>
              <w:spacing w:after="0"/>
              <w:rPr>
                <w:sz w:val="20"/>
                <w:szCs w:val="20"/>
                <w:color w:val="auto"/>
              </w:rPr>
            </w:pPr>
            <w:r>
              <w:rPr>
                <w:rFonts w:ascii="Arial" w:cs="Arial" w:eastAsia="Arial" w:hAnsi="Arial"/>
                <w:sz w:val="18"/>
                <w:szCs w:val="18"/>
                <w:color w:val="FFFFFF"/>
                <w:w w:val="99"/>
              </w:rPr>
              <w:t>March 31,</w:t>
            </w:r>
          </w:p>
        </w:tc>
        <w:tc>
          <w:tcPr>
            <w:tcW w:w="500" w:type="dxa"/>
            <w:vAlign w:val="bottom"/>
            <w:shd w:val="clear" w:color="auto" w:fill="0C479D"/>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5020" w:type="dxa"/>
            <w:vAlign w:val="bottom"/>
            <w:shd w:val="clear" w:color="auto" w:fill="0C479D"/>
          </w:tcPr>
          <w:p>
            <w:pPr>
              <w:spacing w:after="0"/>
              <w:rPr>
                <w:sz w:val="6"/>
                <w:szCs w:val="6"/>
                <w:color w:val="auto"/>
              </w:rPr>
            </w:pPr>
          </w:p>
        </w:tc>
        <w:tc>
          <w:tcPr>
            <w:tcW w:w="1980" w:type="dxa"/>
            <w:vAlign w:val="bottom"/>
            <w:gridSpan w:val="2"/>
            <w:vMerge w:val="continue"/>
            <w:shd w:val="clear" w:color="auto" w:fill="0C479D"/>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shd w:val="clear" w:color="auto" w:fill="0C479D"/>
          </w:tcPr>
          <w:p>
            <w:pPr>
              <w:spacing w:after="0"/>
              <w:rPr>
                <w:sz w:val="6"/>
                <w:szCs w:val="6"/>
                <w:color w:val="auto"/>
              </w:rPr>
            </w:pPr>
          </w:p>
        </w:tc>
        <w:tc>
          <w:tcPr>
            <w:tcW w:w="500" w:type="dxa"/>
            <w:vAlign w:val="bottom"/>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5020" w:type="dxa"/>
            <w:vAlign w:val="bottom"/>
            <w:shd w:val="clear" w:color="auto" w:fill="0C479D"/>
          </w:tcPr>
          <w:p>
            <w:pPr>
              <w:spacing w:after="0"/>
              <w:rPr>
                <w:sz w:val="6"/>
                <w:szCs w:val="6"/>
                <w:color w:val="auto"/>
              </w:rPr>
            </w:pPr>
          </w:p>
        </w:tc>
        <w:tc>
          <w:tcPr>
            <w:tcW w:w="1260" w:type="dxa"/>
            <w:vAlign w:val="bottom"/>
            <w:shd w:val="clear" w:color="auto" w:fill="0C479D"/>
          </w:tcPr>
          <w:p>
            <w:pPr>
              <w:spacing w:after="0"/>
              <w:rPr>
                <w:sz w:val="6"/>
                <w:szCs w:val="6"/>
                <w:color w:val="auto"/>
              </w:rPr>
            </w:pPr>
          </w:p>
        </w:tc>
        <w:tc>
          <w:tcPr>
            <w:tcW w:w="720" w:type="dxa"/>
            <w:vAlign w:val="bottom"/>
            <w:shd w:val="clear" w:color="auto" w:fill="0C479D"/>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shd w:val="clear" w:color="auto" w:fill="0C479D"/>
          </w:tcPr>
          <w:p>
            <w:pPr>
              <w:spacing w:after="0"/>
              <w:rPr>
                <w:sz w:val="6"/>
                <w:szCs w:val="6"/>
                <w:color w:val="auto"/>
              </w:rPr>
            </w:pPr>
          </w:p>
        </w:tc>
        <w:tc>
          <w:tcPr>
            <w:tcW w:w="460" w:type="dxa"/>
            <w:vAlign w:val="bottom"/>
            <w:shd w:val="clear" w:color="auto" w:fill="0C479D"/>
          </w:tcPr>
          <w:p>
            <w:pPr>
              <w:spacing w:after="0"/>
              <w:rPr>
                <w:sz w:val="6"/>
                <w:szCs w:val="6"/>
                <w:color w:val="auto"/>
              </w:rPr>
            </w:pPr>
          </w:p>
        </w:tc>
        <w:tc>
          <w:tcPr>
            <w:tcW w:w="500" w:type="dxa"/>
            <w:vAlign w:val="bottom"/>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5020" w:type="dxa"/>
            <w:vAlign w:val="bottom"/>
          </w:tcPr>
          <w:p>
            <w:pPr>
              <w:spacing w:after="0"/>
              <w:rPr>
                <w:sz w:val="24"/>
                <w:szCs w:val="24"/>
                <w:color w:val="auto"/>
              </w:rPr>
            </w:pPr>
          </w:p>
        </w:tc>
        <w:tc>
          <w:tcPr>
            <w:tcW w:w="1260" w:type="dxa"/>
            <w:vAlign w:val="bottom"/>
            <w:shd w:val="clear" w:color="auto" w:fill="0C479D"/>
          </w:tcPr>
          <w:p>
            <w:pPr>
              <w:jc w:val="right"/>
              <w:ind w:right="190"/>
              <w:spacing w:after="0"/>
              <w:rPr>
                <w:sz w:val="20"/>
                <w:szCs w:val="20"/>
                <w:color w:val="auto"/>
              </w:rPr>
            </w:pPr>
            <w:r>
              <w:rPr>
                <w:rFonts w:ascii="Arial" w:cs="Arial" w:eastAsia="Arial" w:hAnsi="Arial"/>
                <w:sz w:val="18"/>
                <w:szCs w:val="18"/>
                <w:color w:val="FFFFFF"/>
              </w:rPr>
              <w:t>2019</w:t>
            </w:r>
          </w:p>
        </w:tc>
        <w:tc>
          <w:tcPr>
            <w:tcW w:w="720" w:type="dxa"/>
            <w:vAlign w:val="bottom"/>
            <w:shd w:val="clear" w:color="auto" w:fill="0C479D"/>
          </w:tcPr>
          <w:p>
            <w:pPr>
              <w:jc w:val="right"/>
              <w:spacing w:after="0"/>
              <w:rPr>
                <w:sz w:val="20"/>
                <w:szCs w:val="20"/>
                <w:color w:val="auto"/>
              </w:rPr>
            </w:pPr>
            <w:r>
              <w:rPr>
                <w:rFonts w:ascii="Arial" w:cs="Arial" w:eastAsia="Arial" w:hAnsi="Arial"/>
                <w:sz w:val="18"/>
                <w:szCs w:val="18"/>
                <w:color w:val="FFFFFF"/>
              </w:rPr>
              <w:t>2025</w:t>
            </w:r>
          </w:p>
        </w:tc>
        <w:tc>
          <w:tcPr>
            <w:tcW w:w="120" w:type="dxa"/>
            <w:vAlign w:val="bottom"/>
          </w:tcPr>
          <w:p>
            <w:pPr>
              <w:spacing w:after="0"/>
              <w:rPr>
                <w:sz w:val="24"/>
                <w:szCs w:val="24"/>
                <w:color w:val="auto"/>
              </w:rPr>
            </w:pPr>
          </w:p>
        </w:tc>
        <w:tc>
          <w:tcPr>
            <w:tcW w:w="940" w:type="dxa"/>
            <w:vAlign w:val="bottom"/>
            <w:shd w:val="clear" w:color="auto" w:fill="0C479D"/>
          </w:tcPr>
          <w:p>
            <w:pPr>
              <w:jc w:val="right"/>
              <w:spacing w:after="0"/>
              <w:rPr>
                <w:sz w:val="20"/>
                <w:szCs w:val="20"/>
                <w:color w:val="auto"/>
              </w:rPr>
            </w:pPr>
            <w:r>
              <w:rPr>
                <w:rFonts w:ascii="Arial" w:cs="Arial" w:eastAsia="Arial" w:hAnsi="Arial"/>
                <w:sz w:val="18"/>
                <w:szCs w:val="18"/>
                <w:color w:val="FFFFFF"/>
              </w:rPr>
              <w:t>2025</w:t>
            </w:r>
          </w:p>
        </w:tc>
        <w:tc>
          <w:tcPr>
            <w:tcW w:w="460" w:type="dxa"/>
            <w:vAlign w:val="bottom"/>
            <w:shd w:val="clear" w:color="auto" w:fill="000000"/>
          </w:tcPr>
          <w:p>
            <w:pPr>
              <w:spacing w:after="0"/>
              <w:rPr>
                <w:sz w:val="24"/>
                <w:szCs w:val="24"/>
                <w:color w:val="auto"/>
              </w:rPr>
            </w:pPr>
          </w:p>
        </w:tc>
        <w:tc>
          <w:tcPr>
            <w:tcW w:w="500" w:type="dxa"/>
            <w:vAlign w:val="bottom"/>
            <w:shd w:val="clear" w:color="auto" w:fill="000000"/>
          </w:tcPr>
          <w:p>
            <w:pPr>
              <w:jc w:val="right"/>
              <w:spacing w:after="0"/>
              <w:rPr>
                <w:sz w:val="20"/>
                <w:szCs w:val="20"/>
                <w:color w:val="auto"/>
              </w:rPr>
            </w:pPr>
            <w:r>
              <w:rPr>
                <w:rFonts w:ascii="Arial" w:cs="Arial" w:eastAsia="Arial" w:hAnsi="Arial"/>
                <w:sz w:val="18"/>
                <w:szCs w:val="18"/>
                <w:color w:val="FFFFFF"/>
              </w:rPr>
              <w:t>2026</w:t>
            </w:r>
          </w:p>
        </w:tc>
        <w:tc>
          <w:tcPr>
            <w:tcW w:w="0" w:type="dxa"/>
            <w:vAlign w:val="bottom"/>
          </w:tcPr>
          <w:p>
            <w:pPr>
              <w:spacing w:after="0"/>
              <w:rPr>
                <w:sz w:val="1"/>
                <w:szCs w:val="1"/>
                <w:color w:val="auto"/>
              </w:rPr>
            </w:pPr>
          </w:p>
        </w:tc>
      </w:tr>
      <w:tr>
        <w:trPr>
          <w:trHeight w:val="63"/>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0C479D"/>
              </w:rPr>
              <w:t>Components of Operating Costs</w:t>
            </w:r>
          </w:p>
        </w:tc>
        <w:tc>
          <w:tcPr>
            <w:tcW w:w="1260" w:type="dxa"/>
            <w:vAlign w:val="bottom"/>
            <w:shd w:val="clear" w:color="auto" w:fill="0C479D"/>
          </w:tcPr>
          <w:p>
            <w:pPr>
              <w:spacing w:after="0"/>
              <w:rPr>
                <w:sz w:val="5"/>
                <w:szCs w:val="5"/>
                <w:color w:val="auto"/>
              </w:rPr>
            </w:pPr>
          </w:p>
        </w:tc>
        <w:tc>
          <w:tcPr>
            <w:tcW w:w="720" w:type="dxa"/>
            <w:vAlign w:val="bottom"/>
            <w:shd w:val="clear" w:color="auto" w:fill="0C479D"/>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shd w:val="clear" w:color="auto" w:fill="0C479D"/>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020" w:type="dxa"/>
            <w:vAlign w:val="bottom"/>
            <w:vMerge w:val="continue"/>
          </w:tcPr>
          <w:p>
            <w:pPr>
              <w:spacing w:after="0"/>
              <w:rPr>
                <w:sz w:val="22"/>
                <w:szCs w:val="22"/>
                <w:color w:val="auto"/>
              </w:rPr>
            </w:pPr>
          </w:p>
        </w:tc>
        <w:tc>
          <w:tcPr>
            <w:tcW w:w="1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020" w:type="dxa"/>
            <w:vAlign w:val="bottom"/>
          </w:tcPr>
          <w:p>
            <w:pPr>
              <w:ind w:left="20"/>
              <w:spacing w:after="0" w:line="190" w:lineRule="exact"/>
              <w:rPr>
                <w:sz w:val="20"/>
                <w:szCs w:val="20"/>
                <w:color w:val="auto"/>
              </w:rPr>
            </w:pPr>
            <w:r>
              <w:rPr>
                <w:rFonts w:ascii="Arial" w:cs="Arial" w:eastAsia="Arial" w:hAnsi="Arial"/>
                <w:sz w:val="18"/>
                <w:szCs w:val="18"/>
                <w:b w:val="1"/>
                <w:bCs w:val="1"/>
                <w:color w:val="auto"/>
              </w:rPr>
              <w:t>From ExxonMobil’s Consolidated Statement of Income</w:t>
            </w: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(U.S. GAAP)</w:t>
            </w: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Production and manufacturing expenses</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36.8</w:t>
            </w:r>
          </w:p>
        </w:tc>
        <w:tc>
          <w:tcPr>
            <w:tcW w:w="720" w:type="dxa"/>
            <w:vAlign w:val="bottom"/>
          </w:tcPr>
          <w:p>
            <w:pPr>
              <w:jc w:val="right"/>
              <w:spacing w:after="0"/>
              <w:rPr>
                <w:sz w:val="20"/>
                <w:szCs w:val="20"/>
                <w:color w:val="auto"/>
              </w:rPr>
            </w:pPr>
            <w:r>
              <w:rPr>
                <w:rFonts w:ascii="Arial" w:cs="Arial" w:eastAsia="Arial" w:hAnsi="Arial"/>
                <w:sz w:val="18"/>
                <w:szCs w:val="18"/>
                <w:color w:val="auto"/>
              </w:rPr>
              <w:t>42.4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DBDBDB"/>
          </w:tcPr>
          <w:p>
            <w:pPr>
              <w:spacing w:after="0"/>
              <w:rPr>
                <w:sz w:val="22"/>
                <w:szCs w:val="2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11.4</w:t>
            </w: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DBDBDB"/>
          </w:tcPr>
          <w:p>
            <w:pPr>
              <w:spacing w:after="0"/>
              <w:rPr>
                <w:sz w:val="23"/>
                <w:szCs w:val="2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depletion (includes impairments)</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19.0</w:t>
            </w: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DBDBDB"/>
          </w:tcPr>
          <w:p>
            <w:pPr>
              <w:spacing w:after="0"/>
              <w:rPr>
                <w:sz w:val="23"/>
                <w:szCs w:val="2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color w:val="auto"/>
              </w:rPr>
              <w:t>Exploration expenses, including dry holes</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DBDBDB"/>
          </w:tcPr>
          <w:p>
            <w:pPr>
              <w:spacing w:after="0"/>
              <w:rPr>
                <w:sz w:val="23"/>
                <w:szCs w:val="2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3"/>
        </w:trPr>
        <w:tc>
          <w:tcPr>
            <w:tcW w:w="5020" w:type="dxa"/>
            <w:vAlign w:val="bottom"/>
          </w:tcPr>
          <w:p>
            <w:pPr>
              <w:ind w:left="20"/>
              <w:spacing w:after="0"/>
              <w:rPr>
                <w:sz w:val="20"/>
                <w:szCs w:val="20"/>
                <w:color w:val="auto"/>
              </w:rPr>
            </w:pPr>
            <w:r>
              <w:rPr>
                <w:rFonts w:ascii="Arial" w:cs="Arial" w:eastAsia="Arial" w:hAnsi="Arial"/>
                <w:sz w:val="18"/>
                <w:szCs w:val="18"/>
                <w:color w:val="auto"/>
              </w:rPr>
              <w:t>Non-service pension and postretirement benefit expense</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bottom w:val="single" w:sz="8" w:color="DBDBDB"/>
            </w:tcBorders>
            <w:shd w:val="clear" w:color="auto" w:fill="DBDBDB"/>
          </w:tcPr>
          <w:p>
            <w:pPr>
              <w:spacing w:after="0"/>
              <w:rPr>
                <w:sz w:val="24"/>
                <w:szCs w:val="24"/>
                <w:color w:val="auto"/>
              </w:rPr>
            </w:pP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5020" w:type="dxa"/>
            <w:vAlign w:val="bottom"/>
            <w:tcBorders>
              <w:top w:val="single" w:sz="8" w:color="0C479D"/>
            </w:tcBorders>
          </w:tcPr>
          <w:p>
            <w:pPr>
              <w:ind w:left="20"/>
              <w:spacing w:after="0"/>
              <w:rPr>
                <w:sz w:val="20"/>
                <w:szCs w:val="20"/>
                <w:color w:val="auto"/>
              </w:rPr>
            </w:pPr>
            <w:r>
              <w:rPr>
                <w:rFonts w:ascii="Arial" w:cs="Arial" w:eastAsia="Arial" w:hAnsi="Arial"/>
                <w:sz w:val="18"/>
                <w:szCs w:val="18"/>
                <w:b w:val="1"/>
                <w:bCs w:val="1"/>
                <w:color w:val="auto"/>
              </w:rPr>
              <w:t>Subtotal</w:t>
            </w:r>
          </w:p>
        </w:tc>
        <w:tc>
          <w:tcPr>
            <w:tcW w:w="1260" w:type="dxa"/>
            <w:vAlign w:val="bottom"/>
            <w:tcBorders>
              <w:top w:val="single" w:sz="8" w:color="0C479D"/>
            </w:tcBorders>
          </w:tcPr>
          <w:p>
            <w:pPr>
              <w:jc w:val="right"/>
              <w:ind w:right="270"/>
              <w:spacing w:after="0"/>
              <w:rPr>
                <w:sz w:val="20"/>
                <w:szCs w:val="20"/>
                <w:color w:val="auto"/>
              </w:rPr>
            </w:pPr>
            <w:r>
              <w:rPr>
                <w:rFonts w:ascii="Arial" w:cs="Arial" w:eastAsia="Arial" w:hAnsi="Arial"/>
                <w:sz w:val="18"/>
                <w:szCs w:val="18"/>
                <w:b w:val="1"/>
                <w:bCs w:val="1"/>
                <w:color w:val="auto"/>
              </w:rPr>
              <w:t>69.7</w:t>
            </w:r>
          </w:p>
        </w:tc>
        <w:tc>
          <w:tcPr>
            <w:tcW w:w="720" w:type="dxa"/>
            <w:vAlign w:val="bottom"/>
            <w:tcBorders>
              <w:top w:val="single" w:sz="8" w:color="0C479D"/>
            </w:tcBorders>
          </w:tcPr>
          <w:p>
            <w:pPr>
              <w:jc w:val="right"/>
              <w:spacing w:after="0"/>
              <w:rPr>
                <w:sz w:val="20"/>
                <w:szCs w:val="20"/>
                <w:color w:val="auto"/>
              </w:rPr>
            </w:pPr>
            <w:r>
              <w:rPr>
                <w:rFonts w:ascii="Arial" w:cs="Arial" w:eastAsia="Arial" w:hAnsi="Arial"/>
                <w:sz w:val="18"/>
                <w:szCs w:val="18"/>
                <w:b w:val="1"/>
                <w:bCs w:val="1"/>
                <w:color w:val="auto"/>
              </w:rPr>
              <w:t>81.0</w:t>
            </w:r>
          </w:p>
        </w:tc>
        <w:tc>
          <w:tcPr>
            <w:tcW w:w="1060" w:type="dxa"/>
            <w:vAlign w:val="bottom"/>
            <w:tcBorders>
              <w:top w:val="single" w:sz="8" w:color="0C479D"/>
            </w:tcBorders>
            <w:gridSpan w:val="2"/>
          </w:tcPr>
          <w:p>
            <w:pPr>
              <w:jc w:val="right"/>
              <w:spacing w:after="0"/>
              <w:rPr>
                <w:sz w:val="20"/>
                <w:szCs w:val="20"/>
                <w:color w:val="auto"/>
              </w:rPr>
            </w:pPr>
            <w:r>
              <w:rPr>
                <w:rFonts w:ascii="Arial" w:cs="Arial" w:eastAsia="Arial" w:hAnsi="Arial"/>
                <w:sz w:val="18"/>
                <w:szCs w:val="18"/>
                <w:b w:val="1"/>
                <w:bCs w:val="1"/>
                <w:color w:val="auto"/>
              </w:rPr>
              <w:t>18.5</w:t>
            </w:r>
          </w:p>
        </w:tc>
        <w:tc>
          <w:tcPr>
            <w:tcW w:w="460" w:type="dxa"/>
            <w:vAlign w:val="bottom"/>
            <w:tcBorders>
              <w:top w:val="single" w:sz="8" w:color="0C479D"/>
            </w:tcBorders>
            <w:shd w:val="clear" w:color="auto" w:fill="DBDBDB"/>
          </w:tcPr>
          <w:p>
            <w:pPr>
              <w:spacing w:after="0"/>
              <w:rPr>
                <w:sz w:val="21"/>
                <w:szCs w:val="21"/>
                <w:color w:val="auto"/>
              </w:rPr>
            </w:pPr>
          </w:p>
        </w:tc>
        <w:tc>
          <w:tcPr>
            <w:tcW w:w="500" w:type="dxa"/>
            <w:vAlign w:val="bottom"/>
            <w:tcBorders>
              <w:top w:val="single" w:sz="8" w:color="0C479D"/>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20.3</w:t>
            </w:r>
          </w:p>
        </w:tc>
        <w:tc>
          <w:tcPr>
            <w:tcW w:w="0" w:type="dxa"/>
            <w:vAlign w:val="bottom"/>
          </w:tcPr>
          <w:p>
            <w:pPr>
              <w:spacing w:after="0"/>
              <w:rPr>
                <w:sz w:val="1"/>
                <w:szCs w:val="1"/>
                <w:color w:val="auto"/>
              </w:rPr>
            </w:pPr>
          </w:p>
        </w:tc>
      </w:tr>
      <w:tr>
        <w:trPr>
          <w:trHeight w:val="272"/>
        </w:trPr>
        <w:tc>
          <w:tcPr>
            <w:tcW w:w="5020" w:type="dxa"/>
            <w:vAlign w:val="bottom"/>
          </w:tcPr>
          <w:p>
            <w:pPr>
              <w:ind w:left="20"/>
              <w:spacing w:after="0"/>
              <w:rPr>
                <w:sz w:val="20"/>
                <w:szCs w:val="20"/>
                <w:color w:val="auto"/>
              </w:rPr>
            </w:pPr>
            <w:r>
              <w:rPr>
                <w:rFonts w:ascii="Arial" w:cs="Arial" w:eastAsia="Arial" w:hAnsi="Arial"/>
                <w:sz w:val="18"/>
                <w:szCs w:val="18"/>
                <w:color w:val="auto"/>
              </w:rPr>
              <w:t>ExxonMobil’s share of equity company expenses (non-GAAP)</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9.1</w:t>
            </w: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60" w:type="dxa"/>
            <w:vAlign w:val="bottom"/>
            <w:tcBorders>
              <w:bottom w:val="single" w:sz="8" w:color="DBDBDB"/>
            </w:tcBorders>
            <w:shd w:val="clear" w:color="auto" w:fill="DBDBDB"/>
          </w:tcPr>
          <w:p>
            <w:pPr>
              <w:spacing w:after="0"/>
              <w:rPr>
                <w:sz w:val="23"/>
                <w:szCs w:val="23"/>
                <w:color w:val="auto"/>
              </w:rPr>
            </w:pP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9"/>
        </w:trPr>
        <w:tc>
          <w:tcPr>
            <w:tcW w:w="502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Adjusted Operating Costs (non-GAAP)</w:t>
            </w:r>
          </w:p>
        </w:tc>
        <w:tc>
          <w:tcPr>
            <w:tcW w:w="1260" w:type="dxa"/>
            <w:vAlign w:val="bottom"/>
            <w:tcBorders>
              <w:top w:val="single" w:sz="8" w:color="0C479D"/>
              <w:bottom w:val="single" w:sz="8" w:color="0C479D"/>
            </w:tcBorders>
          </w:tcPr>
          <w:p>
            <w:pPr>
              <w:jc w:val="right"/>
              <w:ind w:right="270"/>
              <w:spacing w:after="0"/>
              <w:rPr>
                <w:sz w:val="20"/>
                <w:szCs w:val="20"/>
                <w:color w:val="auto"/>
              </w:rPr>
            </w:pPr>
            <w:r>
              <w:rPr>
                <w:rFonts w:ascii="Arial" w:cs="Arial" w:eastAsia="Arial" w:hAnsi="Arial"/>
                <w:sz w:val="18"/>
                <w:szCs w:val="18"/>
                <w:b w:val="1"/>
                <w:bCs w:val="1"/>
                <w:color w:val="auto"/>
              </w:rPr>
              <w:t>78.8</w:t>
            </w:r>
          </w:p>
        </w:tc>
        <w:tc>
          <w:tcPr>
            <w:tcW w:w="72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91.6</w:t>
            </w:r>
          </w:p>
        </w:tc>
        <w:tc>
          <w:tcPr>
            <w:tcW w:w="1060" w:type="dxa"/>
            <w:vAlign w:val="bottom"/>
            <w:tcBorders>
              <w:top w:val="single" w:sz="8" w:color="0C479D"/>
              <w:bottom w:val="single" w:sz="8" w:color="0C479D"/>
            </w:tcBorders>
            <w:gridSpan w:val="2"/>
          </w:tcPr>
          <w:p>
            <w:pPr>
              <w:jc w:val="right"/>
              <w:spacing w:after="0"/>
              <w:rPr>
                <w:sz w:val="20"/>
                <w:szCs w:val="20"/>
                <w:color w:val="auto"/>
              </w:rPr>
            </w:pPr>
            <w:r>
              <w:rPr>
                <w:rFonts w:ascii="Arial" w:cs="Arial" w:eastAsia="Arial" w:hAnsi="Arial"/>
                <w:sz w:val="18"/>
                <w:szCs w:val="18"/>
                <w:b w:val="1"/>
                <w:bCs w:val="1"/>
                <w:color w:val="auto"/>
              </w:rPr>
              <w:t>21.1</w:t>
            </w:r>
          </w:p>
        </w:tc>
        <w:tc>
          <w:tcPr>
            <w:tcW w:w="460" w:type="dxa"/>
            <w:vAlign w:val="bottom"/>
            <w:tcBorders>
              <w:top w:val="single" w:sz="8" w:color="0C479D"/>
              <w:bottom w:val="single" w:sz="8" w:color="0C479D"/>
            </w:tcBorders>
            <w:shd w:val="clear" w:color="auto" w:fill="DBDBDB"/>
          </w:tcPr>
          <w:p>
            <w:pPr>
              <w:spacing w:after="0"/>
              <w:rPr>
                <w:sz w:val="21"/>
                <w:szCs w:val="21"/>
                <w:color w:val="auto"/>
              </w:rPr>
            </w:pPr>
          </w:p>
        </w:tc>
        <w:tc>
          <w:tcPr>
            <w:tcW w:w="500" w:type="dxa"/>
            <w:vAlign w:val="bottom"/>
            <w:tcBorders>
              <w:top w:val="single" w:sz="8" w:color="0C479D"/>
              <w:bottom w:val="single" w:sz="8" w:color="0C479D"/>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515"/>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Total Adjusted Operating Costs (non-GAAP)</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78.8</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91.6</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w:t>
            </w:r>
          </w:p>
        </w:tc>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-490220</wp:posOffset>
            </wp:positionV>
            <wp:extent cx="5734685" cy="129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34685" cy="129413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p>
      <w:pPr>
        <w:spacing w:after="0" w:line="31" w:lineRule="exact"/>
        <w:rPr>
          <w:sz w:val="20"/>
          <w:szCs w:val="20"/>
          <w:color w:val="auto"/>
        </w:rPr>
      </w:pPr>
    </w:p>
    <w:p>
      <w:pPr>
        <w:ind w:left="560" w:right="340"/>
        <w:spacing w:after="0" w:line="305" w:lineRule="auto"/>
        <w:rPr>
          <w:sz w:val="20"/>
          <w:szCs w:val="20"/>
          <w:color w:val="auto"/>
        </w:rPr>
      </w:pPr>
      <w:r>
        <w:rPr>
          <w:rFonts w:ascii="Arial" w:cs="Arial" w:eastAsia="Arial" w:hAnsi="Arial"/>
          <w:sz w:val="18"/>
          <w:szCs w:val="18"/>
          <w:color w:val="auto"/>
        </w:rPr>
        <w:t>Depreciation and depletion (includes impairments) Non-service pension and postretirement benefit expense</w:t>
      </w:r>
    </w:p>
    <w:p>
      <w:pPr>
        <w:ind w:left="560" w:right="260"/>
        <w:spacing w:after="0"/>
        <w:rPr>
          <w:sz w:val="20"/>
          <w:szCs w:val="20"/>
          <w:color w:val="auto"/>
        </w:rPr>
      </w:pPr>
      <w:r>
        <w:rPr>
          <w:rFonts w:ascii="Arial" w:cs="Arial" w:eastAsia="Arial" w:hAnsi="Arial"/>
          <w:sz w:val="18"/>
          <w:szCs w:val="18"/>
          <w:color w:val="auto"/>
        </w:rPr>
        <w:t>Other adjustments (includes equity company depreciation and depletion)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960" w:val="left"/>
          <w:tab w:leader="none" w:pos="2120" w:val="left"/>
          <w:tab w:leader="none" w:pos="308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8"/>
          <w:szCs w:val="18"/>
          <w:color w:val="auto"/>
        </w:rPr>
        <w:t>26.0</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6.8</w:t>
      </w:r>
    </w:p>
    <w:p>
      <w:pPr>
        <w:spacing w:after="0" w:line="63" w:lineRule="exact"/>
        <w:rPr>
          <w:sz w:val="20"/>
          <w:szCs w:val="20"/>
          <w:color w:val="auto"/>
        </w:rPr>
      </w:pPr>
    </w:p>
    <w:p>
      <w:pPr>
        <w:ind w:left="100"/>
        <w:spacing w:after="0"/>
        <w:tabs>
          <w:tab w:leader="none" w:pos="1060" w:val="left"/>
          <w:tab w:leader="none" w:pos="2120" w:val="left"/>
          <w:tab w:leader="none" w:pos="3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0.4</w:t>
      </w:r>
      <w:r>
        <w:rPr>
          <w:sz w:val="20"/>
          <w:szCs w:val="20"/>
          <w:color w:val="auto"/>
        </w:rPr>
        <w:tab/>
      </w:r>
      <w:r>
        <w:rPr>
          <w:rFonts w:ascii="Arial" w:cs="Arial" w:eastAsia="Arial" w:hAnsi="Arial"/>
          <w:sz w:val="18"/>
          <w:szCs w:val="18"/>
          <w:color w:val="auto"/>
        </w:rPr>
        <w:t>0.1</w:t>
      </w:r>
      <w:r>
        <w:rPr>
          <w:sz w:val="20"/>
          <w:szCs w:val="20"/>
          <w:color w:val="auto"/>
        </w:rPr>
        <w:tab/>
      </w:r>
      <w:r>
        <w:rPr>
          <w:rFonts w:ascii="Arial" w:cs="Arial" w:eastAsia="Arial" w:hAnsi="Arial"/>
          <w:sz w:val="18"/>
          <w:szCs w:val="18"/>
          <w:color w:val="auto"/>
        </w:rPr>
        <w:t>0.1</w:t>
      </w:r>
    </w:p>
    <w:p>
      <w:pPr>
        <w:spacing w:after="0" w:line="144" w:lineRule="exact"/>
        <w:rPr>
          <w:sz w:val="20"/>
          <w:szCs w:val="20"/>
          <w:color w:val="auto"/>
        </w:rPr>
      </w:pPr>
    </w:p>
    <w:p>
      <w:pPr>
        <w:ind w:left="100"/>
        <w:spacing w:after="0"/>
        <w:tabs>
          <w:tab w:leader="none" w:pos="1060" w:val="left"/>
          <w:tab w:leader="none" w:pos="2120" w:val="left"/>
          <w:tab w:leader="none" w:pos="30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1.3</w:t>
      </w:r>
    </w:p>
    <w:p>
      <w:pPr>
        <w:spacing w:after="0" w:line="157" w:lineRule="exact"/>
        <w:rPr>
          <w:sz w:val="20"/>
          <w:szCs w:val="20"/>
          <w:color w:val="auto"/>
        </w:rPr>
      </w:pPr>
    </w:p>
    <w:p>
      <w:pPr>
        <w:sectPr>
          <w:pgSz w:w="11900" w:h="16838" w:orient="portrait"/>
          <w:cols w:equalWidth="0" w:num="2">
            <w:col w:w="5400" w:space="720"/>
            <w:col w:w="5120"/>
          </w:cols>
          <w:pgMar w:left="320" w:top="1195" w:right="339" w:bottom="1440" w:gutter="0" w:footer="0" w:header="0"/>
          <w:type w:val="continuous"/>
        </w:sectPr>
      </w:pPr>
    </w:p>
    <w:tbl>
      <w:tblPr>
        <w:tblLayout w:type="fixed"/>
        <w:tblInd w:w="540" w:type="dxa"/>
        <w:tblCellMar>
          <w:top w:w="0" w:type="dxa"/>
          <w:left w:w="0" w:type="dxa"/>
          <w:bottom w:w="0" w:type="dxa"/>
          <w:right w:w="0" w:type="dxa"/>
        </w:tblCellMar>
      </w:tblPr>
      <w:tr>
        <w:trPr>
          <w:trHeight w:val="248"/>
        </w:trPr>
        <w:tc>
          <w:tcPr>
            <w:tcW w:w="524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Cash Operating Expenses (Cash Opex) (non-GAAP)</w:t>
            </w:r>
          </w:p>
        </w:tc>
        <w:tc>
          <w:tcPr>
            <w:tcW w:w="1000" w:type="dxa"/>
            <w:vAlign w:val="bottom"/>
            <w:tcBorders>
              <w:bottom w:val="single" w:sz="8" w:color="0C479D"/>
            </w:tcBorders>
          </w:tcPr>
          <w:p>
            <w:pPr>
              <w:jc w:val="right"/>
              <w:ind w:right="230"/>
              <w:spacing w:after="0"/>
              <w:rPr>
                <w:sz w:val="20"/>
                <w:szCs w:val="20"/>
                <w:color w:val="auto"/>
              </w:rPr>
            </w:pPr>
            <w:r>
              <w:rPr>
                <w:rFonts w:ascii="Arial" w:cs="Arial" w:eastAsia="Arial" w:hAnsi="Arial"/>
                <w:sz w:val="18"/>
                <w:szCs w:val="18"/>
                <w:b w:val="1"/>
                <w:bCs w:val="1"/>
                <w:color w:val="auto"/>
              </w:rPr>
              <w:t>55.0</w:t>
            </w:r>
          </w:p>
        </w:tc>
        <w:tc>
          <w:tcPr>
            <w:tcW w:w="1020" w:type="dxa"/>
            <w:vAlign w:val="bottom"/>
            <w:tcBorders>
              <w:bottom w:val="single" w:sz="8" w:color="0C479D"/>
            </w:tcBorders>
          </w:tcPr>
          <w:p>
            <w:pPr>
              <w:jc w:val="right"/>
              <w:ind w:right="250"/>
              <w:spacing w:after="0"/>
              <w:rPr>
                <w:sz w:val="20"/>
                <w:szCs w:val="20"/>
                <w:color w:val="auto"/>
              </w:rPr>
            </w:pPr>
            <w:r>
              <w:rPr>
                <w:rFonts w:ascii="Arial" w:cs="Arial" w:eastAsia="Arial" w:hAnsi="Arial"/>
                <w:sz w:val="18"/>
                <w:szCs w:val="18"/>
                <w:b w:val="1"/>
                <w:bCs w:val="1"/>
                <w:color w:val="auto"/>
              </w:rPr>
              <w:t>59.0</w:t>
            </w:r>
          </w:p>
        </w:tc>
        <w:tc>
          <w:tcPr>
            <w:tcW w:w="80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14.1</w:t>
            </w:r>
          </w:p>
        </w:tc>
        <w:tc>
          <w:tcPr>
            <w:tcW w:w="92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14.5</w:t>
            </w:r>
          </w:p>
        </w:tc>
        <w:tc>
          <w:tcPr>
            <w:tcW w:w="40" w:type="dxa"/>
            <w:vAlign w:val="bottom"/>
            <w:tcBorders>
              <w:bottom w:val="single" w:sz="8" w:color="0C479D"/>
            </w:tcBorders>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5240" w:type="dxa"/>
            <w:vAlign w:val="bottom"/>
          </w:tcPr>
          <w:p>
            <w:pPr>
              <w:ind w:left="20"/>
              <w:spacing w:after="0"/>
              <w:rPr>
                <w:sz w:val="20"/>
                <w:szCs w:val="20"/>
                <w:color w:val="auto"/>
              </w:rPr>
            </w:pPr>
            <w:r>
              <w:rPr>
                <w:rFonts w:ascii="Arial" w:cs="Arial" w:eastAsia="Arial" w:hAnsi="Arial"/>
                <w:sz w:val="18"/>
                <w:szCs w:val="18"/>
                <w:color w:val="auto"/>
              </w:rPr>
              <w:t>Energy and production taxes (non-GAAP)</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11.0</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14.9</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DBDBDB"/>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40" w:type="dxa"/>
            <w:vAlign w:val="bottom"/>
            <w:tcBorders>
              <w:top w:val="single" w:sz="8" w:color="0C479D"/>
            </w:tcBorders>
          </w:tcPr>
          <w:p>
            <w:pPr>
              <w:ind w:left="20"/>
              <w:spacing w:after="0" w:line="169" w:lineRule="exact"/>
              <w:rPr>
                <w:sz w:val="20"/>
                <w:szCs w:val="20"/>
                <w:color w:val="auto"/>
              </w:rPr>
            </w:pPr>
            <w:r>
              <w:rPr>
                <w:rFonts w:ascii="Arial" w:cs="Arial" w:eastAsia="Arial" w:hAnsi="Arial"/>
                <w:sz w:val="18"/>
                <w:szCs w:val="18"/>
                <w:b w:val="1"/>
                <w:bCs w:val="1"/>
                <w:color w:val="auto"/>
              </w:rPr>
              <w:t>Total Cash Operating Expenses (Cash Opex) excluding</w:t>
            </w:r>
          </w:p>
        </w:tc>
        <w:tc>
          <w:tcPr>
            <w:tcW w:w="1000" w:type="dxa"/>
            <w:vAlign w:val="bottom"/>
            <w:tcBorders>
              <w:top w:val="single" w:sz="8" w:color="0C479D"/>
            </w:tcBorders>
            <w:vMerge w:val="restart"/>
          </w:tcPr>
          <w:p>
            <w:pPr>
              <w:jc w:val="right"/>
              <w:ind w:right="230"/>
              <w:spacing w:after="0"/>
              <w:rPr>
                <w:sz w:val="20"/>
                <w:szCs w:val="20"/>
                <w:color w:val="auto"/>
              </w:rPr>
            </w:pPr>
            <w:r>
              <w:rPr>
                <w:rFonts w:ascii="Arial" w:cs="Arial" w:eastAsia="Arial" w:hAnsi="Arial"/>
                <w:sz w:val="18"/>
                <w:szCs w:val="18"/>
                <w:b w:val="1"/>
                <w:bCs w:val="1"/>
                <w:color w:val="auto"/>
              </w:rPr>
              <w:t>44.0</w:t>
            </w:r>
          </w:p>
        </w:tc>
        <w:tc>
          <w:tcPr>
            <w:tcW w:w="1020" w:type="dxa"/>
            <w:vAlign w:val="bottom"/>
            <w:tcBorders>
              <w:top w:val="single" w:sz="8" w:color="0C479D"/>
            </w:tcBorders>
            <w:vMerge w:val="restart"/>
          </w:tcPr>
          <w:p>
            <w:pPr>
              <w:jc w:val="right"/>
              <w:ind w:right="250"/>
              <w:spacing w:after="0"/>
              <w:rPr>
                <w:sz w:val="20"/>
                <w:szCs w:val="20"/>
                <w:color w:val="auto"/>
              </w:rPr>
            </w:pPr>
            <w:r>
              <w:rPr>
                <w:rFonts w:ascii="Arial" w:cs="Arial" w:eastAsia="Arial" w:hAnsi="Arial"/>
                <w:sz w:val="18"/>
                <w:szCs w:val="18"/>
                <w:b w:val="1"/>
                <w:bCs w:val="1"/>
                <w:color w:val="auto"/>
              </w:rPr>
              <w:t>44.1</w:t>
            </w:r>
          </w:p>
        </w:tc>
        <w:tc>
          <w:tcPr>
            <w:tcW w:w="800" w:type="dxa"/>
            <w:vAlign w:val="bottom"/>
            <w:tcBorders>
              <w:top w:val="single" w:sz="8" w:color="0C479D"/>
            </w:tcBorders>
            <w:vMerge w:val="restart"/>
          </w:tcPr>
          <w:p>
            <w:pPr>
              <w:jc w:val="right"/>
              <w:spacing w:after="0"/>
              <w:rPr>
                <w:sz w:val="20"/>
                <w:szCs w:val="20"/>
                <w:color w:val="auto"/>
              </w:rPr>
            </w:pPr>
            <w:r>
              <w:rPr>
                <w:rFonts w:ascii="Arial" w:cs="Arial" w:eastAsia="Arial" w:hAnsi="Arial"/>
                <w:sz w:val="18"/>
                <w:szCs w:val="18"/>
                <w:b w:val="1"/>
                <w:bCs w:val="1"/>
                <w:color w:val="auto"/>
              </w:rPr>
              <w:t>10.2</w:t>
            </w:r>
          </w:p>
        </w:tc>
        <w:tc>
          <w:tcPr>
            <w:tcW w:w="920" w:type="dxa"/>
            <w:vAlign w:val="bottom"/>
            <w:tcBorders>
              <w:top w:val="single" w:sz="8" w:color="0C479D"/>
            </w:tcBorders>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10.8</w:t>
            </w:r>
          </w:p>
        </w:tc>
        <w:tc>
          <w:tcPr>
            <w:tcW w:w="40" w:type="dxa"/>
            <w:vAlign w:val="bottom"/>
            <w:tcBorders>
              <w:top w:val="single" w:sz="8" w:color="0C479D"/>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Energy and Production Taxes (non-GAAP)</w:t>
            </w:r>
          </w:p>
        </w:tc>
        <w:tc>
          <w:tcPr>
            <w:tcW w:w="10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920" w:type="dxa"/>
            <w:vAlign w:val="bottom"/>
            <w:vMerge w:val="continue"/>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5240" w:type="dxa"/>
            <w:vAlign w:val="bottom"/>
            <w:tcBorders>
              <w:bottom w:val="single" w:sz="8" w:color="0C479D"/>
            </w:tcBorders>
            <w:vMerge w:val="continue"/>
          </w:tcPr>
          <w:p>
            <w:pPr>
              <w:spacing w:after="0"/>
              <w:rPr>
                <w:sz w:val="7"/>
                <w:szCs w:val="7"/>
                <w:color w:val="auto"/>
              </w:rPr>
            </w:pPr>
          </w:p>
        </w:tc>
        <w:tc>
          <w:tcPr>
            <w:tcW w:w="1000" w:type="dxa"/>
            <w:vAlign w:val="bottom"/>
            <w:tcBorders>
              <w:bottom w:val="single" w:sz="8" w:color="0C479D"/>
            </w:tcBorders>
          </w:tcPr>
          <w:p>
            <w:pPr>
              <w:spacing w:after="0"/>
              <w:rPr>
                <w:sz w:val="7"/>
                <w:szCs w:val="7"/>
                <w:color w:val="auto"/>
              </w:rPr>
            </w:pPr>
          </w:p>
        </w:tc>
        <w:tc>
          <w:tcPr>
            <w:tcW w:w="1020" w:type="dxa"/>
            <w:vAlign w:val="bottom"/>
            <w:tcBorders>
              <w:bottom w:val="single" w:sz="8" w:color="0C479D"/>
            </w:tcBorders>
          </w:tcPr>
          <w:p>
            <w:pPr>
              <w:spacing w:after="0"/>
              <w:rPr>
                <w:sz w:val="7"/>
                <w:szCs w:val="7"/>
                <w:color w:val="auto"/>
              </w:rPr>
            </w:pPr>
          </w:p>
        </w:tc>
        <w:tc>
          <w:tcPr>
            <w:tcW w:w="800" w:type="dxa"/>
            <w:vAlign w:val="bottom"/>
            <w:tcBorders>
              <w:bottom w:val="single" w:sz="8" w:color="0C479D"/>
            </w:tcBorders>
          </w:tcPr>
          <w:p>
            <w:pPr>
              <w:spacing w:after="0"/>
              <w:rPr>
                <w:sz w:val="7"/>
                <w:szCs w:val="7"/>
                <w:color w:val="auto"/>
              </w:rPr>
            </w:pPr>
          </w:p>
        </w:tc>
        <w:tc>
          <w:tcPr>
            <w:tcW w:w="920" w:type="dxa"/>
            <w:vAlign w:val="bottom"/>
            <w:tcBorders>
              <w:bottom w:val="single" w:sz="8" w:color="0C479D"/>
            </w:tcBorders>
            <w:shd w:val="clear" w:color="auto" w:fill="DBDBDB"/>
          </w:tcPr>
          <w:p>
            <w:pPr>
              <w:spacing w:after="0"/>
              <w:rPr>
                <w:sz w:val="7"/>
                <w:szCs w:val="7"/>
                <w:color w:val="auto"/>
              </w:rPr>
            </w:pPr>
          </w:p>
        </w:tc>
        <w:tc>
          <w:tcPr>
            <w:tcW w:w="40" w:type="dxa"/>
            <w:vAlign w:val="bottom"/>
            <w:tcBorders>
              <w:bottom w:val="single" w:sz="8" w:color="0C479D"/>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60" w:right="600"/>
        <w:spacing w:after="0" w:line="249" w:lineRule="auto"/>
        <w:rPr>
          <w:sz w:val="20"/>
          <w:szCs w:val="20"/>
          <w:color w:val="auto"/>
        </w:rPr>
      </w:pPr>
      <w:r>
        <w:rPr>
          <w:rFonts w:ascii="Arial" w:cs="Arial" w:eastAsia="Arial" w:hAnsi="Arial"/>
          <w:sz w:val="18"/>
          <w:szCs w:val="18"/>
          <w:b w:val="1"/>
          <w:bCs w:val="1"/>
          <w:color w:val="auto"/>
        </w:rPr>
        <w:t>Total Cash Operating Expenses (Cash Opex) excluding Energy and Production Taxes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5080</wp:posOffset>
            </wp:positionV>
            <wp:extent cx="3197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Market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Activity/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34925</wp:posOffset>
            </wp:positionV>
            <wp:extent cx="646366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4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Structural Cost Savings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80" w:type="dxa"/>
            <w:vAlign w:val="bottom"/>
            <w:vMerge w:val="restart"/>
            <w:shd w:val="clear" w:color="auto" w:fill="0C479D"/>
          </w:tcPr>
          <w:p>
            <w:pPr>
              <w:jc w:val="center"/>
              <w:spacing w:after="0"/>
              <w:rPr>
                <w:sz w:val="20"/>
                <w:szCs w:val="20"/>
                <w:color w:val="auto"/>
              </w:rPr>
            </w:pPr>
            <w:r>
              <w:rPr>
                <w:rFonts w:ascii="Arial" w:cs="Arial" w:eastAsia="Arial" w:hAnsi="Arial"/>
                <w:sz w:val="18"/>
                <w:szCs w:val="18"/>
                <w:color w:val="FFFFFF"/>
                <w:w w:val="98"/>
              </w:rPr>
              <w:t>Change</w:t>
            </w:r>
          </w:p>
        </w:tc>
        <w:tc>
          <w:tcPr>
            <w:tcW w:w="1060" w:type="dxa"/>
            <w:vAlign w:val="bottom"/>
          </w:tcPr>
          <w:p>
            <w:pPr>
              <w:spacing w:after="0"/>
              <w:rPr>
                <w:sz w:val="21"/>
                <w:szCs w:val="21"/>
                <w:color w:val="auto"/>
              </w:rPr>
            </w:pPr>
          </w:p>
        </w:tc>
        <w:tc>
          <w:tcPr>
            <w:tcW w:w="960" w:type="dxa"/>
            <w:vAlign w:val="bottom"/>
            <w:vMerge w:val="restart"/>
            <w:shd w:val="clear" w:color="auto" w:fill="000000"/>
          </w:tcPr>
          <w:p>
            <w:pPr>
              <w:jc w:val="center"/>
              <w:spacing w:after="0"/>
              <w:rPr>
                <w:sz w:val="20"/>
                <w:szCs w:val="20"/>
                <w:color w:val="auto"/>
              </w:rPr>
            </w:pPr>
            <w:r>
              <w:rPr>
                <w:rFonts w:ascii="Arial" w:cs="Arial" w:eastAsia="Arial" w:hAnsi="Arial"/>
                <w:sz w:val="18"/>
                <w:szCs w:val="18"/>
                <w:color w:val="FFFFFF"/>
                <w:w w:val="98"/>
              </w:rPr>
              <w:t>Change</w:t>
            </w:r>
          </w:p>
        </w:tc>
        <w:tc>
          <w:tcPr>
            <w:tcW w:w="1160" w:type="dxa"/>
            <w:vAlign w:val="bottom"/>
            <w:shd w:val="clear" w:color="auto" w:fill="000000"/>
          </w:tcPr>
          <w:p>
            <w:pPr>
              <w:jc w:val="center"/>
              <w:spacing w:after="0"/>
              <w:rPr>
                <w:sz w:val="20"/>
                <w:szCs w:val="20"/>
                <w:color w:val="auto"/>
              </w:rPr>
            </w:pPr>
            <w:r>
              <w:rPr>
                <w:rFonts w:ascii="Arial" w:cs="Arial" w:eastAsia="Arial" w:hAnsi="Arial"/>
                <w:sz w:val="18"/>
                <w:szCs w:val="18"/>
                <w:color w:val="FFFFFF"/>
                <w:w w:val="99"/>
              </w:rPr>
              <w:t>Estimated</w:t>
            </w:r>
          </w:p>
        </w:tc>
        <w:tc>
          <w:tcPr>
            <w:tcW w:w="0" w:type="dxa"/>
            <w:vAlign w:val="bottom"/>
          </w:tcPr>
          <w:p>
            <w:pPr>
              <w:spacing w:after="0"/>
              <w:rPr>
                <w:sz w:val="1"/>
                <w:szCs w:val="1"/>
                <w:color w:val="auto"/>
              </w:rPr>
            </w:pPr>
          </w:p>
        </w:tc>
      </w:tr>
      <w:tr>
        <w:trPr>
          <w:trHeight w:val="81"/>
        </w:trPr>
        <w:tc>
          <w:tcPr>
            <w:tcW w:w="980" w:type="dxa"/>
            <w:vAlign w:val="bottom"/>
            <w:vMerge w:val="continue"/>
            <w:shd w:val="clear" w:color="auto" w:fill="0C479D"/>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vMerge w:val="continue"/>
            <w:shd w:val="clear" w:color="auto" w:fill="000000"/>
          </w:tcPr>
          <w:p>
            <w:pPr>
              <w:spacing w:after="0"/>
              <w:rPr>
                <w:sz w:val="7"/>
                <w:szCs w:val="7"/>
                <w:color w:val="auto"/>
              </w:rPr>
            </w:pPr>
          </w:p>
        </w:tc>
        <w:tc>
          <w:tcPr>
            <w:tcW w:w="1160" w:type="dxa"/>
            <w:vAlign w:val="bottom"/>
            <w:vMerge w:val="restart"/>
            <w:shd w:val="clear" w:color="auto" w:fill="000000"/>
          </w:tcPr>
          <w:p>
            <w:pPr>
              <w:jc w:val="center"/>
              <w:spacing w:after="0" w:line="183" w:lineRule="exact"/>
              <w:rPr>
                <w:sz w:val="20"/>
                <w:szCs w:val="20"/>
                <w:color w:val="auto"/>
              </w:rPr>
            </w:pPr>
            <w:r>
              <w:rPr>
                <w:rFonts w:ascii="Arial" w:cs="Arial" w:eastAsia="Arial" w:hAnsi="Arial"/>
                <w:sz w:val="18"/>
                <w:szCs w:val="18"/>
                <w:color w:val="FFFFFF"/>
                <w:w w:val="99"/>
              </w:rPr>
              <w:t>Cumulative</w:t>
            </w:r>
          </w:p>
        </w:tc>
        <w:tc>
          <w:tcPr>
            <w:tcW w:w="0" w:type="dxa"/>
            <w:vAlign w:val="bottom"/>
          </w:tcPr>
          <w:p>
            <w:pPr>
              <w:spacing w:after="0"/>
              <w:rPr>
                <w:sz w:val="1"/>
                <w:szCs w:val="1"/>
                <w:color w:val="auto"/>
              </w:rPr>
            </w:pPr>
          </w:p>
        </w:tc>
      </w:tr>
      <w:tr>
        <w:trPr>
          <w:trHeight w:val="103"/>
        </w:trPr>
        <w:tc>
          <w:tcPr>
            <w:tcW w:w="980" w:type="dxa"/>
            <w:vAlign w:val="bottom"/>
            <w:vMerge w:val="restart"/>
            <w:shd w:val="clear" w:color="auto" w:fill="0C479D"/>
          </w:tcPr>
          <w:p>
            <w:pPr>
              <w:jc w:val="center"/>
              <w:spacing w:after="0" w:line="183" w:lineRule="exact"/>
              <w:rPr>
                <w:sz w:val="20"/>
                <w:szCs w:val="20"/>
                <w:color w:val="auto"/>
              </w:rPr>
            </w:pPr>
            <w:r>
              <w:rPr>
                <w:rFonts w:ascii="Arial" w:cs="Arial" w:eastAsia="Arial" w:hAnsi="Arial"/>
                <w:sz w:val="18"/>
                <w:szCs w:val="18"/>
                <w:color w:val="FFFFFF"/>
                <w:w w:val="99"/>
              </w:rPr>
              <w:t>vs</w:t>
            </w:r>
          </w:p>
        </w:tc>
        <w:tc>
          <w:tcPr>
            <w:tcW w:w="1060" w:type="dxa"/>
            <w:vAlign w:val="bottom"/>
          </w:tcPr>
          <w:p>
            <w:pPr>
              <w:spacing w:after="0"/>
              <w:rPr>
                <w:sz w:val="8"/>
                <w:szCs w:val="8"/>
                <w:color w:val="auto"/>
              </w:rPr>
            </w:pPr>
          </w:p>
        </w:tc>
        <w:tc>
          <w:tcPr>
            <w:tcW w:w="960" w:type="dxa"/>
            <w:vAlign w:val="bottom"/>
            <w:vMerge w:val="restart"/>
            <w:shd w:val="clear" w:color="auto" w:fill="000000"/>
          </w:tcPr>
          <w:p>
            <w:pPr>
              <w:jc w:val="center"/>
              <w:spacing w:after="0" w:line="183" w:lineRule="exact"/>
              <w:rPr>
                <w:sz w:val="20"/>
                <w:szCs w:val="20"/>
                <w:color w:val="auto"/>
              </w:rPr>
            </w:pPr>
            <w:r>
              <w:rPr>
                <w:rFonts w:ascii="Arial" w:cs="Arial" w:eastAsia="Arial" w:hAnsi="Arial"/>
                <w:sz w:val="18"/>
                <w:szCs w:val="18"/>
                <w:color w:val="FFFFFF"/>
                <w:w w:val="99"/>
              </w:rPr>
              <w:t>vs</w:t>
            </w:r>
          </w:p>
        </w:tc>
        <w:tc>
          <w:tcPr>
            <w:tcW w:w="116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80" w:type="dxa"/>
            <w:vAlign w:val="bottom"/>
            <w:vMerge w:val="continue"/>
            <w:shd w:val="clear" w:color="auto" w:fill="0C479D"/>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vMerge w:val="continue"/>
            <w:shd w:val="clear" w:color="auto" w:fill="000000"/>
          </w:tcPr>
          <w:p>
            <w:pPr>
              <w:spacing w:after="0"/>
              <w:rPr>
                <w:sz w:val="7"/>
                <w:szCs w:val="7"/>
                <w:color w:val="auto"/>
              </w:rPr>
            </w:pPr>
          </w:p>
        </w:tc>
        <w:tc>
          <w:tcPr>
            <w:tcW w:w="1160" w:type="dxa"/>
            <w:vAlign w:val="bottom"/>
            <w:vMerge w:val="restart"/>
            <w:shd w:val="clear" w:color="auto" w:fill="000000"/>
          </w:tcPr>
          <w:p>
            <w:pPr>
              <w:jc w:val="center"/>
              <w:spacing w:after="0" w:line="181" w:lineRule="exact"/>
              <w:rPr>
                <w:sz w:val="20"/>
                <w:szCs w:val="20"/>
                <w:color w:val="auto"/>
              </w:rPr>
            </w:pPr>
            <w:r>
              <w:rPr>
                <w:rFonts w:ascii="Arial" w:cs="Arial" w:eastAsia="Arial" w:hAnsi="Arial"/>
                <w:sz w:val="18"/>
                <w:szCs w:val="18"/>
                <w:color w:val="FFFFFF"/>
                <w:w w:val="99"/>
              </w:rPr>
              <w:t>vs</w:t>
            </w:r>
          </w:p>
        </w:tc>
        <w:tc>
          <w:tcPr>
            <w:tcW w:w="0" w:type="dxa"/>
            <w:vAlign w:val="bottom"/>
          </w:tcPr>
          <w:p>
            <w:pPr>
              <w:spacing w:after="0"/>
              <w:rPr>
                <w:sz w:val="1"/>
                <w:szCs w:val="1"/>
                <w:color w:val="auto"/>
              </w:rPr>
            </w:pPr>
          </w:p>
        </w:tc>
      </w:tr>
      <w:tr>
        <w:trPr>
          <w:trHeight w:val="100"/>
        </w:trPr>
        <w:tc>
          <w:tcPr>
            <w:tcW w:w="980" w:type="dxa"/>
            <w:vAlign w:val="bottom"/>
            <w:vMerge w:val="restart"/>
            <w:shd w:val="clear" w:color="auto" w:fill="0C479D"/>
          </w:tcPr>
          <w:p>
            <w:pPr>
              <w:jc w:val="center"/>
              <w:spacing w:after="0"/>
              <w:rPr>
                <w:sz w:val="20"/>
                <w:szCs w:val="20"/>
                <w:color w:val="auto"/>
              </w:rPr>
            </w:pPr>
            <w:r>
              <w:rPr>
                <w:rFonts w:ascii="Arial" w:cs="Arial" w:eastAsia="Arial" w:hAnsi="Arial"/>
                <w:sz w:val="18"/>
                <w:szCs w:val="18"/>
                <w:color w:val="FFFFFF"/>
                <w:w w:val="99"/>
              </w:rPr>
              <w:t>2019</w:t>
            </w:r>
          </w:p>
        </w:tc>
        <w:tc>
          <w:tcPr>
            <w:tcW w:w="1060" w:type="dxa"/>
            <w:vAlign w:val="bottom"/>
          </w:tcPr>
          <w:p>
            <w:pPr>
              <w:spacing w:after="0"/>
              <w:rPr>
                <w:sz w:val="8"/>
                <w:szCs w:val="8"/>
                <w:color w:val="auto"/>
              </w:rPr>
            </w:pPr>
          </w:p>
        </w:tc>
        <w:tc>
          <w:tcPr>
            <w:tcW w:w="960" w:type="dxa"/>
            <w:vAlign w:val="bottom"/>
            <w:vMerge w:val="restart"/>
            <w:shd w:val="clear" w:color="auto" w:fill="000000"/>
          </w:tcPr>
          <w:p>
            <w:pPr>
              <w:jc w:val="center"/>
              <w:spacing w:after="0"/>
              <w:rPr>
                <w:sz w:val="20"/>
                <w:szCs w:val="20"/>
                <w:color w:val="auto"/>
              </w:rPr>
            </w:pPr>
            <w:r>
              <w:rPr>
                <w:rFonts w:ascii="Arial" w:cs="Arial" w:eastAsia="Arial" w:hAnsi="Arial"/>
                <w:sz w:val="18"/>
                <w:szCs w:val="18"/>
                <w:color w:val="FFFFFF"/>
                <w:w w:val="99"/>
              </w:rPr>
              <w:t>2025</w:t>
            </w:r>
          </w:p>
        </w:tc>
        <w:tc>
          <w:tcPr>
            <w:tcW w:w="116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980" w:type="dxa"/>
            <w:vAlign w:val="bottom"/>
            <w:vMerge w:val="continue"/>
            <w:shd w:val="clear" w:color="auto" w:fill="0C479D"/>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vMerge w:val="continue"/>
            <w:shd w:val="clear" w:color="auto" w:fill="000000"/>
          </w:tcPr>
          <w:p>
            <w:pPr>
              <w:spacing w:after="0"/>
              <w:rPr>
                <w:sz w:val="12"/>
                <w:szCs w:val="12"/>
                <w:color w:val="auto"/>
              </w:rPr>
            </w:pPr>
          </w:p>
        </w:tc>
        <w:tc>
          <w:tcPr>
            <w:tcW w:w="1160" w:type="dxa"/>
            <w:vAlign w:val="bottom"/>
            <w:vMerge w:val="restart"/>
            <w:shd w:val="clear" w:color="auto" w:fill="000000"/>
          </w:tcPr>
          <w:p>
            <w:pPr>
              <w:jc w:val="center"/>
              <w:spacing w:after="0"/>
              <w:rPr>
                <w:sz w:val="20"/>
                <w:szCs w:val="20"/>
                <w:color w:val="auto"/>
              </w:rPr>
            </w:pPr>
            <w:r>
              <w:rPr>
                <w:rFonts w:ascii="Arial" w:cs="Arial" w:eastAsia="Arial" w:hAnsi="Arial"/>
                <w:sz w:val="18"/>
                <w:szCs w:val="18"/>
                <w:color w:val="FFFFFF"/>
                <w:w w:val="99"/>
              </w:rPr>
              <w:t>2019</w:t>
            </w:r>
          </w:p>
        </w:tc>
        <w:tc>
          <w:tcPr>
            <w:tcW w:w="0" w:type="dxa"/>
            <w:vAlign w:val="bottom"/>
          </w:tcPr>
          <w:p>
            <w:pPr>
              <w:spacing w:after="0"/>
              <w:rPr>
                <w:sz w:val="1"/>
                <w:szCs w:val="1"/>
                <w:color w:val="auto"/>
              </w:rPr>
            </w:pPr>
          </w:p>
        </w:tc>
      </w:tr>
      <w:tr>
        <w:trPr>
          <w:trHeight w:val="138"/>
        </w:trPr>
        <w:tc>
          <w:tcPr>
            <w:tcW w:w="980" w:type="dxa"/>
            <w:vAlign w:val="bottom"/>
            <w:tcBorders>
              <w:bottom w:val="single" w:sz="8" w:color="0C479D"/>
            </w:tcBorders>
            <w:shd w:val="clear" w:color="auto" w:fill="0C479D"/>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Borders>
              <w:bottom w:val="single" w:sz="8" w:color="auto"/>
            </w:tcBorders>
            <w:shd w:val="clear" w:color="auto" w:fill="000000"/>
          </w:tcPr>
          <w:p>
            <w:pPr>
              <w:spacing w:after="0"/>
              <w:rPr>
                <w:sz w:val="12"/>
                <w:szCs w:val="12"/>
                <w:color w:val="auto"/>
              </w:rPr>
            </w:pPr>
          </w:p>
        </w:tc>
        <w:tc>
          <w:tcPr>
            <w:tcW w:w="1160" w:type="dxa"/>
            <w:vAlign w:val="bottom"/>
            <w:tcBorders>
              <w:bottom w:val="single" w:sz="8" w:color="auto"/>
            </w:tcBorders>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980" w:type="dxa"/>
            <w:vAlign w:val="bottom"/>
            <w:tcBorders>
              <w:bottom w:val="single" w:sz="8" w:color="0C479D"/>
            </w:tcBorders>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Borders>
              <w:bottom w:val="single" w:sz="8" w:color="0C479D"/>
            </w:tcBorders>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7"/>
        </w:trPr>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98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-15.1</w:t>
            </w:r>
          </w:p>
        </w:tc>
        <w:tc>
          <w:tcPr>
            <w:tcW w:w="1060" w:type="dxa"/>
            <w:vAlign w:val="bottom"/>
          </w:tcPr>
          <w:p>
            <w:pPr>
              <w:spacing w:after="0"/>
              <w:rPr>
                <w:sz w:val="24"/>
                <w:szCs w:val="24"/>
                <w:color w:val="auto"/>
              </w:rPr>
            </w:pPr>
          </w:p>
        </w:tc>
        <w:tc>
          <w:tcPr>
            <w:tcW w:w="9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-0.6</w:t>
            </w:r>
          </w:p>
        </w:tc>
        <w:tc>
          <w:tcPr>
            <w:tcW w:w="11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bl>
    <w:p>
      <w:pPr>
        <w:spacing w:after="0" w:line="186" w:lineRule="exact"/>
        <w:rPr>
          <w:sz w:val="20"/>
          <w:szCs w:val="20"/>
          <w:color w:val="auto"/>
        </w:rPr>
      </w:pPr>
    </w:p>
    <w:p>
      <w:pPr>
        <w:sectPr>
          <w:pgSz w:w="11900" w:h="16838" w:orient="portrait"/>
          <w:cols w:equalWidth="0" w:num="2">
            <w:col w:w="5840" w:space="720"/>
            <w:col w:w="4680"/>
          </w:cols>
          <w:pgMar w:left="320" w:top="1195" w:right="339" w:bottom="1440" w:gutter="0" w:footer="0" w:header="0"/>
          <w:type w:val="continuous"/>
        </w:sectPr>
      </w:pPr>
    </w:p>
    <w:p>
      <w:pPr>
        <w:jc w:val="both"/>
        <w:spacing w:after="0" w:line="242" w:lineRule="auto"/>
        <w:rPr>
          <w:sz w:val="20"/>
          <w:szCs w:val="20"/>
          <w:color w:val="auto"/>
        </w:rPr>
      </w:pPr>
      <w:r>
        <w:rPr>
          <w:rFonts w:ascii="Arial" w:cs="Arial" w:eastAsia="Arial" w:hAnsi="Arial"/>
          <w:sz w:val="18"/>
          <w:szCs w:val="18"/>
          <w:i w:val="1"/>
          <w:iCs w:val="1"/>
          <w:color w:val="auto"/>
        </w:rPr>
        <w:t>This press release references Structural Cost Savings, which describes decreases in cash opex excluding energy and production taxes as a result of operational efficiencies, workforce reductions, divestment-related reductions, and other cost-saving measures, that are expected to be sustainable compared to 2019 levels. Relative to 2019, estimated cumulative Structural Cost Savings totaled $15.6 billion, which included an additional $0.6 billion in the first three months of 2026. The total change between periods in expenses above will reflect both Structural Cost Savings and other changes in spend, including market drivers, such as inflation and foreign exchange impacts, as well as changes in activity levels and costs associated with new operations, mergers and acquisitions, new business venture development, and early-stage projects. Structural Cost Savings from new operations, mergers and acquisitions, and new business venture developments are included in the cumulative Structural Cost Savings. Estimates of cumulative annual Structural Cost Savings may be revised depending on whether cost reductions realized in prior periods are determined to be sustainable compared to 2019 levels. Structural Cost Savings are stewarded internally to support management's oversight of spending over time. This measure is useful for investors to understand the Corporation's efforts to optimize spending through disciplined expense management.</w:t>
      </w:r>
    </w:p>
    <w:p>
      <w:pPr>
        <w:sectPr>
          <w:pgSz w:w="11900" w:h="16838" w:orient="portrait"/>
          <w:cols w:equalWidth="0" w:num="1">
            <w:col w:w="11240"/>
          </w:cols>
          <w:pgMar w:left="320" w:top="1195" w:right="339"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95" w:right="339" w:bottom="1440" w:gutter="0" w:footer="0" w:header="0"/>
          <w:type w:val="continuous"/>
        </w:sectPr>
      </w:pPr>
    </w:p>
    <w:bookmarkStart w:id="12" w:name="page13"/>
    <w:bookmarkEnd w:id="12"/>
    <w:p>
      <w:pPr>
        <w:jc w:val="both"/>
        <w:ind w:right="20"/>
        <w:spacing w:after="0" w:line="273" w:lineRule="auto"/>
        <w:rPr>
          <w:sz w:val="20"/>
          <w:szCs w:val="20"/>
          <w:color w:val="auto"/>
        </w:rPr>
      </w:pPr>
      <w:r>
        <w:rPr>
          <w:rFonts w:ascii="Arial" w:cs="Arial" w:eastAsia="Arial" w:hAnsi="Arial"/>
          <w:sz w:val="18"/>
          <w:szCs w:val="18"/>
          <w:b w:val="1"/>
          <w:bCs w:val="1"/>
          <w:i w:val="1"/>
          <w:iCs w:val="1"/>
          <w:color w:val="auto"/>
        </w:rPr>
        <w:t xml:space="preserve">ExxonMobil will discuss financial and operating results and other matters during a webcast at 8:30 a.m. Central Time on May 1, 2026. To listen to the event or access an archived replay, please visit </w:t>
      </w:r>
      <w:r>
        <w:rPr>
          <w:rFonts w:ascii="Arial" w:cs="Arial" w:eastAsia="Arial" w:hAnsi="Arial"/>
          <w:sz w:val="18"/>
          <w:szCs w:val="18"/>
          <w:b w:val="1"/>
          <w:bCs w:val="1"/>
          <w:i w:val="1"/>
          <w:iCs w:val="1"/>
          <w:color w:val="0000FF"/>
        </w:rPr>
        <w:t>www.exxonmobil.com</w:t>
      </w:r>
      <w:r>
        <w:rPr>
          <w:rFonts w:ascii="Arial" w:cs="Arial" w:eastAsia="Arial" w:hAnsi="Arial"/>
          <w:sz w:val="18"/>
          <w:szCs w:val="18"/>
          <w:b w:val="1"/>
          <w:bCs w:val="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Earnings Driver Definitions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Advantaged volume growth. </w:t>
      </w:r>
      <w:r>
        <w:rPr>
          <w:rFonts w:ascii="Arial" w:cs="Arial" w:eastAsia="Arial" w:hAnsi="Arial"/>
          <w:sz w:val="18"/>
          <w:szCs w:val="18"/>
          <w:i w:val="1"/>
          <w:iCs w:val="1"/>
          <w:color w:val="auto"/>
        </w:rPr>
        <w:t>Represents earnings impact from change in volume/mix from advantaged assets, advantaged projects,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high-value products. See frequently used terms on page 11 for definitions of advantaged assets, advantaged projects, and high-value products.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Base volume. </w:t>
      </w:r>
      <w:r>
        <w:rPr>
          <w:rFonts w:ascii="Arial" w:cs="Arial" w:eastAsia="Arial" w:hAnsi="Arial"/>
          <w:sz w:val="18"/>
          <w:szCs w:val="18"/>
          <w:i w:val="1"/>
          <w:iCs w:val="1"/>
          <w:color w:val="auto"/>
        </w:rPr>
        <w:t>Represents and includes all volume/mix drivers not included in advantaged volume growth driver defined above.</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Structural cost savings. </w:t>
      </w:r>
      <w:r>
        <w:rPr>
          <w:rFonts w:ascii="Arial" w:cs="Arial" w:eastAsia="Arial" w:hAnsi="Arial"/>
          <w:sz w:val="18"/>
          <w:szCs w:val="18"/>
          <w:i w:val="1"/>
          <w:iCs w:val="1"/>
          <w:color w:val="auto"/>
        </w:rPr>
        <w:t>Represents after-tax earnings effect of Structural Cost Savings as defined on page 8, including cash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expenses related to divestments.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i w:val="1"/>
          <w:iCs w:val="1"/>
          <w:color w:val="auto"/>
        </w:rPr>
        <w:t>Represents and includes all expenses otherwise not included in other earnings drivers.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 xml:space="preserve">Estimated timing effects. </w:t>
      </w:r>
      <w:r>
        <w:rPr>
          <w:rFonts w:ascii="Arial" w:cs="Arial" w:eastAsia="Arial" w:hAnsi="Arial"/>
          <w:sz w:val="18"/>
          <w:szCs w:val="18"/>
          <w:i w:val="1"/>
          <w:iCs w:val="1"/>
          <w:color w:val="auto"/>
        </w:rPr>
        <w:t>Represents estimated timing effects which unwind in subsequent periods, and are primarily related to unsettled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derivatives which are required to be marked to current period-end prices (mark-to-market), where the associated physical shipments are not reflected in earnings until the physical transaction is complete. It also includes estimated recognition differences between the settlement of derivatives and their offsetting physical commodity realizations (due to LIFO inventory accounting).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Statements related to future events; projections; descriptions of strategic, operating, and financial plans and objectives; statements of future ambitions, future earnings power, potential addressable markets, or plans; and other statements of future events or conditions in this release are forward-looking statements. Similarly, discussion of future carbon capture, transportation and storage, as well as lower-emission fuels, hydrogen and ammonia, lithium, direct air capture, Proxxima</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resin systems, carbon materials, low-carbon data centers, and other low carbon and new business plans to reduce emissions of ExxonMobil, its affiliates, and third parties, are dependent on future market factors, such as continued technological progress, stable policy support and timely rule-making and permitting, and represent forward-looking statements. Actual future results, including financial and operating performance; potential earnings, cash flow, or rate of return; total cash capital expenditures and mix, including allocations of capital to low carbon and other new investments; realization and maintenance of structural cost reductions and efficiency gains, including the ability to offset inflationary pressure; plans to reduce future emissions and emissions intensity; ambitions to reach Scope 1 and Scope 2 net zero from operated assets by 2050, to reach Scope 1 and 2 net zero in integrated Upstream Permian Basin unconventional operated assets by 2035, to eliminate routine flaring in-line with World Bank Zero Routine Flaring, to reach near-zero methane emissions from operated assets and other methane initiatives, and to meet ExxonMobil’s emission reduction goals and plans, divestment and start-up plans, and associated project plans as well as technology advances, including the timing and outcome of projects to capture, transport, and store CO</w:t>
      </w:r>
      <w:r>
        <w:rPr>
          <w:rFonts w:ascii="Arial" w:cs="Arial" w:eastAsia="Arial" w:hAnsi="Arial"/>
          <w:sz w:val="10"/>
          <w:szCs w:val="10"/>
          <w:i w:val="1"/>
          <w:iCs w:val="1"/>
          <w:color w:val="auto"/>
        </w:rPr>
        <w:t>2</w:t>
      </w:r>
      <w:r>
        <w:rPr>
          <w:rFonts w:ascii="Arial" w:cs="Arial" w:eastAsia="Arial" w:hAnsi="Arial"/>
          <w:sz w:val="18"/>
          <w:szCs w:val="18"/>
          <w:i w:val="1"/>
          <w:iCs w:val="1"/>
          <w:color w:val="auto"/>
        </w:rPr>
        <w:t>, produce hydrogen and ammonia, produce lower-emission fuels, produce lithium, produce Proxxima</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resin systems, produce carbon materials, and use plastic waste as feedstock for advanced recycling; cash flow, dividends and shareholder returns, including the timing and amounts of share repurchases; future debt levels and credit ratings; business and project plans, timing, costs, capacities and returns; resource recoveries and production rates; and planned Pioneer and Denbury integrated benefits, could differ materially due to a number of factors. These include global or regional changes or imbalances in the supply and demand for oil, natural gas, petrochemicals, and feedstocks and other market factors, economic conditions and seasonal fluctuations that impact prices, differentials, margins, and volume/mix for our products; changes in any part of the world in laws, taxes, or regulations including extraterritorial environmental and tax regulations, trade sanctions, and timely granting of governmental permits, licenses, and certifications; developments or changes in government policies supporting lower carbon and new market investment opportunities or policies limiting the attractiveness of future investment such as the additional European taxes on the energy sector and unequal support for different methods of emissions reduction; variable impacts of trading activities and derivative positions, including timing effects, on our margins and results each quarter; changes in interest and exchange rates; actions of co-venturers or partners, competitors and commercial counterparties, including suppliers and customers; the outcome of commercial negotiations, including final agreed terms and conditions; the ability to access debt markets; the ultimate impacts of public health crises, including the effects of government responses on people and economies; reservoir performance and optimization, including variability and timing factors applicable to unconventional resources, the success of new unconventional technologies, and the ability of new technologies to improve the recovery relative to competitors; the level, outcome, and timing of exploration projects and decisions to invest in future reserves and resources; timely completion of development and other construction projects and commencement of start-up operations, including reliance on third-party suppliers and service providers; final management approval of future projects and any changes in the scope, terms, or costs of such projects as approved; government regulation of our growth opportunities; government actions in pursuit of national energy and security policies or priorities affecting our business; war, civil unrest, armed hostilities, attacks against the company or industry and other political or security disturbances, including disruption of land or sea transportation routes or distribution or shipping channels; expropriations, seizures, or capacity, insurance, export, import or shipping limitations imposed directly or indirectly by governments or laws; changes in market, national or regional tariffs or disruption, realignment or breaking of current or historical trade or military alliances or global trade and supply chain networks; escalating geopolitical volatility, including regime changes; opportunities for potential acquisitions, investments or divestments and satisfaction of applicable conditions to closing, including timely regulatory approvals; the capture of efficiencies within and between business lines and the ability to maintain near-term cost reductions as ongoing efficiencies without impairing our competitive positioning; unforeseen technical or operating disruptions or difficulties and unplanned maintenance; the development and competitiveness of alternative energy and emission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703"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8"/>
          <w:szCs w:val="18"/>
          <w:i w:val="1"/>
          <w:iCs w:val="1"/>
          <w:color w:val="auto"/>
        </w:rPr>
        <w:t>reduction technologies; the results of research programs and the ability to bring new technologies to commercial scale on a cost-competitive basis; and other factors discussed under Item 1A. Risk Factors of ExxonMobil’s 2025 Form 10-K.</w:t>
      </w:r>
    </w:p>
    <w:p>
      <w:pPr>
        <w:spacing w:after="0" w:line="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Actions needed to advance ExxonMobil’s 2030 greenhouse gas emission-reductions plans are incorporated into its medium-term business plans, which are updated annually. The reference case for planning beyond 2030 is based on ExxonMobil’s Global Outlook (Outlook) research and publication. The Outlook is reflective of the existing global policy environment and an assumption of increasing policy stringency and technology improvement to 2050. Current trends for policy stringency and deployment of lower-emission solutions are not yet on a pathway to achieve net-zero by 2050. As such, the Outlook does not project the degree of required future policy and technology advancement and deployment for the world, or ExxonMobil, to meet net zero by 2050. As future policies and technology advancements emerge, they will be incorporated into the Outlook, and ExxonMobil's business plans will be updated accordingly. References to projects or opportunities may not reflect investment decisions made by ExxonMobil or its affiliates. Individual projects or opportunities may advance based on a number of factors, including availability of stable and supportive policy, permitting, technological advancement for cost-effective abatement, insights from the corporate planning process, and alignment with our partners and other stakeholders. Capital investment guidance in lower-emission investments is based on our corporate plan; however, actual investment levels will be subject to the availability of the opportunity set and public policy support, and focused on returns.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Frequently Used Terms and Non-GAAP Measures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This press release also includes cash flow from operations excluding working capital (non-GAAP). The company believes it is useful for investors to consider these numbers in comparing the underlying performance of the company's business across periods when there are significant period-to-period differences in the amount of changes in working capital. A reconciliation to net cash provided by operating activities for the 2025 and 2026 periods is shown on page 6.</w:t>
      </w:r>
    </w:p>
    <w:p>
      <w:pPr>
        <w:spacing w:after="0" w:line="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This press release also includes Earnings/(Loss) Excluding Identified Items (non-GAAP) and Earnings/(Loss) Excluding Identified Items Per Common Share (non-GAAP), which are earnings/(loss) excluding individually significant non-operational events with, typically, an absolute corporate total earnings impact of at least $250 million in a given quarter. The earnings/(loss) impact of an identified item for an individual segment may be less than $250 million when the item impacts several periods or several segments. Earnings/(loss) excluding Identified Items does include non-operational earnings events or impacts that are generally below the $250 million threshold utilized for identified items. When the effect of these events is significant in aggregate, it is indicated in analysis of period results as part of quarterly earnings press release and teleconference materials. The press release also includes Earnings/(Loss) Excluding Identified Items and Estimated Timing Effects (non-GAAP) and Earnings/(Loss) Excluding Identified Items and Estimated Timing Effects Per Common Share (non-GAAP), which further excludes estimated timing effects, both favorable and unfavorable that are primarily related to unsettled derivatives which are required to be marked to current period-end prices (mark-to-market), where the associated physical shipments are not reflected in earnings until the physical transaction is complete. It also includes estimated recognition differences between the settlement of derivatives and their offsetting physical commodity realizations (due to LIFO inventory accounting). Impacts are expected to unwind in subsequent periods. Management uses these figures to improve comparability of the underlying business across multiple periods by isolating and removing significant non-operational events from business results. The Corporation believes these views provide investors increased transparency into business results and trends and provide investors with a view of the business as seen through the eyes of management. Earnings excluding Identified Items and Earnings excluding Identified Items and Estimated Timing Effects are not meant to be viewed in isolation or as a substitute for net income/(loss) attributable to ExxonMobil as prepared in accordance with U.S. GAAP. A reconciliation to each of corporate earnings and segment earnings are shown for 2025 and 2026 periods in Attachments II-a and II-b. Earnings excluding Identified Items per share and Earnings excluding Identified Items and Estimated Timing Effects per share amounts are shown on page 1 and in Attachment II-a, including a reconciliation to earnings/(loss) per common share – assuming dilution (U.S. GAAP).</w:t>
      </w:r>
    </w:p>
    <w:p>
      <w:pPr>
        <w:spacing w:after="0" w:line="4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This press release also includes total taxes including sales-based taxes. This is a broader indicator of the total tax burden on the Corporation’s products and earnings, including certain sales and value-added taxes imposed on and concurrent with revenue-producing transactions with customers and collected on behalf of governmental authorities (“sales-based taxes”). It combines “Income taxes” and “Total other taxes and duties” with sales-based taxes, which are reported net in the income statement. The company believes it is useful for the Corporation and its investors to understand the total tax burden imposed on the Corporation’s products and earnings. A reconciliation to total taxes is shown in Attachment I-a.</w:t>
      </w:r>
    </w:p>
    <w:p>
      <w:pPr>
        <w:spacing w:after="0" w:line="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This press release also references free cash flow (non-GAAP). Free cash flow is the sum of net cash provided by operating activities, net cash flow used in investing activities excluding cash acquired from mergers and acquisitions, and inflows from noncontrolling interests for major projects from financing activities. This measure is useful when evaluating cash available for financing activities, including shareholder distributions, after investment in the business. Free cash flow is not meant to be viewed in isolation or as a substitute for net cash provided by operating activities. A reconciliation to net cash provided by operating activities for the 2025 and 2026 periods is shown on page 6.</w:t>
      </w:r>
    </w:p>
    <w:p>
      <w:pPr>
        <w:spacing w:after="0" w:line="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This press release also references total cash capital expenditures (non-GAAP). Cash capital expenditures are the sum of additions to property, plant and equipment; additional investments and advances; and other investing activities including collection of advances; reduced by inflows from noncontrolling interests for major projects, each from the Consolidated Statement of Cash Flows, and excludes advances and collections not related to capital expenditures or equity investments, for example, supply and marketing related advances and associated collections. The company believes it is a useful measure for investors to understand the cash impact of investments in the business, which is in line with standard industry practice. A breakdown of cash capex is shown on page 7.</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703" w:right="339" w:bottom="1440" w:gutter="0" w:footer="0" w:header="0"/>
        </w:sectPr>
      </w:pPr>
    </w:p>
    <w:bookmarkStart w:id="14" w:name="page15"/>
    <w:bookmarkEnd w:id="14"/>
    <w:p>
      <w:pPr>
        <w:jc w:val="both"/>
        <w:spacing w:after="0" w:line="247" w:lineRule="auto"/>
        <w:rPr>
          <w:sz w:val="20"/>
          <w:szCs w:val="20"/>
          <w:color w:val="auto"/>
        </w:rPr>
      </w:pPr>
      <w:r>
        <w:rPr>
          <w:rFonts w:ascii="Arial" w:cs="Arial" w:eastAsia="Arial" w:hAnsi="Arial"/>
          <w:sz w:val="18"/>
          <w:szCs w:val="18"/>
          <w:i w:val="1"/>
          <w:iCs w:val="1"/>
          <w:color w:val="auto"/>
        </w:rPr>
        <w:t>References to resources or resource base may include quantities of oil and natural gas classified as proved reserves, as well as quantities that are not yet classified as proved reserves, but that are expected to be ultimately recoverable. The term “resource base” or similar terms are not intended to correspond to SEC definitions such as “probable” or “possible” reserves. A reconciliation of production excluding divestments, entitlements, and government mandates to actual production is contained in the Supplement to this release included as Exhibit 99.2 to the Form 8-K filed the same day as this news release.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The term “project” as used in this news release can refer to a variety of different activities and does not necessarily have the same meaning as in any government payment transparency reports. Projects or plans may not reflect investment decisions made by the company. Individual opportunities may advance based on a number of factors, including availability of supportive policy, technology for cost-effective abatement, and alignment with our partners and other stakeholders. The company may refer to these opportunities as projects in external disclosures at various stages throughout their progression.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Advantaged assets (Advantaged growth projects) when used in reference to the Upstream business, includes Permian, Guyana, and LNG.</w:t>
      </w:r>
    </w:p>
    <w:p>
      <w:pPr>
        <w:spacing w:after="0" w:line="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Advantaged projects refers to capital projects and programs of work that contribute to Energy, Chemical, and/or Specialty Products segments that drive integration of segments/businesses, increase yield of higher value products, or deliver higher than average returns.</w:t>
      </w:r>
    </w:p>
    <w:p>
      <w:pPr>
        <w:jc w:val="both"/>
        <w:spacing w:after="0" w:line="255" w:lineRule="auto"/>
        <w:rPr>
          <w:sz w:val="20"/>
          <w:szCs w:val="20"/>
          <w:color w:val="auto"/>
        </w:rPr>
      </w:pPr>
      <w:r>
        <w:rPr>
          <w:rFonts w:ascii="Arial" w:cs="Arial" w:eastAsia="Arial" w:hAnsi="Arial"/>
          <w:sz w:val="18"/>
          <w:szCs w:val="18"/>
          <w:i w:val="1"/>
          <w:iCs w:val="1"/>
          <w:color w:val="auto"/>
        </w:rPr>
        <w:t>Base portfolio (Base) in our Upstream segment, refers to assets (or volumes) other than advantaged assets (or volumes from advantaged assets). In our Energy Products segment, refers to assets (or volumes) other than advantaged projects (or volumes from advantaged projects). In our Chemical Products and Specialty Products segments, refers to volumes other than high-value products volumes.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Compound annual growth rate (CAGR) represents the consistent rate at which an investment or business result would have grown had the investment or business result compounded at the same rate each year.</w:t>
      </w:r>
    </w:p>
    <w:p>
      <w:pPr>
        <w:jc w:val="both"/>
        <w:spacing w:after="0" w:line="258" w:lineRule="auto"/>
        <w:rPr>
          <w:sz w:val="20"/>
          <w:szCs w:val="20"/>
          <w:color w:val="auto"/>
        </w:rPr>
      </w:pPr>
      <w:r>
        <w:rPr>
          <w:rFonts w:ascii="Arial" w:cs="Arial" w:eastAsia="Arial" w:hAnsi="Arial"/>
          <w:sz w:val="18"/>
          <w:szCs w:val="18"/>
          <w:i w:val="1"/>
          <w:iCs w:val="1"/>
          <w:color w:val="auto"/>
        </w:rPr>
        <w:t>Debt-to-capital ratio is total debt divided by the sum of total debt and equity. Total debt is the sum of notes and loans payable and long-term debt, as reported in the Consolidated Balance Sheet.</w:t>
      </w:r>
    </w:p>
    <w:p>
      <w:pPr>
        <w:jc w:val="both"/>
        <w:spacing w:after="0" w:line="258" w:lineRule="auto"/>
        <w:rPr>
          <w:sz w:val="20"/>
          <w:szCs w:val="20"/>
          <w:color w:val="auto"/>
        </w:rPr>
      </w:pPr>
      <w:r>
        <w:rPr>
          <w:rFonts w:ascii="Arial" w:cs="Arial" w:eastAsia="Arial" w:hAnsi="Arial"/>
          <w:sz w:val="18"/>
          <w:szCs w:val="18"/>
          <w:i w:val="1"/>
          <w:iCs w:val="1"/>
          <w:color w:val="auto"/>
        </w:rPr>
        <w:t>Government mandates (curtailments) are changes to ExxonMobil’s sustainable production levels as a result of production limits or sanctions imposed by governments.</w:t>
      </w:r>
    </w:p>
    <w:p>
      <w:pPr>
        <w:spacing w:after="0"/>
        <w:rPr>
          <w:sz w:val="20"/>
          <w:szCs w:val="20"/>
          <w:color w:val="auto"/>
        </w:rPr>
      </w:pPr>
      <w:r>
        <w:rPr>
          <w:rFonts w:ascii="Arial" w:cs="Arial" w:eastAsia="Arial" w:hAnsi="Arial"/>
          <w:sz w:val="18"/>
          <w:szCs w:val="18"/>
          <w:i w:val="1"/>
          <w:iCs w:val="1"/>
          <w:color w:val="auto"/>
        </w:rPr>
        <w:t>High-value products include performance products and lower-emission fuels.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IOCs, unless stated otherwise, includes each of BP, Chevron, Shell and TotalEnergies.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Lower-emission fuels are fuels with lower life cycle emissions than conventional transportation fuels for gasoline, diesel and jet transport.</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Net-debt-to-capital ratio is net debt divided by the sum of net debt and total equity, where net debt is total debt net of cash and cash equivalents, excluding restricted cash. Total debt is the sum of notes and loans payable and long-term debt, as reported in the consolidated balance sheet.</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Performance products (performance chemicals, performance lubricants) refer to products that provide differentiated performance for multiple applications through enhanced properties versus commodity alternatives and bring significant additional value to customers and end-users.</w:t>
      </w:r>
    </w:p>
    <w:p>
      <w:pPr>
        <w:jc w:val="both"/>
        <w:spacing w:after="0" w:line="250" w:lineRule="auto"/>
        <w:rPr>
          <w:sz w:val="20"/>
          <w:szCs w:val="20"/>
          <w:color w:val="auto"/>
        </w:rPr>
      </w:pPr>
      <w:r>
        <w:rPr>
          <w:rFonts w:ascii="Arial" w:cs="Arial" w:eastAsia="Arial" w:hAnsi="Arial"/>
          <w:sz w:val="18"/>
          <w:szCs w:val="18"/>
          <w:i w:val="1"/>
          <w:iCs w:val="1"/>
          <w:color w:val="auto"/>
        </w:rPr>
        <w:t>Shareholder distributions are the Corporation's distributions of cash to shareholders in the form of both dividends and share purchases. Shares are acquired to reduce shares outstanding and to offset shares or units settled in shares issued in conjunction with company benefit plans and programs. For the purposes of calculating distributions to shareholders, the Corporation includes only the cost of those shares acquired to reduce shares outstanding.</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Total shareholder return (TSR) is defined by FactSet and measures the change in value of an investment in common stock over a specified period of time, assuming dividend reinvestment. FactSet assumes dividends are reinvested in stock at market prices on the ex-dividend date. Unless stated otherwise, total shareholder return is quoted on an annualized basis.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also references Structural Cost Savings, for more details see page 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indicated, year-to-date (“YTD”) means as of the last business day of the most recent fiscal quarter.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 to Earnings</w:t>
      </w:r>
    </w:p>
    <w:p>
      <w:pPr>
        <w:spacing w:after="0" w:line="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References to corporate earnings mean net income attributable to ExxonMobil (U.S. GAAP) from the consolidated income statement. Unless otherwise indicated, references to earnings, Upstream, Energy Products, Chemical Products, Specialty Products and Corporate and Financing earnings, and earnings per share are ExxonMobil’s share after excluding amounts attributable to noncontrolling interests.</w:t>
      </w:r>
    </w:p>
    <w:p>
      <w:pPr>
        <w:spacing w:after="0" w:line="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Exxon Mobil Corporation has numerous affiliates, many with names that include ExxonMobil, Exxon, Mobil, Esso, and XTO. For convenience and simplicity, those terms and terms such as Corporation, company, our, we, and its are sometimes used as abbreviated references to specific affiliates or affiliate groups. Similarly, ExxonMobil has business relationships with thousands of customers, suppliers, governments, and others. For convenience and simplicity, words such as venture, joint venture, partnership, co-venturer, and partner are used to indicate business and other relationships involving common activities and interests, and those words may not indicate precise legal relationships. ExxonMobil's ambitions, plans and goals do not guarantee any action or future performance by its affiliates or Exxon Mobil Corporation's responsibility for those affiliates' actions and future performance, each affiliate of which manages its own affairs.</w:t>
      </w:r>
    </w:p>
    <w:p>
      <w:pPr>
        <w:spacing w:after="0" w:line="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Throughout this press release, both Exhibit 99.1 as well as Exhibit 99.2, due to rounding, numbers presented may not add up precisely to the totals indicated.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649" w:right="339" w:bottom="1440" w:gutter="0" w:footer="0" w:header="0"/>
        </w:sectPr>
      </w:pPr>
    </w:p>
    <w:bookmarkStart w:id="15" w:name="page16"/>
    <w:bookmarkEnd w:id="15"/>
    <w:p>
      <w:pPr>
        <w:ind w:left="8860"/>
        <w:spacing w:after="0"/>
        <w:rPr>
          <w:sz w:val="20"/>
          <w:szCs w:val="20"/>
          <w:color w:val="auto"/>
        </w:rPr>
      </w:pPr>
      <w:r>
        <w:rPr>
          <w:rFonts w:ascii="Arial" w:cs="Arial" w:eastAsia="Arial" w:hAnsi="Arial"/>
          <w:sz w:val="15"/>
          <w:szCs w:val="15"/>
          <w:b w:val="1"/>
          <w:bCs w:val="1"/>
          <w:color w:val="auto"/>
        </w:rPr>
        <w:t>ATTACHMENT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-108585</wp:posOffset>
            </wp:positionV>
            <wp:extent cx="128587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310" w:lineRule="exact"/>
        <w:rPr>
          <w:sz w:val="20"/>
          <w:szCs w:val="20"/>
          <w:color w:val="auto"/>
        </w:rPr>
      </w:pPr>
    </w:p>
    <w:p>
      <w:pPr>
        <w:ind w:left="20" w:right="3440"/>
        <w:spacing w:after="0" w:line="288" w:lineRule="auto"/>
        <w:rPr>
          <w:sz w:val="20"/>
          <w:szCs w:val="20"/>
          <w:color w:val="auto"/>
        </w:rPr>
      </w:pPr>
      <w:r>
        <w:rPr>
          <w:rFonts w:ascii="Arial" w:cs="Arial" w:eastAsia="Arial" w:hAnsi="Arial"/>
          <w:sz w:val="25"/>
          <w:szCs w:val="25"/>
          <w:b w:val="1"/>
          <w:bCs w:val="1"/>
          <w:color w:val="0C479D"/>
        </w:rPr>
        <w:t xml:space="preserve">CONDENSED CONSOLIDATED STATEMENT OF INCOME </w:t>
      </w:r>
      <w:r>
        <w:rPr>
          <w:rFonts w:ascii="Arial" w:cs="Arial" w:eastAsia="Arial" w:hAnsi="Arial"/>
          <w:sz w:val="21"/>
          <w:szCs w:val="21"/>
          <w:b w:val="1"/>
          <w:bCs w:val="1"/>
          <w:i w:val="1"/>
          <w:iCs w:val="1"/>
          <w:color w:val="0C479D"/>
        </w:rPr>
        <w:t>(Preliminary)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shd w:val="clear" w:color="auto" w:fill="0C479D"/>
          </w:tcPr>
          <w:p>
            <w:pPr>
              <w:spacing w:after="0"/>
              <w:rPr>
                <w:sz w:val="19"/>
                <w:szCs w:val="19"/>
                <w:color w:val="auto"/>
              </w:rPr>
            </w:pPr>
          </w:p>
        </w:tc>
        <w:tc>
          <w:tcPr>
            <w:tcW w:w="2120" w:type="dxa"/>
            <w:vAlign w:val="bottom"/>
            <w:gridSpan w:val="2"/>
            <w:shd w:val="clear" w:color="auto" w:fill="0C479D"/>
          </w:tcPr>
          <w:p>
            <w:pPr>
              <w:jc w:val="right"/>
              <w:ind w:right="50"/>
              <w:spacing w:after="0"/>
              <w:rPr>
                <w:sz w:val="20"/>
                <w:szCs w:val="20"/>
                <w:color w:val="auto"/>
              </w:rPr>
            </w:pPr>
            <w:r>
              <w:rPr>
                <w:rFonts w:ascii="Arial" w:cs="Arial" w:eastAsia="Arial" w:hAnsi="Arial"/>
                <w:sz w:val="20"/>
                <w:szCs w:val="20"/>
                <w:color w:val="FFFFFF"/>
              </w:rPr>
              <w:t>Three Months Ended</w:t>
            </w:r>
          </w:p>
        </w:tc>
      </w:tr>
      <w:tr>
        <w:trPr>
          <w:trHeight w:val="285"/>
        </w:trPr>
        <w:tc>
          <w:tcPr>
            <w:tcW w:w="8080" w:type="dxa"/>
            <w:vAlign w:val="bottom"/>
            <w:tcBorders>
              <w:bottom w:val="single" w:sz="8" w:color="0C479D"/>
            </w:tcBorders>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2120" w:type="dxa"/>
            <w:vAlign w:val="bottom"/>
            <w:tcBorders>
              <w:bottom w:val="single" w:sz="8" w:color="0C479D"/>
            </w:tcBorders>
            <w:gridSpan w:val="2"/>
            <w:shd w:val="clear" w:color="auto" w:fill="0C479D"/>
          </w:tcPr>
          <w:p>
            <w:pPr>
              <w:jc w:val="right"/>
              <w:ind w:right="530"/>
              <w:spacing w:after="0"/>
              <w:rPr>
                <w:sz w:val="20"/>
                <w:szCs w:val="20"/>
                <w:color w:val="auto"/>
              </w:rPr>
            </w:pPr>
            <w:r>
              <w:rPr>
                <w:rFonts w:ascii="Arial" w:cs="Arial" w:eastAsia="Arial" w:hAnsi="Arial"/>
                <w:sz w:val="20"/>
                <w:szCs w:val="20"/>
                <w:color w:val="FFFFFF"/>
              </w:rPr>
              <w:t>March 31,</w:t>
            </w:r>
          </w:p>
        </w:tc>
      </w:tr>
      <w:tr>
        <w:trPr>
          <w:trHeight w:val="304"/>
        </w:trPr>
        <w:tc>
          <w:tcPr>
            <w:tcW w:w="8080" w:type="dxa"/>
            <w:vAlign w:val="bottom"/>
            <w:tcBorders>
              <w:bottom w:val="single" w:sz="8" w:color="0C479D"/>
            </w:tcBorders>
            <w:shd w:val="clear" w:color="auto" w:fill="0C479D"/>
          </w:tcPr>
          <w:p>
            <w:pPr>
              <w:spacing w:after="0"/>
              <w:rPr>
                <w:sz w:val="24"/>
                <w:szCs w:val="24"/>
                <w:color w:val="auto"/>
              </w:rPr>
            </w:pPr>
          </w:p>
        </w:tc>
        <w:tc>
          <w:tcPr>
            <w:tcW w:w="10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20"/>
                <w:szCs w:val="20"/>
                <w:color w:val="FFFFFF"/>
              </w:rPr>
              <w:t>2026</w:t>
            </w:r>
          </w:p>
        </w:tc>
        <w:tc>
          <w:tcPr>
            <w:tcW w:w="1060" w:type="dxa"/>
            <w:vAlign w:val="bottom"/>
            <w:tcBorders>
              <w:bottom w:val="single" w:sz="8" w:color="0C479D"/>
            </w:tcBorders>
            <w:shd w:val="clear" w:color="auto" w:fill="0C479D"/>
          </w:tcPr>
          <w:p>
            <w:pPr>
              <w:jc w:val="right"/>
              <w:spacing w:after="0"/>
              <w:rPr>
                <w:sz w:val="20"/>
                <w:szCs w:val="20"/>
                <w:color w:val="auto"/>
              </w:rPr>
            </w:pPr>
            <w:r>
              <w:rPr>
                <w:rFonts w:ascii="Arial" w:cs="Arial" w:eastAsia="Arial" w:hAnsi="Arial"/>
                <w:sz w:val="20"/>
                <w:szCs w:val="20"/>
                <w:color w:val="FFFFFF"/>
              </w:rPr>
              <w:t>2025</w:t>
            </w:r>
          </w:p>
        </w:tc>
      </w:tr>
      <w:tr>
        <w:trPr>
          <w:trHeight w:val="255"/>
        </w:trPr>
        <w:tc>
          <w:tcPr>
            <w:tcW w:w="8080" w:type="dxa"/>
            <w:vAlign w:val="bottom"/>
          </w:tcPr>
          <w:p>
            <w:pPr>
              <w:ind w:left="20"/>
              <w:spacing w:after="0"/>
              <w:rPr>
                <w:sz w:val="20"/>
                <w:szCs w:val="20"/>
                <w:color w:val="auto"/>
              </w:rPr>
            </w:pPr>
            <w:r>
              <w:rPr>
                <w:rFonts w:ascii="Arial" w:cs="Arial" w:eastAsia="Arial" w:hAnsi="Arial"/>
                <w:sz w:val="18"/>
                <w:szCs w:val="18"/>
                <w:b w:val="1"/>
                <w:bCs w:val="1"/>
                <w:color w:val="0C479D"/>
              </w:rPr>
              <w:t>Revenues and other income</w:t>
            </w:r>
          </w:p>
        </w:tc>
        <w:tc>
          <w:tcPr>
            <w:tcW w:w="1060" w:type="dxa"/>
            <w:vAlign w:val="bottom"/>
            <w:shd w:val="clear" w:color="auto" w:fill="DCDDDE"/>
          </w:tcPr>
          <w:p>
            <w:pPr>
              <w:spacing w:after="0"/>
              <w:rPr>
                <w:sz w:val="22"/>
                <w:szCs w:val="22"/>
                <w:color w:val="auto"/>
              </w:rPr>
            </w:pPr>
          </w:p>
        </w:tc>
        <w:tc>
          <w:tcPr>
            <w:tcW w:w="1060" w:type="dxa"/>
            <w:vAlign w:val="bottom"/>
          </w:tcPr>
          <w:p>
            <w:pPr>
              <w:spacing w:after="0"/>
              <w:rPr>
                <w:sz w:val="22"/>
                <w:szCs w:val="22"/>
                <w:color w:val="auto"/>
              </w:rPr>
            </w:pPr>
          </w:p>
        </w:tc>
      </w:tr>
      <w:tr>
        <w:trPr>
          <w:trHeight w:val="262"/>
        </w:trPr>
        <w:tc>
          <w:tcPr>
            <w:tcW w:w="8080" w:type="dxa"/>
            <w:vAlign w:val="bottom"/>
          </w:tcPr>
          <w:p>
            <w:pPr>
              <w:ind w:left="20"/>
              <w:spacing w:after="0"/>
              <w:rPr>
                <w:sz w:val="20"/>
                <w:szCs w:val="20"/>
                <w:color w:val="auto"/>
              </w:rPr>
            </w:pPr>
            <w:r>
              <w:rPr>
                <w:rFonts w:ascii="Arial" w:cs="Arial" w:eastAsia="Arial" w:hAnsi="Arial"/>
                <w:sz w:val="18"/>
                <w:szCs w:val="18"/>
                <w:color w:val="auto"/>
              </w:rPr>
              <w:t>Sales and other operating revenue</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83,161</w:t>
            </w:r>
          </w:p>
        </w:tc>
        <w:tc>
          <w:tcPr>
            <w:tcW w:w="1060" w:type="dxa"/>
            <w:vAlign w:val="bottom"/>
          </w:tcPr>
          <w:p>
            <w:pPr>
              <w:jc w:val="right"/>
              <w:spacing w:after="0"/>
              <w:rPr>
                <w:sz w:val="20"/>
                <w:szCs w:val="20"/>
                <w:color w:val="auto"/>
              </w:rPr>
            </w:pPr>
            <w:r>
              <w:rPr>
                <w:rFonts w:ascii="Arial" w:cs="Arial" w:eastAsia="Arial" w:hAnsi="Arial"/>
                <w:sz w:val="18"/>
                <w:szCs w:val="18"/>
                <w:color w:val="auto"/>
              </w:rPr>
              <w:t>81,058</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Income from equity affiliates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1,369</w:t>
            </w:r>
          </w:p>
        </w:tc>
        <w:tc>
          <w:tcPr>
            <w:tcW w:w="106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93"/>
        </w:trPr>
        <w:tc>
          <w:tcPr>
            <w:tcW w:w="80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608</w:t>
            </w:r>
          </w:p>
        </w:tc>
        <w:tc>
          <w:tcPr>
            <w:tcW w:w="106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49"/>
        </w:trPr>
        <w:tc>
          <w:tcPr>
            <w:tcW w:w="80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revenues and other income</w:t>
            </w:r>
          </w:p>
        </w:tc>
        <w:tc>
          <w:tcPr>
            <w:tcW w:w="106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85,138</w:t>
            </w:r>
          </w:p>
        </w:tc>
        <w:tc>
          <w:tcPr>
            <w:tcW w:w="106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83,130</w:t>
            </w:r>
          </w:p>
        </w:tc>
      </w:tr>
      <w:tr>
        <w:trPr>
          <w:trHeight w:val="249"/>
        </w:trPr>
        <w:tc>
          <w:tcPr>
            <w:tcW w:w="8080" w:type="dxa"/>
            <w:vAlign w:val="bottom"/>
          </w:tcPr>
          <w:p>
            <w:pPr>
              <w:ind w:left="20"/>
              <w:spacing w:after="0"/>
              <w:rPr>
                <w:sz w:val="20"/>
                <w:szCs w:val="20"/>
                <w:color w:val="auto"/>
              </w:rPr>
            </w:pPr>
            <w:r>
              <w:rPr>
                <w:rFonts w:ascii="Arial" w:cs="Arial" w:eastAsia="Arial" w:hAnsi="Arial"/>
                <w:sz w:val="18"/>
                <w:szCs w:val="18"/>
                <w:b w:val="1"/>
                <w:bCs w:val="1"/>
                <w:color w:val="0C479D"/>
              </w:rPr>
              <w:t>Costs and other deductions</w:t>
            </w:r>
          </w:p>
        </w:tc>
        <w:tc>
          <w:tcPr>
            <w:tcW w:w="1060" w:type="dxa"/>
            <w:vAlign w:val="bottom"/>
            <w:shd w:val="clear" w:color="auto" w:fill="DCDDDE"/>
          </w:tcPr>
          <w:p>
            <w:pPr>
              <w:spacing w:after="0"/>
              <w:rPr>
                <w:sz w:val="21"/>
                <w:szCs w:val="21"/>
                <w:color w:val="auto"/>
              </w:rPr>
            </w:pPr>
          </w:p>
        </w:tc>
        <w:tc>
          <w:tcPr>
            <w:tcW w:w="1060" w:type="dxa"/>
            <w:vAlign w:val="bottom"/>
          </w:tcPr>
          <w:p>
            <w:pPr>
              <w:spacing w:after="0"/>
              <w:rPr>
                <w:sz w:val="21"/>
                <w:szCs w:val="21"/>
                <w:color w:val="auto"/>
              </w:rPr>
            </w:pPr>
          </w:p>
        </w:tc>
      </w:tr>
      <w:tr>
        <w:trPr>
          <w:trHeight w:val="249"/>
        </w:trPr>
        <w:tc>
          <w:tcPr>
            <w:tcW w:w="8080" w:type="dxa"/>
            <w:vAlign w:val="bottom"/>
          </w:tcPr>
          <w:p>
            <w:pPr>
              <w:ind w:left="20"/>
              <w:spacing w:after="0"/>
              <w:rPr>
                <w:sz w:val="20"/>
                <w:szCs w:val="20"/>
                <w:color w:val="auto"/>
              </w:rPr>
            </w:pPr>
            <w:r>
              <w:rPr>
                <w:rFonts w:ascii="Arial" w:cs="Arial" w:eastAsia="Arial" w:hAnsi="Arial"/>
                <w:sz w:val="18"/>
                <w:szCs w:val="18"/>
                <w:color w:val="auto"/>
              </w:rPr>
              <w:t>Crude oil and product purchases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51,802</w:t>
            </w:r>
          </w:p>
        </w:tc>
        <w:tc>
          <w:tcPr>
            <w:tcW w:w="1060" w:type="dxa"/>
            <w:vAlign w:val="bottom"/>
          </w:tcPr>
          <w:p>
            <w:pPr>
              <w:jc w:val="right"/>
              <w:spacing w:after="0"/>
              <w:rPr>
                <w:sz w:val="20"/>
                <w:szCs w:val="20"/>
                <w:color w:val="auto"/>
              </w:rPr>
            </w:pPr>
            <w:r>
              <w:rPr>
                <w:rFonts w:ascii="Arial" w:cs="Arial" w:eastAsia="Arial" w:hAnsi="Arial"/>
                <w:sz w:val="18"/>
                <w:szCs w:val="18"/>
                <w:color w:val="auto"/>
              </w:rPr>
              <w:t>46,788</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Production and manufacturing expenses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10,695</w:t>
            </w:r>
          </w:p>
        </w:tc>
        <w:tc>
          <w:tcPr>
            <w:tcW w:w="1060" w:type="dxa"/>
            <w:vAlign w:val="bottom"/>
          </w:tcPr>
          <w:p>
            <w:pPr>
              <w:jc w:val="right"/>
              <w:spacing w:after="0"/>
              <w:rPr>
                <w:sz w:val="20"/>
                <w:szCs w:val="20"/>
                <w:color w:val="auto"/>
              </w:rPr>
            </w:pPr>
            <w:r>
              <w:rPr>
                <w:rFonts w:ascii="Arial" w:cs="Arial" w:eastAsia="Arial" w:hAnsi="Arial"/>
                <w:sz w:val="18"/>
                <w:szCs w:val="18"/>
                <w:color w:val="auto"/>
              </w:rPr>
              <w:t>10,083</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2,684</w:t>
            </w:r>
          </w:p>
        </w:tc>
        <w:tc>
          <w:tcPr>
            <w:tcW w:w="1060" w:type="dxa"/>
            <w:vAlign w:val="bottom"/>
          </w:tcPr>
          <w:p>
            <w:pPr>
              <w:jc w:val="right"/>
              <w:spacing w:after="0"/>
              <w:rPr>
                <w:sz w:val="20"/>
                <w:szCs w:val="20"/>
                <w:color w:val="auto"/>
              </w:rPr>
            </w:pPr>
            <w:r>
              <w:rPr>
                <w:rFonts w:ascii="Arial" w:cs="Arial" w:eastAsia="Arial" w:hAnsi="Arial"/>
                <w:sz w:val="18"/>
                <w:szCs w:val="18"/>
                <w:color w:val="auto"/>
              </w:rPr>
              <w:t>2,540</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Depreciation and depletion (includes impairments)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6,771</w:t>
            </w:r>
          </w:p>
        </w:tc>
        <w:tc>
          <w:tcPr>
            <w:tcW w:w="1060" w:type="dxa"/>
            <w:vAlign w:val="bottom"/>
          </w:tcPr>
          <w:p>
            <w:pPr>
              <w:jc w:val="right"/>
              <w:spacing w:after="0"/>
              <w:rPr>
                <w:sz w:val="20"/>
                <w:szCs w:val="20"/>
                <w:color w:val="auto"/>
              </w:rPr>
            </w:pPr>
            <w:r>
              <w:rPr>
                <w:rFonts w:ascii="Arial" w:cs="Arial" w:eastAsia="Arial" w:hAnsi="Arial"/>
                <w:sz w:val="18"/>
                <w:szCs w:val="18"/>
                <w:color w:val="auto"/>
              </w:rPr>
              <w:t>5,702</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Exploration expenses, including dry holes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126</w:t>
            </w: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Non-service pension and postretirement benefit expense</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62</w:t>
            </w: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8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295</w:t>
            </w: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93"/>
        </w:trPr>
        <w:tc>
          <w:tcPr>
            <w:tcW w:w="8080" w:type="dxa"/>
            <w:vAlign w:val="bottom"/>
          </w:tcPr>
          <w:p>
            <w:pPr>
              <w:ind w:left="20"/>
              <w:spacing w:after="0"/>
              <w:rPr>
                <w:sz w:val="20"/>
                <w:szCs w:val="20"/>
                <w:color w:val="auto"/>
              </w:rPr>
            </w:pPr>
            <w:r>
              <w:rPr>
                <w:rFonts w:ascii="Arial" w:cs="Arial" w:eastAsia="Arial" w:hAnsi="Arial"/>
                <w:sz w:val="18"/>
                <w:szCs w:val="18"/>
                <w:color w:val="auto"/>
              </w:rPr>
              <w:t>Other taxes and duties</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5,736</w:t>
            </w:r>
          </w:p>
        </w:tc>
        <w:tc>
          <w:tcPr>
            <w:tcW w:w="1060" w:type="dxa"/>
            <w:vAlign w:val="bottom"/>
          </w:tcPr>
          <w:p>
            <w:pPr>
              <w:jc w:val="right"/>
              <w:spacing w:after="0"/>
              <w:rPr>
                <w:sz w:val="20"/>
                <w:szCs w:val="20"/>
                <w:color w:val="auto"/>
              </w:rPr>
            </w:pPr>
            <w:r>
              <w:rPr>
                <w:rFonts w:ascii="Arial" w:cs="Arial" w:eastAsia="Arial" w:hAnsi="Arial"/>
                <w:sz w:val="18"/>
                <w:szCs w:val="18"/>
                <w:color w:val="auto"/>
              </w:rPr>
              <w:t>6,035</w:t>
            </w:r>
          </w:p>
        </w:tc>
      </w:tr>
      <w:tr>
        <w:trPr>
          <w:trHeight w:val="249"/>
        </w:trPr>
        <w:tc>
          <w:tcPr>
            <w:tcW w:w="80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costs and other deductions</w:t>
            </w:r>
          </w:p>
        </w:tc>
        <w:tc>
          <w:tcPr>
            <w:tcW w:w="106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78,171</w:t>
            </w:r>
          </w:p>
        </w:tc>
        <w:tc>
          <w:tcPr>
            <w:tcW w:w="106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71,530</w:t>
            </w:r>
          </w:p>
        </w:tc>
      </w:tr>
      <w:tr>
        <w:trPr>
          <w:trHeight w:val="24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b w:val="1"/>
                <w:bCs w:val="1"/>
                <w:color w:val="auto"/>
              </w:rPr>
              <w:t>6,967</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11,600</w:t>
            </w:r>
          </w:p>
        </w:tc>
      </w:tr>
      <w:tr>
        <w:trPr>
          <w:trHeight w:val="272"/>
        </w:trPr>
        <w:tc>
          <w:tcPr>
            <w:tcW w:w="8080" w:type="dxa"/>
            <w:vAlign w:val="bottom"/>
          </w:tcPr>
          <w:p>
            <w:pPr>
              <w:ind w:left="20"/>
              <w:spacing w:after="0"/>
              <w:rPr>
                <w:sz w:val="20"/>
                <w:szCs w:val="20"/>
                <w:color w:val="auto"/>
              </w:rPr>
            </w:pPr>
            <w:r>
              <w:rPr>
                <w:rFonts w:ascii="Arial" w:cs="Arial" w:eastAsia="Arial" w:hAnsi="Arial"/>
                <w:sz w:val="18"/>
                <w:szCs w:val="18"/>
                <w:color w:val="auto"/>
              </w:rPr>
              <w:t>Income tax expense/(benefit)</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2,495</w:t>
            </w:r>
          </w:p>
        </w:tc>
        <w:tc>
          <w:tcPr>
            <w:tcW w:w="106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48"/>
        </w:trPr>
        <w:tc>
          <w:tcPr>
            <w:tcW w:w="8080" w:type="dxa"/>
            <w:vAlign w:val="bottom"/>
            <w:tcBorders>
              <w:top w:val="single" w:sz="8" w:color="0C479D"/>
            </w:tcBorders>
          </w:tcPr>
          <w:p>
            <w:pPr>
              <w:ind w:left="20"/>
              <w:spacing w:after="0"/>
              <w:rPr>
                <w:sz w:val="20"/>
                <w:szCs w:val="20"/>
                <w:color w:val="auto"/>
              </w:rPr>
            </w:pPr>
            <w:r>
              <w:rPr>
                <w:rFonts w:ascii="Arial" w:cs="Arial" w:eastAsia="Arial" w:hAnsi="Arial"/>
                <w:sz w:val="18"/>
                <w:szCs w:val="18"/>
                <w:b w:val="1"/>
                <w:bCs w:val="1"/>
                <w:color w:val="auto"/>
              </w:rPr>
              <w:t>Net income/(loss) including noncontrolling interests</w:t>
            </w:r>
          </w:p>
        </w:tc>
        <w:tc>
          <w:tcPr>
            <w:tcW w:w="10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4,472</w:t>
            </w:r>
          </w:p>
        </w:tc>
        <w:tc>
          <w:tcPr>
            <w:tcW w:w="1060" w:type="dxa"/>
            <w:vAlign w:val="bottom"/>
            <w:tcBorders>
              <w:top w:val="single" w:sz="8" w:color="0C479D"/>
            </w:tcBorders>
          </w:tcPr>
          <w:p>
            <w:pPr>
              <w:jc w:val="right"/>
              <w:spacing w:after="0"/>
              <w:rPr>
                <w:sz w:val="20"/>
                <w:szCs w:val="20"/>
                <w:color w:val="auto"/>
              </w:rPr>
            </w:pPr>
            <w:r>
              <w:rPr>
                <w:rFonts w:ascii="Arial" w:cs="Arial" w:eastAsia="Arial" w:hAnsi="Arial"/>
                <w:sz w:val="18"/>
                <w:szCs w:val="18"/>
                <w:b w:val="1"/>
                <w:bCs w:val="1"/>
                <w:color w:val="auto"/>
              </w:rPr>
              <w:t>8,033</w:t>
            </w:r>
          </w:p>
        </w:tc>
      </w:tr>
      <w:tr>
        <w:trPr>
          <w:trHeight w:val="272"/>
        </w:trPr>
        <w:tc>
          <w:tcPr>
            <w:tcW w:w="8080" w:type="dxa"/>
            <w:vAlign w:val="bottom"/>
          </w:tcPr>
          <w:p>
            <w:pPr>
              <w:ind w:left="20"/>
              <w:spacing w:after="0"/>
              <w:rPr>
                <w:sz w:val="20"/>
                <w:szCs w:val="20"/>
                <w:color w:val="auto"/>
              </w:rPr>
            </w:pPr>
            <w:r>
              <w:rPr>
                <w:rFonts w:ascii="Arial" w:cs="Arial" w:eastAsia="Arial" w:hAnsi="Arial"/>
                <w:sz w:val="18"/>
                <w:szCs w:val="18"/>
                <w:color w:val="auto"/>
              </w:rPr>
              <w:t>Net income/(loss) attributable to noncontrolling interests</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289</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49"/>
        </w:trPr>
        <w:tc>
          <w:tcPr>
            <w:tcW w:w="80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Net income/(loss) attributable to ExxonMobil</w:t>
            </w:r>
          </w:p>
        </w:tc>
        <w:tc>
          <w:tcPr>
            <w:tcW w:w="106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4,183</w:t>
            </w:r>
          </w:p>
        </w:tc>
        <w:tc>
          <w:tcPr>
            <w:tcW w:w="106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7,713</w:t>
            </w:r>
          </w:p>
        </w:tc>
      </w:tr>
    </w:tbl>
    <w:p>
      <w:pPr>
        <w:spacing w:after="0" w:line="15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C479D"/>
        </w:rPr>
        <w:t>OTHER FINANCIAL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shd w:val="clear" w:color="auto" w:fill="0C479D"/>
          </w:tcPr>
          <w:p>
            <w:pPr>
              <w:spacing w:after="0"/>
              <w:rPr>
                <w:sz w:val="19"/>
                <w:szCs w:val="19"/>
                <w:color w:val="auto"/>
              </w:rPr>
            </w:pPr>
          </w:p>
        </w:tc>
        <w:tc>
          <w:tcPr>
            <w:tcW w:w="2120" w:type="dxa"/>
            <w:vAlign w:val="bottom"/>
            <w:gridSpan w:val="2"/>
            <w:shd w:val="clear" w:color="auto" w:fill="0C479D"/>
          </w:tcPr>
          <w:p>
            <w:pPr>
              <w:jc w:val="right"/>
              <w:ind w:right="49"/>
              <w:spacing w:after="0"/>
              <w:rPr>
                <w:sz w:val="20"/>
                <w:szCs w:val="20"/>
                <w:color w:val="auto"/>
              </w:rPr>
            </w:pPr>
            <w:r>
              <w:rPr>
                <w:rFonts w:ascii="Arial" w:cs="Arial" w:eastAsia="Arial" w:hAnsi="Arial"/>
                <w:sz w:val="20"/>
                <w:szCs w:val="20"/>
                <w:color w:val="FFFFFF"/>
              </w:rPr>
              <w:t>Three Months Ended</w:t>
            </w:r>
          </w:p>
        </w:tc>
      </w:tr>
      <w:tr>
        <w:trPr>
          <w:trHeight w:val="305"/>
        </w:trPr>
        <w:tc>
          <w:tcPr>
            <w:tcW w:w="8080" w:type="dxa"/>
            <w:vAlign w:val="bottom"/>
            <w:shd w:val="clear" w:color="auto" w:fill="0C479D"/>
          </w:tcPr>
          <w:p>
            <w:pPr>
              <w:ind w:left="40"/>
              <w:spacing w:after="0"/>
              <w:rPr>
                <w:sz w:val="20"/>
                <w:szCs w:val="20"/>
                <w:color w:val="auto"/>
              </w:rPr>
            </w:pPr>
            <w:r>
              <w:rPr>
                <w:rFonts w:ascii="Arial" w:cs="Arial" w:eastAsia="Arial" w:hAnsi="Arial"/>
                <w:sz w:val="20"/>
                <w:szCs w:val="20"/>
                <w:i w:val="1"/>
                <w:iCs w:val="1"/>
                <w:color w:val="FFFFFF"/>
              </w:rPr>
              <w:t>Dollars in millions (unless otherwise noted)</w:t>
            </w:r>
          </w:p>
        </w:tc>
        <w:tc>
          <w:tcPr>
            <w:tcW w:w="2120" w:type="dxa"/>
            <w:vAlign w:val="bottom"/>
            <w:gridSpan w:val="2"/>
            <w:shd w:val="clear" w:color="auto" w:fill="0C479D"/>
          </w:tcPr>
          <w:p>
            <w:pPr>
              <w:jc w:val="right"/>
              <w:ind w:right="529"/>
              <w:spacing w:after="0"/>
              <w:rPr>
                <w:sz w:val="20"/>
                <w:szCs w:val="20"/>
                <w:color w:val="auto"/>
              </w:rPr>
            </w:pPr>
            <w:r>
              <w:rPr>
                <w:rFonts w:ascii="Arial" w:cs="Arial" w:eastAsia="Arial" w:hAnsi="Arial"/>
                <w:sz w:val="20"/>
                <w:szCs w:val="20"/>
                <w:color w:val="FFFFFF"/>
              </w:rPr>
              <w:t>March 31,</w:t>
            </w:r>
          </w:p>
        </w:tc>
      </w:tr>
      <w:tr>
        <w:trPr>
          <w:trHeight w:val="304"/>
        </w:trPr>
        <w:tc>
          <w:tcPr>
            <w:tcW w:w="8080" w:type="dxa"/>
            <w:vAlign w:val="bottom"/>
            <w:tcBorders>
              <w:bottom w:val="single" w:sz="8" w:color="0C479D"/>
            </w:tcBorders>
            <w:shd w:val="clear" w:color="auto" w:fill="0C479D"/>
          </w:tcPr>
          <w:p>
            <w:pPr>
              <w:spacing w:after="0"/>
              <w:rPr>
                <w:sz w:val="24"/>
                <w:szCs w:val="24"/>
                <w:color w:val="auto"/>
              </w:rPr>
            </w:pPr>
          </w:p>
        </w:tc>
        <w:tc>
          <w:tcPr>
            <w:tcW w:w="10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20"/>
                <w:szCs w:val="20"/>
                <w:color w:val="FFFFFF"/>
              </w:rPr>
              <w:t>2026</w:t>
            </w:r>
          </w:p>
        </w:tc>
        <w:tc>
          <w:tcPr>
            <w:tcW w:w="1060" w:type="dxa"/>
            <w:vAlign w:val="bottom"/>
            <w:tcBorders>
              <w:bottom w:val="single" w:sz="8" w:color="0C479D"/>
            </w:tcBorders>
            <w:shd w:val="clear" w:color="auto" w:fill="0C479D"/>
          </w:tcPr>
          <w:p>
            <w:pPr>
              <w:jc w:val="right"/>
              <w:spacing w:after="0"/>
              <w:rPr>
                <w:sz w:val="20"/>
                <w:szCs w:val="20"/>
                <w:color w:val="auto"/>
              </w:rPr>
            </w:pPr>
            <w:r>
              <w:rPr>
                <w:rFonts w:ascii="Arial" w:cs="Arial" w:eastAsia="Arial" w:hAnsi="Arial"/>
                <w:sz w:val="20"/>
                <w:szCs w:val="20"/>
                <w:color w:val="FFFFFF"/>
              </w:rPr>
              <w:t>2025</w:t>
            </w:r>
          </w:p>
        </w:tc>
      </w:tr>
      <w:tr>
        <w:trPr>
          <w:trHeight w:val="255"/>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 xml:space="preserve">Earnings per common share </w:t>
            </w:r>
            <w:r>
              <w:rPr>
                <w:rFonts w:ascii="Arial" w:cs="Arial" w:eastAsia="Arial" w:hAnsi="Arial"/>
                <w:sz w:val="18"/>
                <w:szCs w:val="18"/>
                <w:b w:val="1"/>
                <w:bCs w:val="1"/>
                <w:i w:val="1"/>
                <w:iCs w:val="1"/>
                <w:color w:val="auto"/>
              </w:rPr>
              <w:t>(U.S. dollars)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b w:val="1"/>
                <w:bCs w:val="1"/>
                <w:color w:val="auto"/>
              </w:rPr>
              <w:t>1.00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1.76</w:t>
            </w:r>
          </w:p>
        </w:tc>
      </w:tr>
      <w:tr>
        <w:trPr>
          <w:trHeight w:val="279"/>
        </w:trPr>
        <w:tc>
          <w:tcPr>
            <w:tcW w:w="80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 xml:space="preserve">Earnings per common share - assuming dilution </w:t>
            </w:r>
            <w:r>
              <w:rPr>
                <w:rFonts w:ascii="Arial" w:cs="Arial" w:eastAsia="Arial" w:hAnsi="Arial"/>
                <w:sz w:val="18"/>
                <w:szCs w:val="18"/>
                <w:b w:val="1"/>
                <w:bCs w:val="1"/>
                <w:i w:val="1"/>
                <w:iCs w:val="1"/>
                <w:color w:val="auto"/>
              </w:rPr>
              <w:t>(U.S. dollars)</w:t>
            </w:r>
          </w:p>
        </w:tc>
        <w:tc>
          <w:tcPr>
            <w:tcW w:w="106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1.00</w:t>
            </w:r>
          </w:p>
        </w:tc>
        <w:tc>
          <w:tcPr>
            <w:tcW w:w="106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1.76</w:t>
            </w:r>
          </w:p>
        </w:tc>
      </w:tr>
      <w:tr>
        <w:trPr>
          <w:trHeight w:val="295"/>
        </w:trPr>
        <w:tc>
          <w:tcPr>
            <w:tcW w:w="8080" w:type="dxa"/>
            <w:vAlign w:val="bottom"/>
          </w:tcPr>
          <w:p>
            <w:pPr>
              <w:ind w:left="20"/>
              <w:spacing w:after="0"/>
              <w:rPr>
                <w:sz w:val="20"/>
                <w:szCs w:val="20"/>
                <w:color w:val="auto"/>
              </w:rPr>
            </w:pPr>
            <w:r>
              <w:rPr>
                <w:rFonts w:ascii="Arial" w:cs="Arial" w:eastAsia="Arial" w:hAnsi="Arial"/>
                <w:sz w:val="18"/>
                <w:szCs w:val="18"/>
                <w:b w:val="1"/>
                <w:bCs w:val="1"/>
                <w:color w:val="0C479D"/>
              </w:rPr>
              <w:t>Dividends on common stock</w:t>
            </w:r>
          </w:p>
        </w:tc>
        <w:tc>
          <w:tcPr>
            <w:tcW w:w="1060" w:type="dxa"/>
            <w:vAlign w:val="bottom"/>
            <w:shd w:val="clear" w:color="auto" w:fill="DCDDDE"/>
          </w:tcPr>
          <w:p>
            <w:pPr>
              <w:spacing w:after="0"/>
              <w:rPr>
                <w:sz w:val="24"/>
                <w:szCs w:val="24"/>
                <w:color w:val="auto"/>
              </w:rPr>
            </w:pPr>
          </w:p>
        </w:tc>
        <w:tc>
          <w:tcPr>
            <w:tcW w:w="1060" w:type="dxa"/>
            <w:vAlign w:val="bottom"/>
          </w:tcPr>
          <w:p>
            <w:pPr>
              <w:spacing w:after="0"/>
              <w:rPr>
                <w:sz w:val="24"/>
                <w:szCs w:val="24"/>
                <w:color w:val="auto"/>
              </w:rPr>
            </w:pPr>
          </w:p>
        </w:tc>
      </w:tr>
      <w:tr>
        <w:trPr>
          <w:trHeight w:val="262"/>
        </w:trPr>
        <w:tc>
          <w:tcPr>
            <w:tcW w:w="808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4,334</w:t>
            </w:r>
          </w:p>
        </w:tc>
        <w:tc>
          <w:tcPr>
            <w:tcW w:w="1060" w:type="dxa"/>
            <w:vAlign w:val="bottom"/>
          </w:tcPr>
          <w:p>
            <w:pPr>
              <w:jc w:val="right"/>
              <w:spacing w:after="0"/>
              <w:rPr>
                <w:sz w:val="20"/>
                <w:szCs w:val="20"/>
                <w:color w:val="auto"/>
              </w:rPr>
            </w:pPr>
            <w:r>
              <w:rPr>
                <w:rFonts w:ascii="Arial" w:cs="Arial" w:eastAsia="Arial" w:hAnsi="Arial"/>
                <w:sz w:val="18"/>
                <w:szCs w:val="18"/>
                <w:color w:val="auto"/>
              </w:rPr>
              <w:t>4,335</w:t>
            </w:r>
          </w:p>
        </w:tc>
      </w:tr>
      <w:tr>
        <w:trPr>
          <w:trHeight w:val="293"/>
        </w:trPr>
        <w:tc>
          <w:tcPr>
            <w:tcW w:w="8080" w:type="dxa"/>
            <w:vAlign w:val="bottom"/>
          </w:tcPr>
          <w:p>
            <w:pPr>
              <w:ind w:left="20"/>
              <w:spacing w:after="0"/>
              <w:rPr>
                <w:sz w:val="20"/>
                <w:szCs w:val="20"/>
                <w:color w:val="auto"/>
              </w:rPr>
            </w:pPr>
            <w:r>
              <w:rPr>
                <w:rFonts w:ascii="Arial" w:cs="Arial" w:eastAsia="Arial" w:hAnsi="Arial"/>
                <w:sz w:val="18"/>
                <w:szCs w:val="18"/>
                <w:color w:val="auto"/>
              </w:rPr>
              <w:t xml:space="preserve">Per common share </w:t>
            </w:r>
            <w:r>
              <w:rPr>
                <w:rFonts w:ascii="Arial" w:cs="Arial" w:eastAsia="Arial" w:hAnsi="Arial"/>
                <w:sz w:val="18"/>
                <w:szCs w:val="18"/>
                <w:i w:val="1"/>
                <w:iCs w:val="1"/>
                <w:color w:val="auto"/>
              </w:rPr>
              <w:t>(U.S. dollars)</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1.03</w:t>
            </w:r>
          </w:p>
        </w:tc>
        <w:tc>
          <w:tcPr>
            <w:tcW w:w="106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89"/>
        </w:trPr>
        <w:tc>
          <w:tcPr>
            <w:tcW w:w="8080" w:type="dxa"/>
            <w:vAlign w:val="bottom"/>
            <w:tcBorders>
              <w:top w:val="single" w:sz="8" w:color="0C479D"/>
            </w:tcBorders>
          </w:tcPr>
          <w:p>
            <w:pPr>
              <w:ind w:left="20"/>
              <w:spacing w:after="0"/>
              <w:rPr>
                <w:sz w:val="20"/>
                <w:szCs w:val="20"/>
                <w:color w:val="auto"/>
              </w:rPr>
            </w:pPr>
            <w:r>
              <w:rPr>
                <w:rFonts w:ascii="Arial" w:cs="Arial" w:eastAsia="Arial" w:hAnsi="Arial"/>
                <w:sz w:val="18"/>
                <w:szCs w:val="18"/>
                <w:b w:val="1"/>
                <w:bCs w:val="1"/>
                <w:color w:val="0C479D"/>
              </w:rPr>
              <w:t>Millions of common shares outstanding</w:t>
            </w:r>
          </w:p>
        </w:tc>
        <w:tc>
          <w:tcPr>
            <w:tcW w:w="1060" w:type="dxa"/>
            <w:vAlign w:val="bottom"/>
            <w:tcBorders>
              <w:top w:val="single" w:sz="8" w:color="0C479D"/>
            </w:tcBorders>
            <w:shd w:val="clear" w:color="auto" w:fill="DCDDDE"/>
          </w:tcPr>
          <w:p>
            <w:pPr>
              <w:spacing w:after="0"/>
              <w:rPr>
                <w:sz w:val="24"/>
                <w:szCs w:val="24"/>
                <w:color w:val="auto"/>
              </w:rPr>
            </w:pPr>
          </w:p>
        </w:tc>
        <w:tc>
          <w:tcPr>
            <w:tcW w:w="1060" w:type="dxa"/>
            <w:vAlign w:val="bottom"/>
            <w:tcBorders>
              <w:top w:val="single" w:sz="8" w:color="0C479D"/>
            </w:tcBorders>
          </w:tcPr>
          <w:p>
            <w:pPr>
              <w:spacing w:after="0"/>
              <w:rPr>
                <w:sz w:val="24"/>
                <w:szCs w:val="24"/>
                <w:color w:val="auto"/>
              </w:rPr>
            </w:pPr>
          </w:p>
        </w:tc>
      </w:tr>
      <w:tr>
        <w:trPr>
          <w:trHeight w:val="285"/>
        </w:trPr>
        <w:tc>
          <w:tcPr>
            <w:tcW w:w="8080" w:type="dxa"/>
            <w:vAlign w:val="bottom"/>
          </w:tcPr>
          <w:p>
            <w:pPr>
              <w:ind w:left="20"/>
              <w:spacing w:after="0"/>
              <w:rPr>
                <w:sz w:val="20"/>
                <w:szCs w:val="20"/>
                <w:color w:val="auto"/>
              </w:rPr>
            </w:pPr>
            <w:r>
              <w:rPr>
                <w:rFonts w:ascii="Arial" w:cs="Arial" w:eastAsia="Arial" w:hAnsi="Arial"/>
                <w:sz w:val="18"/>
                <w:szCs w:val="18"/>
                <w:color w:val="auto"/>
              </w:rPr>
              <w:t>Average - assuming dilution</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4,202</w:t>
            </w:r>
          </w:p>
        </w:tc>
        <w:tc>
          <w:tcPr>
            <w:tcW w:w="1060" w:type="dxa"/>
            <w:vAlign w:val="bottom"/>
          </w:tcPr>
          <w:p>
            <w:pPr>
              <w:jc w:val="right"/>
              <w:spacing w:after="0"/>
              <w:rPr>
                <w:sz w:val="20"/>
                <w:szCs w:val="20"/>
                <w:color w:val="auto"/>
              </w:rPr>
            </w:pPr>
            <w:r>
              <w:rPr>
                <w:rFonts w:ascii="Arial" w:cs="Arial" w:eastAsia="Arial" w:hAnsi="Arial"/>
                <w:sz w:val="18"/>
                <w:szCs w:val="18"/>
                <w:color w:val="auto"/>
              </w:rPr>
              <w:t>4,372</w:t>
            </w:r>
          </w:p>
        </w:tc>
      </w:tr>
      <w:tr>
        <w:trPr>
          <w:trHeight w:val="289"/>
        </w:trPr>
        <w:tc>
          <w:tcPr>
            <w:tcW w:w="8080" w:type="dxa"/>
            <w:vAlign w:val="bottom"/>
            <w:tcBorders>
              <w:top w:val="single" w:sz="8" w:color="0C479D"/>
            </w:tcBorders>
          </w:tcPr>
          <w:p>
            <w:pPr>
              <w:ind w:left="20"/>
              <w:spacing w:after="0"/>
              <w:rPr>
                <w:sz w:val="20"/>
                <w:szCs w:val="20"/>
                <w:color w:val="auto"/>
              </w:rPr>
            </w:pPr>
            <w:r>
              <w:rPr>
                <w:rFonts w:ascii="Arial" w:cs="Arial" w:eastAsia="Arial" w:hAnsi="Arial"/>
                <w:sz w:val="18"/>
                <w:szCs w:val="18"/>
                <w:b w:val="1"/>
                <w:bCs w:val="1"/>
                <w:color w:val="0C479D"/>
              </w:rPr>
              <w:t>Taxes</w:t>
            </w:r>
          </w:p>
        </w:tc>
        <w:tc>
          <w:tcPr>
            <w:tcW w:w="1060" w:type="dxa"/>
            <w:vAlign w:val="bottom"/>
            <w:tcBorders>
              <w:top w:val="single" w:sz="8" w:color="0C479D"/>
            </w:tcBorders>
            <w:shd w:val="clear" w:color="auto" w:fill="DCDDDE"/>
          </w:tcPr>
          <w:p>
            <w:pPr>
              <w:spacing w:after="0"/>
              <w:rPr>
                <w:sz w:val="24"/>
                <w:szCs w:val="24"/>
                <w:color w:val="auto"/>
              </w:rPr>
            </w:pPr>
          </w:p>
        </w:tc>
        <w:tc>
          <w:tcPr>
            <w:tcW w:w="1060" w:type="dxa"/>
            <w:vAlign w:val="bottom"/>
            <w:tcBorders>
              <w:top w:val="single" w:sz="8" w:color="0C479D"/>
            </w:tcBorders>
          </w:tcPr>
          <w:p>
            <w:pPr>
              <w:spacing w:after="0"/>
              <w:rPr>
                <w:sz w:val="24"/>
                <w:szCs w:val="24"/>
                <w:color w:val="auto"/>
              </w:rPr>
            </w:pPr>
          </w:p>
        </w:tc>
      </w:tr>
      <w:tr>
        <w:trPr>
          <w:trHeight w:val="262"/>
        </w:trPr>
        <w:tc>
          <w:tcPr>
            <w:tcW w:w="80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2,495</w:t>
            </w:r>
          </w:p>
        </w:tc>
        <w:tc>
          <w:tcPr>
            <w:tcW w:w="106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93"/>
        </w:trPr>
        <w:tc>
          <w:tcPr>
            <w:tcW w:w="8080" w:type="dxa"/>
            <w:vAlign w:val="bottom"/>
          </w:tcPr>
          <w:p>
            <w:pPr>
              <w:ind w:left="20"/>
              <w:spacing w:after="0"/>
              <w:rPr>
                <w:sz w:val="20"/>
                <w:szCs w:val="20"/>
                <w:color w:val="auto"/>
              </w:rPr>
            </w:pPr>
            <w:r>
              <w:rPr>
                <w:rFonts w:ascii="Arial" w:cs="Arial" w:eastAsia="Arial" w:hAnsi="Arial"/>
                <w:sz w:val="18"/>
                <w:szCs w:val="18"/>
                <w:color w:val="auto"/>
              </w:rPr>
              <w:t>Total other taxes and duties</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6,775</w:t>
            </w:r>
          </w:p>
        </w:tc>
        <w:tc>
          <w:tcPr>
            <w:tcW w:w="1060" w:type="dxa"/>
            <w:vAlign w:val="bottom"/>
          </w:tcPr>
          <w:p>
            <w:pPr>
              <w:jc w:val="right"/>
              <w:spacing w:after="0"/>
              <w:rPr>
                <w:sz w:val="20"/>
                <w:szCs w:val="20"/>
                <w:color w:val="auto"/>
              </w:rPr>
            </w:pPr>
            <w:r>
              <w:rPr>
                <w:rFonts w:ascii="Arial" w:cs="Arial" w:eastAsia="Arial" w:hAnsi="Arial"/>
                <w:sz w:val="18"/>
                <w:szCs w:val="18"/>
                <w:color w:val="auto"/>
              </w:rPr>
              <w:t>7,066</w:t>
            </w:r>
          </w:p>
        </w:tc>
      </w:tr>
      <w:tr>
        <w:trPr>
          <w:trHeight w:val="249"/>
        </w:trPr>
        <w:tc>
          <w:tcPr>
            <w:tcW w:w="8080" w:type="dxa"/>
            <w:vAlign w:val="bottom"/>
            <w:tcBorders>
              <w:top w:val="single" w:sz="8" w:color="0C479D"/>
            </w:tcBorders>
          </w:tcPr>
          <w:p>
            <w:pPr>
              <w:ind w:left="20"/>
              <w:spacing w:after="0"/>
              <w:rPr>
                <w:sz w:val="20"/>
                <w:szCs w:val="20"/>
                <w:color w:val="auto"/>
              </w:rPr>
            </w:pPr>
            <w:r>
              <w:rPr>
                <w:rFonts w:ascii="Arial" w:cs="Arial" w:eastAsia="Arial" w:hAnsi="Arial"/>
                <w:sz w:val="18"/>
                <w:szCs w:val="18"/>
                <w:b w:val="1"/>
                <w:bCs w:val="1"/>
                <w:color w:val="auto"/>
              </w:rPr>
              <w:t>Total taxes</w:t>
            </w:r>
          </w:p>
        </w:tc>
        <w:tc>
          <w:tcPr>
            <w:tcW w:w="106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9,270</w:t>
            </w:r>
          </w:p>
        </w:tc>
        <w:tc>
          <w:tcPr>
            <w:tcW w:w="1060" w:type="dxa"/>
            <w:vAlign w:val="bottom"/>
            <w:tcBorders>
              <w:top w:val="single" w:sz="8" w:color="0C479D"/>
            </w:tcBorders>
          </w:tcPr>
          <w:p>
            <w:pPr>
              <w:jc w:val="right"/>
              <w:spacing w:after="0"/>
              <w:rPr>
                <w:sz w:val="20"/>
                <w:szCs w:val="20"/>
                <w:color w:val="auto"/>
              </w:rPr>
            </w:pPr>
            <w:r>
              <w:rPr>
                <w:rFonts w:ascii="Arial" w:cs="Arial" w:eastAsia="Arial" w:hAnsi="Arial"/>
                <w:sz w:val="18"/>
                <w:szCs w:val="18"/>
                <w:b w:val="1"/>
                <w:bCs w:val="1"/>
                <w:color w:val="auto"/>
              </w:rPr>
              <w:t>10,633</w:t>
            </w:r>
          </w:p>
        </w:tc>
      </w:tr>
      <w:tr>
        <w:trPr>
          <w:trHeight w:val="271"/>
        </w:trPr>
        <w:tc>
          <w:tcPr>
            <w:tcW w:w="8080" w:type="dxa"/>
            <w:vAlign w:val="bottom"/>
          </w:tcPr>
          <w:p>
            <w:pPr>
              <w:ind w:left="20"/>
              <w:spacing w:after="0"/>
              <w:rPr>
                <w:sz w:val="20"/>
                <w:szCs w:val="20"/>
                <w:color w:val="auto"/>
              </w:rPr>
            </w:pPr>
            <w:r>
              <w:rPr>
                <w:rFonts w:ascii="Arial" w:cs="Arial" w:eastAsia="Arial" w:hAnsi="Arial"/>
                <w:sz w:val="18"/>
                <w:szCs w:val="18"/>
                <w:color w:val="auto"/>
              </w:rPr>
              <w:t>Sales-based taxes</w:t>
            </w:r>
          </w:p>
        </w:tc>
        <w:tc>
          <w:tcPr>
            <w:tcW w:w="10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5,177</w:t>
            </w:r>
          </w:p>
        </w:tc>
        <w:tc>
          <w:tcPr>
            <w:tcW w:w="1060" w:type="dxa"/>
            <w:vAlign w:val="bottom"/>
          </w:tcPr>
          <w:p>
            <w:pPr>
              <w:jc w:val="right"/>
              <w:spacing w:after="0"/>
              <w:rPr>
                <w:sz w:val="20"/>
                <w:szCs w:val="20"/>
                <w:color w:val="auto"/>
              </w:rPr>
            </w:pPr>
            <w:r>
              <w:rPr>
                <w:rFonts w:ascii="Arial" w:cs="Arial" w:eastAsia="Arial" w:hAnsi="Arial"/>
                <w:sz w:val="18"/>
                <w:szCs w:val="18"/>
                <w:color w:val="auto"/>
              </w:rPr>
              <w:t>5,470</w:t>
            </w:r>
          </w:p>
        </w:tc>
      </w:tr>
      <w:tr>
        <w:trPr>
          <w:trHeight w:val="309"/>
        </w:trPr>
        <w:tc>
          <w:tcPr>
            <w:tcW w:w="80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taxes including sales-based taxes</w:t>
            </w:r>
          </w:p>
        </w:tc>
        <w:tc>
          <w:tcPr>
            <w:tcW w:w="106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14,447</w:t>
            </w:r>
          </w:p>
        </w:tc>
        <w:tc>
          <w:tcPr>
            <w:tcW w:w="106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16,103</w:t>
            </w:r>
          </w:p>
        </w:tc>
      </w:tr>
      <w:tr>
        <w:trPr>
          <w:trHeight w:val="245"/>
        </w:trPr>
        <w:tc>
          <w:tcPr>
            <w:tcW w:w="80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color w:val="auto"/>
              </w:rPr>
              <w:t>ExxonMobil share of income taxes of equity companies (non-GAAP)</w:t>
            </w:r>
          </w:p>
        </w:tc>
        <w:tc>
          <w:tcPr>
            <w:tcW w:w="1060" w:type="dxa"/>
            <w:vAlign w:val="bottom"/>
            <w:tcBorders>
              <w:top w:val="single" w:sz="8" w:color="0D46A1"/>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477</w:t>
            </w:r>
          </w:p>
        </w:tc>
        <w:tc>
          <w:tcPr>
            <w:tcW w:w="1060" w:type="dxa"/>
            <w:vAlign w:val="bottom"/>
            <w:tcBorders>
              <w:top w:val="single" w:sz="8" w:color="0D46A1"/>
              <w:bottom w:val="single" w:sz="8" w:color="0C479D"/>
            </w:tcBorders>
          </w:tcPr>
          <w:p>
            <w:pPr>
              <w:jc w:val="right"/>
              <w:spacing w:after="0"/>
              <w:rPr>
                <w:sz w:val="20"/>
                <w:szCs w:val="20"/>
                <w:color w:val="auto"/>
              </w:rPr>
            </w:pPr>
            <w:r>
              <w:rPr>
                <w:rFonts w:ascii="Arial" w:cs="Arial" w:eastAsia="Arial" w:hAnsi="Arial"/>
                <w:sz w:val="18"/>
                <w:szCs w:val="18"/>
                <w:color w:val="auto"/>
              </w:rPr>
              <w:t>657</w:t>
            </w:r>
          </w:p>
        </w:tc>
      </w:tr>
    </w:tbl>
    <w:p>
      <w:pPr>
        <w:spacing w:after="0" w:line="200" w:lineRule="exact"/>
        <w:rPr>
          <w:sz w:val="20"/>
          <w:szCs w:val="20"/>
          <w:color w:val="auto"/>
        </w:rPr>
      </w:pPr>
    </w:p>
    <w:p>
      <w:pPr>
        <w:sectPr>
          <w:pgSz w:w="11900" w:h="16838" w:orient="portrait"/>
          <w:cols w:equalWidth="0" w:num="1">
            <w:col w:w="10200"/>
          </w:cols>
          <w:pgMar w:left="840" w:top="692" w:right="85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200"/>
          </w:cols>
          <w:pgMar w:left="840" w:top="692" w:right="85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9"/>
              </w:rPr>
              <w:t>ATTACHMENT I-b</w:t>
            </w:r>
          </w:p>
        </w:tc>
        <w:tc>
          <w:tcPr>
            <w:tcW w:w="0" w:type="dxa"/>
            <w:vAlign w:val="bottom"/>
          </w:tcPr>
          <w:p>
            <w:pPr>
              <w:spacing w:after="0"/>
              <w:rPr>
                <w:sz w:val="1"/>
                <w:szCs w:val="1"/>
                <w:color w:val="auto"/>
              </w:rPr>
            </w:pPr>
          </w:p>
        </w:tc>
      </w:tr>
      <w:tr>
        <w:trPr>
          <w:trHeight w:val="628"/>
        </w:trPr>
        <w:tc>
          <w:tcPr>
            <w:tcW w:w="7320" w:type="dxa"/>
            <w:vAlign w:val="bottom"/>
          </w:tcPr>
          <w:p>
            <w:pPr>
              <w:spacing w:after="0"/>
              <w:rPr>
                <w:sz w:val="20"/>
                <w:szCs w:val="20"/>
                <w:color w:val="auto"/>
              </w:rPr>
            </w:pPr>
            <w:r>
              <w:rPr>
                <w:rFonts w:ascii="Arial" w:cs="Arial" w:eastAsia="Arial" w:hAnsi="Arial"/>
                <w:sz w:val="25"/>
                <w:szCs w:val="25"/>
                <w:b w:val="1"/>
                <w:bCs w:val="1"/>
                <w:color w:val="0C479D"/>
              </w:rPr>
              <w:t>CONDENSED CONSOLIDATED BALANCE SHEET</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320" w:type="dxa"/>
            <w:vAlign w:val="bottom"/>
          </w:tcPr>
          <w:p>
            <w:pPr>
              <w:spacing w:after="0"/>
              <w:rPr>
                <w:sz w:val="20"/>
                <w:szCs w:val="20"/>
                <w:color w:val="auto"/>
              </w:rPr>
            </w:pPr>
            <w:r>
              <w:rPr>
                <w:rFonts w:ascii="Arial" w:cs="Arial" w:eastAsia="Arial" w:hAnsi="Arial"/>
                <w:sz w:val="22"/>
                <w:szCs w:val="22"/>
                <w:b w:val="1"/>
                <w:bCs w:val="1"/>
                <w:i w:val="1"/>
                <w:iCs w:val="1"/>
                <w:color w:val="0C479D"/>
              </w:rPr>
              <w:t>(Preliminary)</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vMerge w:val="restart"/>
            <w:shd w:val="clear" w:color="auto" w:fill="0C479D"/>
          </w:tcPr>
          <w:p>
            <w:pPr>
              <w:spacing w:after="0"/>
              <w:rPr>
                <w:sz w:val="20"/>
                <w:szCs w:val="20"/>
                <w:color w:val="auto"/>
              </w:rPr>
            </w:pPr>
            <w:r>
              <w:rPr>
                <w:rFonts w:ascii="Arial" w:cs="Arial" w:eastAsia="Arial" w:hAnsi="Arial"/>
                <w:sz w:val="20"/>
                <w:szCs w:val="20"/>
                <w:i w:val="1"/>
                <w:iCs w:val="1"/>
                <w:color w:val="FFFFFF"/>
              </w:rPr>
              <w:t>Dollars in millions (unless otherwise noted)</w:t>
            </w:r>
          </w:p>
        </w:tc>
        <w:tc>
          <w:tcPr>
            <w:tcW w:w="1460" w:type="dxa"/>
            <w:vAlign w:val="bottom"/>
            <w:tcBorders>
              <w:right w:val="single" w:sz="8" w:color="auto"/>
            </w:tcBorders>
            <w:shd w:val="clear" w:color="auto" w:fill="000000"/>
          </w:tcPr>
          <w:p>
            <w:pPr>
              <w:jc w:val="right"/>
              <w:ind w:right="209"/>
              <w:spacing w:after="0" w:line="209" w:lineRule="exact"/>
              <w:rPr>
                <w:sz w:val="20"/>
                <w:szCs w:val="20"/>
                <w:color w:val="auto"/>
              </w:rPr>
            </w:pPr>
            <w:r>
              <w:rPr>
                <w:rFonts w:ascii="Arial" w:cs="Arial" w:eastAsia="Arial" w:hAnsi="Arial"/>
                <w:sz w:val="20"/>
                <w:szCs w:val="20"/>
                <w:color w:val="FFFFFF"/>
              </w:rPr>
              <w:t>March 31,</w:t>
            </w:r>
          </w:p>
        </w:tc>
        <w:tc>
          <w:tcPr>
            <w:tcW w:w="1400" w:type="dxa"/>
            <w:vAlign w:val="bottom"/>
            <w:shd w:val="clear" w:color="auto" w:fill="0C479D"/>
          </w:tcPr>
          <w:p>
            <w:pPr>
              <w:jc w:val="center"/>
              <w:spacing w:after="0" w:line="209" w:lineRule="exact"/>
              <w:rPr>
                <w:sz w:val="20"/>
                <w:szCs w:val="20"/>
                <w:color w:val="auto"/>
              </w:rPr>
            </w:pPr>
            <w:r>
              <w:rPr>
                <w:rFonts w:ascii="Arial" w:cs="Arial" w:eastAsia="Arial" w:hAnsi="Arial"/>
                <w:sz w:val="20"/>
                <w:szCs w:val="20"/>
                <w:color w:val="FFFFFF"/>
                <w:w w:val="98"/>
              </w:rPr>
              <w:t>December 31,</w:t>
            </w:r>
          </w:p>
        </w:tc>
        <w:tc>
          <w:tcPr>
            <w:tcW w:w="0" w:type="dxa"/>
            <w:vAlign w:val="bottom"/>
          </w:tcPr>
          <w:p>
            <w:pPr>
              <w:spacing w:after="0"/>
              <w:rPr>
                <w:sz w:val="1"/>
                <w:szCs w:val="1"/>
                <w:color w:val="auto"/>
              </w:rPr>
            </w:pPr>
          </w:p>
        </w:tc>
      </w:tr>
      <w:tr>
        <w:trPr>
          <w:trHeight w:val="158"/>
        </w:trPr>
        <w:tc>
          <w:tcPr>
            <w:tcW w:w="7320" w:type="dxa"/>
            <w:vAlign w:val="bottom"/>
            <w:vMerge w:val="continue"/>
            <w:shd w:val="clear" w:color="auto" w:fill="0C479D"/>
          </w:tcPr>
          <w:p>
            <w:pPr>
              <w:spacing w:after="0"/>
              <w:rPr>
                <w:sz w:val="13"/>
                <w:szCs w:val="13"/>
                <w:color w:val="auto"/>
              </w:rPr>
            </w:pPr>
          </w:p>
        </w:tc>
        <w:tc>
          <w:tcPr>
            <w:tcW w:w="1460" w:type="dxa"/>
            <w:vAlign w:val="bottom"/>
            <w:tcBorders>
              <w:right w:val="single" w:sz="8" w:color="auto"/>
            </w:tcBorders>
            <w:vMerge w:val="restart"/>
            <w:shd w:val="clear" w:color="auto" w:fill="000000"/>
          </w:tcPr>
          <w:p>
            <w:pPr>
              <w:jc w:val="right"/>
              <w:ind w:right="429"/>
              <w:spacing w:after="0"/>
              <w:rPr>
                <w:sz w:val="20"/>
                <w:szCs w:val="20"/>
                <w:color w:val="auto"/>
              </w:rPr>
            </w:pPr>
            <w:r>
              <w:rPr>
                <w:rFonts w:ascii="Arial" w:cs="Arial" w:eastAsia="Arial" w:hAnsi="Arial"/>
                <w:sz w:val="20"/>
                <w:szCs w:val="20"/>
                <w:color w:val="FFFFFF"/>
              </w:rPr>
              <w:t>2026</w:t>
            </w:r>
          </w:p>
        </w:tc>
        <w:tc>
          <w:tcPr>
            <w:tcW w:w="1400" w:type="dxa"/>
            <w:vAlign w:val="bottom"/>
            <w:vMerge w:val="restart"/>
            <w:shd w:val="clear" w:color="auto" w:fill="0C479D"/>
          </w:tcPr>
          <w:p>
            <w:pPr>
              <w:jc w:val="center"/>
              <w:spacing w:after="0"/>
              <w:rPr>
                <w:sz w:val="20"/>
                <w:szCs w:val="20"/>
                <w:color w:val="auto"/>
              </w:rPr>
            </w:pPr>
            <w:r>
              <w:rPr>
                <w:rFonts w:ascii="Arial" w:cs="Arial" w:eastAsia="Arial" w:hAnsi="Arial"/>
                <w:sz w:val="20"/>
                <w:szCs w:val="20"/>
                <w:color w:val="FFFFFF"/>
                <w:w w:val="98"/>
              </w:rPr>
              <w:t>2025</w:t>
            </w:r>
          </w:p>
        </w:tc>
        <w:tc>
          <w:tcPr>
            <w:tcW w:w="0" w:type="dxa"/>
            <w:vAlign w:val="bottom"/>
          </w:tcPr>
          <w:p>
            <w:pPr>
              <w:spacing w:after="0"/>
              <w:rPr>
                <w:sz w:val="1"/>
                <w:szCs w:val="1"/>
                <w:color w:val="auto"/>
              </w:rPr>
            </w:pPr>
          </w:p>
        </w:tc>
      </w:tr>
      <w:tr>
        <w:trPr>
          <w:trHeight w:val="105"/>
        </w:trPr>
        <w:tc>
          <w:tcPr>
            <w:tcW w:w="7320" w:type="dxa"/>
            <w:vAlign w:val="bottom"/>
            <w:tcBorders>
              <w:bottom w:val="single" w:sz="8" w:color="0C479D"/>
            </w:tcBorders>
            <w:shd w:val="clear" w:color="auto" w:fill="0C479D"/>
          </w:tcPr>
          <w:p>
            <w:pPr>
              <w:spacing w:after="0"/>
              <w:rPr>
                <w:sz w:val="9"/>
                <w:szCs w:val="9"/>
                <w:color w:val="auto"/>
              </w:rPr>
            </w:pPr>
          </w:p>
        </w:tc>
        <w:tc>
          <w:tcPr>
            <w:tcW w:w="1460" w:type="dxa"/>
            <w:vAlign w:val="bottom"/>
            <w:tcBorders>
              <w:bottom w:val="single" w:sz="8" w:color="auto"/>
              <w:right w:val="single" w:sz="8" w:color="auto"/>
            </w:tcBorders>
            <w:vMerge w:val="continue"/>
            <w:shd w:val="clear" w:color="auto" w:fill="000000"/>
          </w:tcPr>
          <w:p>
            <w:pPr>
              <w:spacing w:after="0"/>
              <w:rPr>
                <w:sz w:val="9"/>
                <w:szCs w:val="9"/>
                <w:color w:val="auto"/>
              </w:rPr>
            </w:pPr>
          </w:p>
        </w:tc>
        <w:tc>
          <w:tcPr>
            <w:tcW w:w="1400" w:type="dxa"/>
            <w:vAlign w:val="bottom"/>
            <w:tcBorders>
              <w:bottom w:val="single" w:sz="8" w:color="0C479D"/>
            </w:tcBorders>
            <w:vMerge w:val="continue"/>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7320" w:type="dxa"/>
            <w:vAlign w:val="bottom"/>
          </w:tcPr>
          <w:p>
            <w:pPr>
              <w:spacing w:after="0"/>
              <w:rPr>
                <w:sz w:val="20"/>
                <w:szCs w:val="20"/>
                <w:color w:val="auto"/>
              </w:rPr>
            </w:pPr>
            <w:r>
              <w:rPr>
                <w:rFonts w:ascii="Arial" w:cs="Arial" w:eastAsia="Arial" w:hAnsi="Arial"/>
                <w:sz w:val="18"/>
                <w:szCs w:val="18"/>
                <w:b w:val="1"/>
                <w:bCs w:val="1"/>
                <w:color w:val="0C479D"/>
              </w:rPr>
              <w:t>ASSETS</w:t>
            </w:r>
          </w:p>
        </w:tc>
        <w:tc>
          <w:tcPr>
            <w:tcW w:w="1460" w:type="dxa"/>
            <w:vAlign w:val="bottom"/>
            <w:tcBorders>
              <w:right w:val="single" w:sz="8" w:color="DCDDDE"/>
            </w:tcBorders>
            <w:shd w:val="clear" w:color="auto" w:fill="DCDDDE"/>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b w:val="1"/>
                <w:bCs w:val="1"/>
                <w:color w:val="0C479D"/>
              </w:rPr>
              <w:t>Current assets</w:t>
            </w:r>
          </w:p>
        </w:tc>
        <w:tc>
          <w:tcPr>
            <w:tcW w:w="1460" w:type="dxa"/>
            <w:vAlign w:val="bottom"/>
            <w:tcBorders>
              <w:right w:val="single" w:sz="8" w:color="DCDDDE"/>
            </w:tcBorders>
            <w:shd w:val="clear" w:color="auto" w:fill="DCDDDE"/>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8,435</w:t>
            </w:r>
          </w:p>
        </w:tc>
        <w:tc>
          <w:tcPr>
            <w:tcW w:w="1400" w:type="dxa"/>
            <w:vAlign w:val="bottom"/>
          </w:tcPr>
          <w:p>
            <w:pPr>
              <w:jc w:val="right"/>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Notes and accounts receivable – net</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61,783</w:t>
            </w:r>
          </w:p>
        </w:tc>
        <w:tc>
          <w:tcPr>
            <w:tcW w:w="1400" w:type="dxa"/>
            <w:vAlign w:val="bottom"/>
          </w:tcPr>
          <w:p>
            <w:pPr>
              <w:jc w:val="right"/>
              <w:spacing w:after="0"/>
              <w:rPr>
                <w:sz w:val="20"/>
                <w:szCs w:val="20"/>
                <w:color w:val="auto"/>
              </w:rPr>
            </w:pPr>
            <w:r>
              <w:rPr>
                <w:rFonts w:ascii="Arial" w:cs="Arial" w:eastAsia="Arial" w:hAnsi="Arial"/>
                <w:sz w:val="18"/>
                <w:szCs w:val="18"/>
                <w:color w:val="auto"/>
              </w:rPr>
              <w:t>44,562</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Inventories</w:t>
            </w:r>
          </w:p>
        </w:tc>
        <w:tc>
          <w:tcPr>
            <w:tcW w:w="1460" w:type="dxa"/>
            <w:vAlign w:val="bottom"/>
            <w:tcBorders>
              <w:right w:val="single" w:sz="8" w:color="DCDDDE"/>
            </w:tcBorders>
            <w:shd w:val="clear" w:color="auto" w:fill="DCDDDE"/>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60"/>
              <w:spacing w:after="0"/>
              <w:rPr>
                <w:sz w:val="20"/>
                <w:szCs w:val="20"/>
                <w:color w:val="auto"/>
              </w:rPr>
            </w:pPr>
            <w:r>
              <w:rPr>
                <w:rFonts w:ascii="Arial" w:cs="Arial" w:eastAsia="Arial" w:hAnsi="Arial"/>
                <w:sz w:val="18"/>
                <w:szCs w:val="18"/>
                <w:color w:val="auto"/>
              </w:rPr>
              <w:t>Crude oil, products and merchandise</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21,838</w:t>
            </w:r>
          </w:p>
        </w:tc>
        <w:tc>
          <w:tcPr>
            <w:tcW w:w="1400" w:type="dxa"/>
            <w:vAlign w:val="bottom"/>
          </w:tcPr>
          <w:p>
            <w:pPr>
              <w:jc w:val="right"/>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70"/>
        </w:trPr>
        <w:tc>
          <w:tcPr>
            <w:tcW w:w="7320" w:type="dxa"/>
            <w:vAlign w:val="bottom"/>
          </w:tcPr>
          <w:p>
            <w:pPr>
              <w:ind w:left="160"/>
              <w:spacing w:after="0"/>
              <w:rPr>
                <w:sz w:val="20"/>
                <w:szCs w:val="20"/>
                <w:color w:val="auto"/>
              </w:rPr>
            </w:pPr>
            <w:r>
              <w:rPr>
                <w:rFonts w:ascii="Arial" w:cs="Arial" w:eastAsia="Arial" w:hAnsi="Arial"/>
                <w:sz w:val="18"/>
                <w:szCs w:val="18"/>
                <w:color w:val="auto"/>
              </w:rPr>
              <w:t>Materials and supplies</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3,137</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93"/>
        </w:trPr>
        <w:tc>
          <w:tcPr>
            <w:tcW w:w="73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DCDDDE"/>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2,594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49"/>
        </w:trPr>
        <w:tc>
          <w:tcPr>
            <w:tcW w:w="732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460" w:type="dxa"/>
            <w:vAlign w:val="bottom"/>
            <w:tcBorders>
              <w:top w:val="single" w:sz="8" w:color="0C479D"/>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97,787</w:t>
            </w:r>
          </w:p>
        </w:tc>
        <w:tc>
          <w:tcPr>
            <w:tcW w:w="140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83,382</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color w:val="auto"/>
              </w:rPr>
              <w:t>Investments, advances and long-term receivables</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46,125</w:t>
            </w:r>
          </w:p>
        </w:tc>
        <w:tc>
          <w:tcPr>
            <w:tcW w:w="1400" w:type="dxa"/>
            <w:vAlign w:val="bottom"/>
          </w:tcPr>
          <w:p>
            <w:pPr>
              <w:jc w:val="right"/>
              <w:spacing w:after="0"/>
              <w:rPr>
                <w:sz w:val="20"/>
                <w:szCs w:val="20"/>
                <w:color w:val="auto"/>
              </w:rPr>
            </w:pPr>
            <w:r>
              <w:rPr>
                <w:rFonts w:ascii="Arial" w:cs="Arial" w:eastAsia="Arial" w:hAnsi="Arial"/>
                <w:sz w:val="18"/>
                <w:szCs w:val="18"/>
                <w:color w:val="auto"/>
              </w:rPr>
              <w:t>45,317</w:t>
            </w:r>
          </w:p>
        </w:tc>
        <w:tc>
          <w:tcPr>
            <w:tcW w:w="0" w:type="dxa"/>
            <w:vAlign w:val="bottom"/>
          </w:tcPr>
          <w:p>
            <w:pPr>
              <w:spacing w:after="0"/>
              <w:rPr>
                <w:sz w:val="1"/>
                <w:szCs w:val="1"/>
                <w:color w:val="auto"/>
              </w:rPr>
            </w:pPr>
          </w:p>
        </w:tc>
      </w:tr>
      <w:tr>
        <w:trPr>
          <w:trHeight w:val="256"/>
        </w:trPr>
        <w:tc>
          <w:tcPr>
            <w:tcW w:w="732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298,781</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299,373</w:t>
            </w:r>
          </w:p>
        </w:tc>
        <w:tc>
          <w:tcPr>
            <w:tcW w:w="0" w:type="dxa"/>
            <w:vAlign w:val="bottom"/>
          </w:tcPr>
          <w:p>
            <w:pPr>
              <w:spacing w:after="0"/>
              <w:rPr>
                <w:sz w:val="1"/>
                <w:szCs w:val="1"/>
                <w:color w:val="auto"/>
              </w:rPr>
            </w:pPr>
          </w:p>
        </w:tc>
      </w:tr>
      <w:tr>
        <w:trPr>
          <w:trHeight w:val="293"/>
        </w:trPr>
        <w:tc>
          <w:tcPr>
            <w:tcW w:w="7320" w:type="dxa"/>
            <w:vAlign w:val="bottom"/>
          </w:tcPr>
          <w:p>
            <w:pPr>
              <w:spacing w:after="0"/>
              <w:rPr>
                <w:sz w:val="20"/>
                <w:szCs w:val="20"/>
                <w:color w:val="auto"/>
              </w:rPr>
            </w:pPr>
            <w:r>
              <w:rPr>
                <w:rFonts w:ascii="Arial" w:cs="Arial" w:eastAsia="Arial" w:hAnsi="Arial"/>
                <w:sz w:val="18"/>
                <w:szCs w:val="18"/>
                <w:color w:val="auto"/>
              </w:rPr>
              <w:t>Other assets, including intangibles – net</w:t>
            </w:r>
          </w:p>
        </w:tc>
        <w:tc>
          <w:tcPr>
            <w:tcW w:w="1460" w:type="dxa"/>
            <w:vAlign w:val="bottom"/>
            <w:tcBorders>
              <w:bottom w:val="single" w:sz="8" w:color="DCDDDE"/>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21,717</w:t>
            </w:r>
          </w:p>
        </w:tc>
        <w:tc>
          <w:tcPr>
            <w:tcW w:w="1400" w:type="dxa"/>
            <w:vAlign w:val="bottom"/>
          </w:tcPr>
          <w:p>
            <w:pPr>
              <w:jc w:val="right"/>
              <w:spacing w:after="0"/>
              <w:rPr>
                <w:sz w:val="20"/>
                <w:szCs w:val="20"/>
                <w:color w:val="auto"/>
              </w:rPr>
            </w:pPr>
            <w:r>
              <w:rPr>
                <w:rFonts w:ascii="Arial" w:cs="Arial" w:eastAsia="Arial" w:hAnsi="Arial"/>
                <w:sz w:val="18"/>
                <w:szCs w:val="18"/>
                <w:color w:val="auto"/>
              </w:rPr>
              <w:t>20,908</w:t>
            </w:r>
          </w:p>
        </w:tc>
        <w:tc>
          <w:tcPr>
            <w:tcW w:w="0" w:type="dxa"/>
            <w:vAlign w:val="bottom"/>
          </w:tcPr>
          <w:p>
            <w:pPr>
              <w:spacing w:after="0"/>
              <w:rPr>
                <w:sz w:val="1"/>
                <w:szCs w:val="1"/>
                <w:color w:val="auto"/>
              </w:rPr>
            </w:pPr>
          </w:p>
        </w:tc>
      </w:tr>
      <w:tr>
        <w:trPr>
          <w:trHeight w:val="249"/>
        </w:trPr>
        <w:tc>
          <w:tcPr>
            <w:tcW w:w="732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top w:val="single" w:sz="8" w:color="0C479D"/>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464,410</w:t>
            </w:r>
          </w:p>
        </w:tc>
        <w:tc>
          <w:tcPr>
            <w:tcW w:w="140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448,980</w:t>
            </w:r>
          </w:p>
        </w:tc>
        <w:tc>
          <w:tcPr>
            <w:tcW w:w="0" w:type="dxa"/>
            <w:vAlign w:val="bottom"/>
          </w:tcPr>
          <w:p>
            <w:pPr>
              <w:spacing w:after="0"/>
              <w:rPr>
                <w:sz w:val="1"/>
                <w:szCs w:val="1"/>
                <w:color w:val="auto"/>
              </w:rPr>
            </w:pPr>
          </w:p>
        </w:tc>
      </w:tr>
      <w:tr>
        <w:trPr>
          <w:trHeight w:val="506"/>
        </w:trPr>
        <w:tc>
          <w:tcPr>
            <w:tcW w:w="7320" w:type="dxa"/>
            <w:vAlign w:val="bottom"/>
          </w:tcPr>
          <w:p>
            <w:pPr>
              <w:spacing w:after="0"/>
              <w:rPr>
                <w:sz w:val="20"/>
                <w:szCs w:val="20"/>
                <w:color w:val="auto"/>
              </w:rPr>
            </w:pPr>
            <w:r>
              <w:rPr>
                <w:rFonts w:ascii="Arial" w:cs="Arial" w:eastAsia="Arial" w:hAnsi="Arial"/>
                <w:sz w:val="18"/>
                <w:szCs w:val="18"/>
                <w:b w:val="1"/>
                <w:bCs w:val="1"/>
                <w:color w:val="0C479D"/>
              </w:rPr>
              <w:t>LIABILITIES</w:t>
            </w:r>
          </w:p>
        </w:tc>
        <w:tc>
          <w:tcPr>
            <w:tcW w:w="1460" w:type="dxa"/>
            <w:vAlign w:val="bottom"/>
            <w:tcBorders>
              <w:right w:val="single" w:sz="8" w:color="DCDDDE"/>
            </w:tcBorders>
            <w:shd w:val="clear" w:color="auto" w:fill="DCDDD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b w:val="1"/>
                <w:bCs w:val="1"/>
                <w:color w:val="0C479D"/>
              </w:rPr>
              <w:t>Current liabilities</w:t>
            </w:r>
          </w:p>
        </w:tc>
        <w:tc>
          <w:tcPr>
            <w:tcW w:w="1460" w:type="dxa"/>
            <w:vAlign w:val="bottom"/>
            <w:tcBorders>
              <w:right w:val="single" w:sz="8" w:color="DCDDDE"/>
            </w:tcBorders>
            <w:shd w:val="clear" w:color="auto" w:fill="DCDDDE"/>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320" w:type="dxa"/>
            <w:vAlign w:val="bottom"/>
          </w:tcPr>
          <w:p>
            <w:pPr>
              <w:spacing w:after="0"/>
              <w:rPr>
                <w:sz w:val="20"/>
                <w:szCs w:val="20"/>
                <w:color w:val="auto"/>
              </w:rPr>
            </w:pPr>
            <w:r>
              <w:rPr>
                <w:rFonts w:ascii="Arial" w:cs="Arial" w:eastAsia="Arial" w:hAnsi="Arial"/>
                <w:sz w:val="18"/>
                <w:szCs w:val="18"/>
                <w:color w:val="auto"/>
              </w:rPr>
              <w:t>Notes and loans payable</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14,531</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77,088</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60,911</w:t>
            </w:r>
          </w:p>
        </w:tc>
        <w:tc>
          <w:tcPr>
            <w:tcW w:w="0" w:type="dxa"/>
            <w:vAlign w:val="bottom"/>
          </w:tcPr>
          <w:p>
            <w:pPr>
              <w:spacing w:after="0"/>
              <w:rPr>
                <w:sz w:val="1"/>
                <w:szCs w:val="1"/>
                <w:color w:val="auto"/>
              </w:rPr>
            </w:pPr>
          </w:p>
        </w:tc>
      </w:tr>
      <w:tr>
        <w:trPr>
          <w:trHeight w:val="293"/>
        </w:trPr>
        <w:tc>
          <w:tcPr>
            <w:tcW w:w="7320" w:type="dxa"/>
            <w:vAlign w:val="bottom"/>
          </w:tcPr>
          <w:p>
            <w:pPr>
              <w:spacing w:after="0"/>
              <w:rPr>
                <w:sz w:val="20"/>
                <w:szCs w:val="20"/>
                <w:color w:val="auto"/>
              </w:rPr>
            </w:pPr>
            <w:r>
              <w:rPr>
                <w:rFonts w:ascii="Arial" w:cs="Arial" w:eastAsia="Arial" w:hAnsi="Arial"/>
                <w:sz w:val="18"/>
                <w:szCs w:val="18"/>
                <w:color w:val="auto"/>
              </w:rPr>
              <w:t>Income taxes payable</w:t>
            </w:r>
          </w:p>
        </w:tc>
        <w:tc>
          <w:tcPr>
            <w:tcW w:w="1460" w:type="dxa"/>
            <w:vAlign w:val="bottom"/>
            <w:tcBorders>
              <w:bottom w:val="single" w:sz="8" w:color="DCDDDE"/>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2,759</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49"/>
        </w:trPr>
        <w:tc>
          <w:tcPr>
            <w:tcW w:w="732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460" w:type="dxa"/>
            <w:vAlign w:val="bottom"/>
            <w:tcBorders>
              <w:top w:val="single" w:sz="8" w:color="0C479D"/>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94,378</w:t>
            </w:r>
          </w:p>
        </w:tc>
        <w:tc>
          <w:tcPr>
            <w:tcW w:w="140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72,330</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color w:val="auto"/>
              </w:rPr>
              <w:t>Long-term debt</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33,130</w:t>
            </w:r>
          </w:p>
        </w:tc>
        <w:tc>
          <w:tcPr>
            <w:tcW w:w="1400" w:type="dxa"/>
            <w:vAlign w:val="bottom"/>
          </w:tcPr>
          <w:p>
            <w:pPr>
              <w:jc w:val="right"/>
              <w:spacing w:after="0"/>
              <w:rPr>
                <w:sz w:val="20"/>
                <w:szCs w:val="20"/>
                <w:color w:val="auto"/>
              </w:rPr>
            </w:pPr>
            <w:r>
              <w:rPr>
                <w:rFonts w:ascii="Arial" w:cs="Arial" w:eastAsia="Arial" w:hAnsi="Arial"/>
                <w:sz w:val="18"/>
                <w:szCs w:val="18"/>
                <w:color w:val="auto"/>
              </w:rPr>
              <w:t>34,241</w:t>
            </w:r>
          </w:p>
        </w:tc>
        <w:tc>
          <w:tcPr>
            <w:tcW w:w="0" w:type="dxa"/>
            <w:vAlign w:val="bottom"/>
          </w:tcPr>
          <w:p>
            <w:pPr>
              <w:spacing w:after="0"/>
              <w:rPr>
                <w:sz w:val="1"/>
                <w:szCs w:val="1"/>
                <w:color w:val="auto"/>
              </w:rPr>
            </w:pPr>
          </w:p>
        </w:tc>
      </w:tr>
      <w:tr>
        <w:trPr>
          <w:trHeight w:val="256"/>
        </w:trPr>
        <w:tc>
          <w:tcPr>
            <w:tcW w:w="7320" w:type="dxa"/>
            <w:vAlign w:val="bottom"/>
          </w:tcPr>
          <w:p>
            <w:pPr>
              <w:spacing w:after="0"/>
              <w:rPr>
                <w:sz w:val="20"/>
                <w:szCs w:val="20"/>
                <w:color w:val="auto"/>
              </w:rPr>
            </w:pPr>
            <w:r>
              <w:rPr>
                <w:rFonts w:ascii="Arial" w:cs="Arial" w:eastAsia="Arial" w:hAnsi="Arial"/>
                <w:sz w:val="18"/>
                <w:szCs w:val="18"/>
                <w:color w:val="auto"/>
              </w:rPr>
              <w:t>Postretirement benefits reserves</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8,940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40,018</w:t>
            </w:r>
          </w:p>
        </w:tc>
        <w:tc>
          <w:tcPr>
            <w:tcW w:w="1400" w:type="dxa"/>
            <w:vAlign w:val="bottom"/>
          </w:tcPr>
          <w:p>
            <w:pPr>
              <w:jc w:val="right"/>
              <w:spacing w:after="0"/>
              <w:rPr>
                <w:sz w:val="20"/>
                <w:szCs w:val="20"/>
                <w:color w:val="auto"/>
              </w:rPr>
            </w:pPr>
            <w:r>
              <w:rPr>
                <w:rFonts w:ascii="Arial" w:cs="Arial" w:eastAsia="Arial" w:hAnsi="Arial"/>
                <w:sz w:val="18"/>
                <w:szCs w:val="18"/>
                <w:color w:val="auto"/>
              </w:rPr>
              <w:t>40,216</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Long-term obligations to equity companies</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562</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93"/>
        </w:trPr>
        <w:tc>
          <w:tcPr>
            <w:tcW w:w="732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460" w:type="dxa"/>
            <w:vAlign w:val="bottom"/>
            <w:tcBorders>
              <w:bottom w:val="single" w:sz="8" w:color="DCDDDE"/>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26,386</w:t>
            </w:r>
          </w:p>
        </w:tc>
        <w:tc>
          <w:tcPr>
            <w:tcW w:w="1400" w:type="dxa"/>
            <w:vAlign w:val="bottom"/>
          </w:tcPr>
          <w:p>
            <w:pPr>
              <w:jc w:val="right"/>
              <w:spacing w:after="0"/>
              <w:rPr>
                <w:sz w:val="20"/>
                <w:szCs w:val="20"/>
                <w:color w:val="auto"/>
              </w:rPr>
            </w:pPr>
            <w:r>
              <w:rPr>
                <w:rFonts w:ascii="Arial" w:cs="Arial" w:eastAsia="Arial" w:hAnsi="Arial"/>
                <w:sz w:val="18"/>
                <w:szCs w:val="18"/>
                <w:color w:val="auto"/>
              </w:rPr>
              <w:t>26,178</w:t>
            </w:r>
          </w:p>
        </w:tc>
        <w:tc>
          <w:tcPr>
            <w:tcW w:w="0" w:type="dxa"/>
            <w:vAlign w:val="bottom"/>
          </w:tcPr>
          <w:p>
            <w:pPr>
              <w:spacing w:after="0"/>
              <w:rPr>
                <w:sz w:val="1"/>
                <w:szCs w:val="1"/>
                <w:color w:val="auto"/>
              </w:rPr>
            </w:pPr>
          </w:p>
        </w:tc>
      </w:tr>
      <w:tr>
        <w:trPr>
          <w:trHeight w:val="249"/>
        </w:trPr>
        <w:tc>
          <w:tcPr>
            <w:tcW w:w="732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tcBorders>
              <w:top w:val="single" w:sz="8" w:color="0C479D"/>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203,414</w:t>
            </w:r>
          </w:p>
        </w:tc>
        <w:tc>
          <w:tcPr>
            <w:tcW w:w="140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182,354</w:t>
            </w:r>
          </w:p>
        </w:tc>
        <w:tc>
          <w:tcPr>
            <w:tcW w:w="0" w:type="dxa"/>
            <w:vAlign w:val="bottom"/>
          </w:tcPr>
          <w:p>
            <w:pPr>
              <w:spacing w:after="0"/>
              <w:rPr>
                <w:sz w:val="1"/>
                <w:szCs w:val="1"/>
                <w:color w:val="auto"/>
              </w:rPr>
            </w:pPr>
          </w:p>
        </w:tc>
      </w:tr>
      <w:tr>
        <w:trPr>
          <w:trHeight w:val="506"/>
        </w:trPr>
        <w:tc>
          <w:tcPr>
            <w:tcW w:w="7320" w:type="dxa"/>
            <w:vAlign w:val="bottom"/>
          </w:tcPr>
          <w:p>
            <w:pPr>
              <w:spacing w:after="0"/>
              <w:rPr>
                <w:sz w:val="20"/>
                <w:szCs w:val="20"/>
                <w:color w:val="auto"/>
              </w:rPr>
            </w:pPr>
            <w:r>
              <w:rPr>
                <w:rFonts w:ascii="Arial" w:cs="Arial" w:eastAsia="Arial" w:hAnsi="Arial"/>
                <w:sz w:val="18"/>
                <w:szCs w:val="18"/>
                <w:b w:val="1"/>
                <w:bCs w:val="1"/>
                <w:color w:val="0C479D"/>
              </w:rPr>
              <w:t>EQUITY</w:t>
            </w:r>
          </w:p>
        </w:tc>
        <w:tc>
          <w:tcPr>
            <w:tcW w:w="1460" w:type="dxa"/>
            <w:vAlign w:val="bottom"/>
            <w:tcBorders>
              <w:right w:val="single" w:sz="8" w:color="DCDDDE"/>
            </w:tcBorders>
            <w:shd w:val="clear" w:color="auto" w:fill="DCDDDE"/>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320" w:type="dxa"/>
            <w:vAlign w:val="bottom"/>
          </w:tcPr>
          <w:p>
            <w:pPr>
              <w:spacing w:after="0"/>
              <w:rPr>
                <w:sz w:val="20"/>
                <w:szCs w:val="20"/>
                <w:color w:val="auto"/>
              </w:rPr>
            </w:pPr>
            <w:r>
              <w:rPr>
                <w:rFonts w:ascii="Arial" w:cs="Arial" w:eastAsia="Arial" w:hAnsi="Arial"/>
                <w:sz w:val="18"/>
                <w:szCs w:val="18"/>
                <w:color w:val="auto"/>
              </w:rPr>
              <w:t>Common stock without par value</w:t>
            </w:r>
          </w:p>
        </w:tc>
        <w:tc>
          <w:tcPr>
            <w:tcW w:w="1460" w:type="dxa"/>
            <w:vAlign w:val="bottom"/>
            <w:tcBorders>
              <w:right w:val="single" w:sz="8" w:color="DCDDDE"/>
            </w:tcBorders>
            <w:shd w:val="clear" w:color="auto" w:fill="DCDDDE"/>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6"/>
                <w:szCs w:val="16"/>
                <w:color w:val="auto"/>
              </w:rPr>
              <w:t>(9,000 million shares authorized, 8,019 million shares issued)</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46,426</w:t>
            </w:r>
          </w:p>
        </w:tc>
        <w:tc>
          <w:tcPr>
            <w:tcW w:w="1400" w:type="dxa"/>
            <w:vAlign w:val="bottom"/>
          </w:tcPr>
          <w:p>
            <w:pPr>
              <w:jc w:val="right"/>
              <w:spacing w:after="0"/>
              <w:rPr>
                <w:sz w:val="20"/>
                <w:szCs w:val="20"/>
                <w:color w:val="auto"/>
              </w:rPr>
            </w:pPr>
            <w:r>
              <w:rPr>
                <w:rFonts w:ascii="Arial" w:cs="Arial" w:eastAsia="Arial" w:hAnsi="Arial"/>
                <w:sz w:val="18"/>
                <w:szCs w:val="18"/>
                <w:color w:val="auto"/>
              </w:rPr>
              <w:t>46,150</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Earnings reinvested</w:t>
            </w:r>
          </w:p>
        </w:tc>
        <w:tc>
          <w:tcPr>
            <w:tcW w:w="1460" w:type="dxa"/>
            <w:vAlign w:val="bottom"/>
            <w:tcBorders>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482,344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482,494</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460" w:type="dxa"/>
            <w:vAlign w:val="bottom"/>
            <w:tcBorders>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(11,098)</w:t>
            </w:r>
          </w:p>
        </w:tc>
        <w:tc>
          <w:tcPr>
            <w:tcW w:w="1400" w:type="dxa"/>
            <w:vAlign w:val="bottom"/>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Common stock held in treasury</w:t>
            </w:r>
          </w:p>
        </w:tc>
        <w:tc>
          <w:tcPr>
            <w:tcW w:w="1460" w:type="dxa"/>
            <w:vAlign w:val="bottom"/>
            <w:tcBorders>
              <w:right w:val="single" w:sz="8" w:color="DCDDDE"/>
            </w:tcBorders>
            <w:shd w:val="clear" w:color="auto" w:fill="DCDDDE"/>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7320" w:type="dxa"/>
            <w:vAlign w:val="bottom"/>
          </w:tcPr>
          <w:p>
            <w:pPr>
              <w:spacing w:after="0"/>
              <w:rPr>
                <w:sz w:val="20"/>
                <w:szCs w:val="20"/>
                <w:color w:val="auto"/>
              </w:rPr>
            </w:pPr>
            <w:r>
              <w:rPr>
                <w:rFonts w:ascii="Arial" w:cs="Arial" w:eastAsia="Arial" w:hAnsi="Arial"/>
                <w:sz w:val="16"/>
                <w:szCs w:val="16"/>
                <w:color w:val="auto"/>
              </w:rPr>
              <w:t>(3,874 million shares at March 31, 2026, and 3,840 million shares at December 31, 2025)</w:t>
            </w:r>
          </w:p>
        </w:tc>
        <w:tc>
          <w:tcPr>
            <w:tcW w:w="1460" w:type="dxa"/>
            <w:vAlign w:val="bottom"/>
            <w:tcBorders>
              <w:bottom w:val="single" w:sz="8" w:color="DCDDDE"/>
              <w:right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(263,291)</w:t>
            </w:r>
          </w:p>
        </w:tc>
        <w:tc>
          <w:tcPr>
            <w:tcW w:w="1400" w:type="dxa"/>
            <w:vAlign w:val="bottom"/>
          </w:tcPr>
          <w:p>
            <w:pPr>
              <w:jc w:val="right"/>
              <w:spacing w:after="0"/>
              <w:rPr>
                <w:sz w:val="20"/>
                <w:szCs w:val="20"/>
                <w:color w:val="auto"/>
              </w:rPr>
            </w:pPr>
            <w:r>
              <w:rPr>
                <w:rFonts w:ascii="Arial" w:cs="Arial" w:eastAsia="Arial" w:hAnsi="Arial"/>
                <w:sz w:val="18"/>
                <w:szCs w:val="18"/>
                <w:color w:val="auto"/>
              </w:rPr>
              <w:t>(258,395)</w:t>
            </w:r>
          </w:p>
        </w:tc>
        <w:tc>
          <w:tcPr>
            <w:tcW w:w="0" w:type="dxa"/>
            <w:vAlign w:val="bottom"/>
          </w:tcPr>
          <w:p>
            <w:pPr>
              <w:spacing w:after="0"/>
              <w:rPr>
                <w:sz w:val="1"/>
                <w:szCs w:val="1"/>
                <w:color w:val="auto"/>
              </w:rPr>
            </w:pPr>
          </w:p>
        </w:tc>
      </w:tr>
      <w:tr>
        <w:trPr>
          <w:trHeight w:val="249"/>
        </w:trPr>
        <w:tc>
          <w:tcPr>
            <w:tcW w:w="732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ExxonMobil share of equity</w:t>
            </w:r>
          </w:p>
        </w:tc>
        <w:tc>
          <w:tcPr>
            <w:tcW w:w="1460" w:type="dxa"/>
            <w:vAlign w:val="bottom"/>
            <w:tcBorders>
              <w:top w:val="single" w:sz="8" w:color="0C479D"/>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254,381</w:t>
            </w:r>
          </w:p>
        </w:tc>
        <w:tc>
          <w:tcPr>
            <w:tcW w:w="140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259,386</w:t>
            </w:r>
          </w:p>
        </w:tc>
        <w:tc>
          <w:tcPr>
            <w:tcW w:w="0" w:type="dxa"/>
            <w:vAlign w:val="bottom"/>
          </w:tcPr>
          <w:p>
            <w:pPr>
              <w:spacing w:after="0"/>
              <w:rPr>
                <w:sz w:val="1"/>
                <w:szCs w:val="1"/>
                <w:color w:val="auto"/>
              </w:rPr>
            </w:pPr>
          </w:p>
        </w:tc>
      </w:tr>
      <w:tr>
        <w:trPr>
          <w:trHeight w:val="246"/>
        </w:trPr>
        <w:tc>
          <w:tcPr>
            <w:tcW w:w="7320" w:type="dxa"/>
            <w:vAlign w:val="bottom"/>
            <w:tcBorders>
              <w:bottom w:val="single" w:sz="8" w:color="0C479D"/>
            </w:tcBorders>
          </w:tcPr>
          <w:p>
            <w:pPr>
              <w:spacing w:after="0"/>
              <w:rPr>
                <w:sz w:val="20"/>
                <w:szCs w:val="20"/>
                <w:color w:val="auto"/>
              </w:rPr>
            </w:pPr>
            <w:r>
              <w:rPr>
                <w:rFonts w:ascii="Arial" w:cs="Arial" w:eastAsia="Arial" w:hAnsi="Arial"/>
                <w:sz w:val="18"/>
                <w:szCs w:val="18"/>
                <w:color w:val="auto"/>
              </w:rPr>
              <w:t>Noncontrolling interests</w:t>
            </w:r>
          </w:p>
        </w:tc>
        <w:tc>
          <w:tcPr>
            <w:tcW w:w="1460" w:type="dxa"/>
            <w:vAlign w:val="bottom"/>
            <w:tcBorders>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6,615</w:t>
            </w:r>
          </w:p>
        </w:tc>
        <w:tc>
          <w:tcPr>
            <w:tcW w:w="1400" w:type="dxa"/>
            <w:vAlign w:val="bottom"/>
            <w:tcBorders>
              <w:bottom w:val="single" w:sz="8" w:color="0C479D"/>
            </w:tcBorders>
          </w:tcPr>
          <w:p>
            <w:pPr>
              <w:jc w:val="right"/>
              <w:ind w:right="1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54"/>
        </w:trPr>
        <w:tc>
          <w:tcPr>
            <w:tcW w:w="7320" w:type="dxa"/>
            <w:vAlign w:val="bottom"/>
            <w:tcBorders>
              <w:bottom w:val="single" w:sz="8" w:color="0C479D"/>
            </w:tcBorders>
          </w:tcPr>
          <w:p>
            <w:pPr>
              <w:spacing w:after="0"/>
              <w:rPr>
                <w:sz w:val="20"/>
                <w:szCs w:val="20"/>
                <w:color w:val="auto"/>
              </w:rPr>
            </w:pPr>
            <w:r>
              <w:rPr>
                <w:rFonts w:ascii="Arial" w:cs="Arial" w:eastAsia="Arial" w:hAnsi="Arial"/>
                <w:sz w:val="18"/>
                <w:szCs w:val="18"/>
                <w:b w:val="1"/>
                <w:bCs w:val="1"/>
                <w:color w:val="auto"/>
              </w:rPr>
              <w:t>Total Equity</w:t>
            </w:r>
          </w:p>
        </w:tc>
        <w:tc>
          <w:tcPr>
            <w:tcW w:w="1460" w:type="dxa"/>
            <w:vAlign w:val="bottom"/>
            <w:tcBorders>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260,996</w:t>
            </w:r>
          </w:p>
        </w:tc>
        <w:tc>
          <w:tcPr>
            <w:tcW w:w="140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266,626</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0C479D"/>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460" w:type="dxa"/>
            <w:vAlign w:val="bottom"/>
            <w:tcBorders>
              <w:bottom w:val="single" w:sz="8" w:color="0C479D"/>
              <w:right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464,410</w:t>
            </w:r>
          </w:p>
        </w:tc>
        <w:tc>
          <w:tcPr>
            <w:tcW w:w="140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448,980</w:t>
            </w:r>
          </w:p>
        </w:tc>
        <w:tc>
          <w:tcPr>
            <w:tcW w:w="0" w:type="dxa"/>
            <w:vAlign w:val="bottom"/>
          </w:tcPr>
          <w:p>
            <w:pPr>
              <w:spacing w:after="0"/>
              <w:rPr>
                <w:sz w:val="1"/>
                <w:szCs w:val="1"/>
                <w:color w:val="auto"/>
              </w:rPr>
            </w:pPr>
          </w:p>
        </w:tc>
      </w:tr>
      <w:tr>
        <w:trPr>
          <w:trHeight w:val="612"/>
        </w:trPr>
        <w:tc>
          <w:tcPr>
            <w:tcW w:w="7320" w:type="dxa"/>
            <w:vAlign w:val="bottom"/>
          </w:tcPr>
          <w:p>
            <w:pPr>
              <w:ind w:left="4980"/>
              <w:spacing w:after="0"/>
              <w:rPr>
                <w:sz w:val="20"/>
                <w:szCs w:val="20"/>
                <w:color w:val="auto"/>
              </w:rPr>
            </w:pPr>
            <w:r>
              <w:rPr>
                <w:rFonts w:ascii="Arial" w:cs="Arial" w:eastAsia="Arial" w:hAnsi="Arial"/>
                <w:sz w:val="20"/>
                <w:szCs w:val="20"/>
                <w:color w:val="auto"/>
              </w:rPr>
              <w:t>13</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-7978140</wp:posOffset>
            </wp:positionV>
            <wp:extent cx="1285875"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ectPr>
          <w:pgSz w:w="11900" w:h="16838" w:orient="portrait"/>
          <w:cols w:equalWidth="0" w:num="1">
            <w:col w:w="10180"/>
          </w:cols>
          <w:pgMar w:left="860" w:top="733" w:right="859" w:bottom="1440" w:gutter="0" w:footer="0" w:header="0"/>
        </w:sectPr>
      </w:pPr>
    </w:p>
    <w:bookmarkStart w:id="17" w:name="page18"/>
    <w:bookmarkEnd w:id="17"/>
    <w:p>
      <w:pPr>
        <w:ind w:left="8820"/>
        <w:spacing w:after="0"/>
        <w:rPr>
          <w:sz w:val="20"/>
          <w:szCs w:val="20"/>
          <w:color w:val="auto"/>
        </w:rPr>
      </w:pPr>
      <w:r>
        <w:rPr>
          <w:rFonts w:ascii="Arial" w:cs="Arial" w:eastAsia="Arial" w:hAnsi="Arial"/>
          <w:sz w:val="16"/>
          <w:szCs w:val="16"/>
          <w:b w:val="1"/>
          <w:bCs w:val="1"/>
          <w:color w:val="auto"/>
        </w:rPr>
        <w:t>ATTACHMENT 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85875"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99" w:lineRule="exact"/>
        <w:rPr>
          <w:sz w:val="20"/>
          <w:szCs w:val="20"/>
          <w:color w:val="auto"/>
        </w:rPr>
      </w:pPr>
    </w:p>
    <w:p>
      <w:pPr>
        <w:ind w:right="2740"/>
        <w:spacing w:after="0" w:line="288" w:lineRule="auto"/>
        <w:rPr>
          <w:sz w:val="20"/>
          <w:szCs w:val="20"/>
          <w:color w:val="auto"/>
        </w:rPr>
      </w:pPr>
      <w:r>
        <w:rPr>
          <w:rFonts w:ascii="Arial" w:cs="Arial" w:eastAsia="Arial" w:hAnsi="Arial"/>
          <w:sz w:val="25"/>
          <w:szCs w:val="25"/>
          <w:b w:val="1"/>
          <w:bCs w:val="1"/>
          <w:color w:val="0C479D"/>
        </w:rPr>
        <w:t xml:space="preserve">CONDENSED CONSOLIDATED STATEMENT OF CASH FLOWS </w:t>
      </w:r>
      <w:r>
        <w:rPr>
          <w:rFonts w:ascii="Arial" w:cs="Arial" w:eastAsia="Arial" w:hAnsi="Arial"/>
          <w:sz w:val="21"/>
          <w:szCs w:val="21"/>
          <w:b w:val="1"/>
          <w:bCs w:val="1"/>
          <w:i w:val="1"/>
          <w:iCs w:val="1"/>
          <w:color w:val="0C479D"/>
        </w:rPr>
        <w:t>(Preliminary)</w:t>
      </w:r>
    </w:p>
    <w:tbl>
      <w:tblPr>
        <w:tblLayout w:type="fixed"/>
        <w:tblInd w:w="0" w:type="dxa"/>
        <w:tblCellMar>
          <w:top w:w="0" w:type="dxa"/>
          <w:left w:w="0" w:type="dxa"/>
          <w:bottom w:w="0" w:type="dxa"/>
          <w:right w:w="0" w:type="dxa"/>
        </w:tblCellMar>
      </w:tblPr>
      <w:tr>
        <w:trPr>
          <w:trHeight w:val="226"/>
        </w:trPr>
        <w:tc>
          <w:tcPr>
            <w:tcW w:w="8000" w:type="dxa"/>
            <w:vAlign w:val="bottom"/>
            <w:shd w:val="clear" w:color="auto" w:fill="0C479D"/>
          </w:tcPr>
          <w:p>
            <w:pPr>
              <w:spacing w:after="0"/>
              <w:rPr>
                <w:sz w:val="19"/>
                <w:szCs w:val="19"/>
                <w:color w:val="auto"/>
              </w:rPr>
            </w:pPr>
          </w:p>
        </w:tc>
        <w:tc>
          <w:tcPr>
            <w:tcW w:w="2180" w:type="dxa"/>
            <w:vAlign w:val="bottom"/>
            <w:gridSpan w:val="2"/>
            <w:shd w:val="clear" w:color="auto" w:fill="0C479D"/>
          </w:tcPr>
          <w:p>
            <w:pPr>
              <w:jc w:val="right"/>
              <w:ind w:right="70"/>
              <w:spacing w:after="0" w:line="226" w:lineRule="exact"/>
              <w:rPr>
                <w:sz w:val="20"/>
                <w:szCs w:val="20"/>
                <w:color w:val="auto"/>
              </w:rPr>
            </w:pPr>
            <w:r>
              <w:rPr>
                <w:rFonts w:ascii="Arial" w:cs="Arial" w:eastAsia="Arial" w:hAnsi="Arial"/>
                <w:sz w:val="20"/>
                <w:szCs w:val="20"/>
                <w:color w:val="FFFFFF"/>
              </w:rPr>
              <w:t>Three Months Ended</w:t>
            </w:r>
          </w:p>
        </w:tc>
      </w:tr>
      <w:tr>
        <w:trPr>
          <w:trHeight w:val="291"/>
        </w:trPr>
        <w:tc>
          <w:tcPr>
            <w:tcW w:w="8000" w:type="dxa"/>
            <w:vAlign w:val="bottom"/>
            <w:tcBorders>
              <w:bottom w:val="single" w:sz="8" w:color="0C479D"/>
            </w:tcBorders>
            <w:shd w:val="clear" w:color="auto" w:fill="0C479D"/>
          </w:tcPr>
          <w:p>
            <w:pPr>
              <w:spacing w:after="0"/>
              <w:rPr>
                <w:sz w:val="20"/>
                <w:szCs w:val="20"/>
                <w:color w:val="auto"/>
              </w:rPr>
            </w:pPr>
            <w:r>
              <w:rPr>
                <w:rFonts w:ascii="Arial" w:cs="Arial" w:eastAsia="Arial" w:hAnsi="Arial"/>
                <w:sz w:val="20"/>
                <w:szCs w:val="20"/>
                <w:i w:val="1"/>
                <w:iCs w:val="1"/>
                <w:color w:val="FFFFFF"/>
              </w:rPr>
              <w:t>Dollars in millions (unless otherwise noted)</w:t>
            </w:r>
          </w:p>
        </w:tc>
        <w:tc>
          <w:tcPr>
            <w:tcW w:w="2180" w:type="dxa"/>
            <w:vAlign w:val="bottom"/>
            <w:tcBorders>
              <w:bottom w:val="single" w:sz="8" w:color="0C479D"/>
            </w:tcBorders>
            <w:gridSpan w:val="2"/>
            <w:shd w:val="clear" w:color="auto" w:fill="0C479D"/>
          </w:tcPr>
          <w:p>
            <w:pPr>
              <w:jc w:val="right"/>
              <w:ind w:right="570"/>
              <w:spacing w:after="0"/>
              <w:rPr>
                <w:sz w:val="20"/>
                <w:szCs w:val="20"/>
                <w:color w:val="auto"/>
              </w:rPr>
            </w:pPr>
            <w:r>
              <w:rPr>
                <w:rFonts w:ascii="Arial" w:cs="Arial" w:eastAsia="Arial" w:hAnsi="Arial"/>
                <w:sz w:val="20"/>
                <w:szCs w:val="20"/>
                <w:color w:val="FFFFFF"/>
              </w:rPr>
              <w:t>March 31,</w:t>
            </w:r>
          </w:p>
        </w:tc>
      </w:tr>
      <w:tr>
        <w:trPr>
          <w:trHeight w:val="344"/>
        </w:trPr>
        <w:tc>
          <w:tcPr>
            <w:tcW w:w="8000" w:type="dxa"/>
            <w:vAlign w:val="bottom"/>
            <w:tcBorders>
              <w:bottom w:val="single" w:sz="8" w:color="0C479D"/>
            </w:tcBorders>
            <w:shd w:val="clear" w:color="auto" w:fill="0C479D"/>
          </w:tcPr>
          <w:p>
            <w:pPr>
              <w:spacing w:after="0"/>
              <w:rPr>
                <w:sz w:val="24"/>
                <w:szCs w:val="24"/>
                <w:color w:val="auto"/>
              </w:rPr>
            </w:pPr>
          </w:p>
        </w:tc>
        <w:tc>
          <w:tcPr>
            <w:tcW w:w="110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20"/>
                <w:szCs w:val="20"/>
                <w:color w:val="FFFFFF"/>
              </w:rPr>
              <w:t>2026</w:t>
            </w:r>
          </w:p>
        </w:tc>
        <w:tc>
          <w:tcPr>
            <w:tcW w:w="1080" w:type="dxa"/>
            <w:vAlign w:val="bottom"/>
            <w:tcBorders>
              <w:bottom w:val="single" w:sz="8" w:color="0C479D"/>
            </w:tcBorders>
            <w:shd w:val="clear" w:color="auto" w:fill="0C479D"/>
          </w:tcPr>
          <w:p>
            <w:pPr>
              <w:jc w:val="right"/>
              <w:spacing w:after="0"/>
              <w:rPr>
                <w:sz w:val="20"/>
                <w:szCs w:val="20"/>
                <w:color w:val="auto"/>
              </w:rPr>
            </w:pPr>
            <w:r>
              <w:rPr>
                <w:rFonts w:ascii="Arial" w:cs="Arial" w:eastAsia="Arial" w:hAnsi="Arial"/>
                <w:sz w:val="20"/>
                <w:szCs w:val="20"/>
                <w:color w:val="FFFFFF"/>
              </w:rPr>
              <w:t>2025</w:t>
            </w:r>
          </w:p>
        </w:tc>
      </w:tr>
      <w:tr>
        <w:trPr>
          <w:trHeight w:val="255"/>
        </w:trPr>
        <w:tc>
          <w:tcPr>
            <w:tcW w:w="8000" w:type="dxa"/>
            <w:vAlign w:val="bottom"/>
          </w:tcPr>
          <w:p>
            <w:pPr>
              <w:spacing w:after="0"/>
              <w:rPr>
                <w:sz w:val="20"/>
                <w:szCs w:val="20"/>
                <w:color w:val="auto"/>
              </w:rPr>
            </w:pPr>
            <w:r>
              <w:rPr>
                <w:rFonts w:ascii="Arial" w:cs="Arial" w:eastAsia="Arial" w:hAnsi="Arial"/>
                <w:sz w:val="18"/>
                <w:szCs w:val="18"/>
                <w:b w:val="1"/>
                <w:bCs w:val="1"/>
                <w:color w:val="0C479D"/>
              </w:rPr>
              <w:t>CASH FLOWS FROM OPERATING ACTIVITIES</w:t>
            </w:r>
          </w:p>
        </w:tc>
        <w:tc>
          <w:tcPr>
            <w:tcW w:w="1100" w:type="dxa"/>
            <w:vAlign w:val="bottom"/>
            <w:shd w:val="clear" w:color="auto" w:fill="DCDDDE"/>
          </w:tcPr>
          <w:p>
            <w:pPr>
              <w:spacing w:after="0"/>
              <w:rPr>
                <w:sz w:val="22"/>
                <w:szCs w:val="22"/>
                <w:color w:val="auto"/>
              </w:rPr>
            </w:pPr>
          </w:p>
        </w:tc>
        <w:tc>
          <w:tcPr>
            <w:tcW w:w="1080" w:type="dxa"/>
            <w:vAlign w:val="bottom"/>
          </w:tcPr>
          <w:p>
            <w:pPr>
              <w:spacing w:after="0"/>
              <w:rPr>
                <w:sz w:val="22"/>
                <w:szCs w:val="22"/>
                <w:color w:val="auto"/>
              </w:rPr>
            </w:pPr>
          </w:p>
        </w:tc>
      </w:tr>
      <w:tr>
        <w:trPr>
          <w:trHeight w:val="262"/>
        </w:trPr>
        <w:tc>
          <w:tcPr>
            <w:tcW w:w="8000" w:type="dxa"/>
            <w:vAlign w:val="bottom"/>
          </w:tcPr>
          <w:p>
            <w:pPr>
              <w:spacing w:after="0"/>
              <w:rPr>
                <w:sz w:val="20"/>
                <w:szCs w:val="20"/>
                <w:color w:val="auto"/>
              </w:rPr>
            </w:pPr>
            <w:r>
              <w:rPr>
                <w:rFonts w:ascii="Arial" w:cs="Arial" w:eastAsia="Arial" w:hAnsi="Arial"/>
                <w:sz w:val="18"/>
                <w:szCs w:val="18"/>
                <w:color w:val="auto"/>
              </w:rPr>
              <w:t>Net income/(loss) including noncontrolling interests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4,472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8,033</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Depreciation and depletion (includes impairments)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6,771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5,702</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Changes in operational working capital, excluding cash and debt</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(1,758)</w:t>
            </w:r>
          </w:p>
        </w:tc>
        <w:tc>
          <w:tcPr>
            <w:tcW w:w="108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93"/>
        </w:trPr>
        <w:tc>
          <w:tcPr>
            <w:tcW w:w="8000" w:type="dxa"/>
            <w:vAlign w:val="bottom"/>
          </w:tcPr>
          <w:p>
            <w:pPr>
              <w:spacing w:after="0"/>
              <w:rPr>
                <w:sz w:val="20"/>
                <w:szCs w:val="20"/>
                <w:color w:val="auto"/>
              </w:rPr>
            </w:pPr>
            <w:r>
              <w:rPr>
                <w:rFonts w:ascii="Arial" w:cs="Arial" w:eastAsia="Arial" w:hAnsi="Arial"/>
                <w:sz w:val="18"/>
                <w:szCs w:val="18"/>
                <w:color w:val="auto"/>
              </w:rPr>
              <w:t>All other items – net</w:t>
            </w:r>
          </w:p>
        </w:tc>
        <w:tc>
          <w:tcPr>
            <w:tcW w:w="11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(780)</w:t>
            </w: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9"/>
        </w:trPr>
        <w:tc>
          <w:tcPr>
            <w:tcW w:w="800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00" w:type="dxa"/>
            <w:vAlign w:val="bottom"/>
            <w:tcBorders>
              <w:top w:val="single" w:sz="8" w:color="0C479D"/>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8,705</w:t>
            </w:r>
          </w:p>
        </w:tc>
        <w:tc>
          <w:tcPr>
            <w:tcW w:w="108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12,953</w:t>
            </w:r>
          </w:p>
        </w:tc>
      </w:tr>
      <w:tr>
        <w:trPr>
          <w:trHeight w:val="506"/>
        </w:trPr>
        <w:tc>
          <w:tcPr>
            <w:tcW w:w="8000" w:type="dxa"/>
            <w:vAlign w:val="bottom"/>
          </w:tcPr>
          <w:p>
            <w:pPr>
              <w:spacing w:after="0"/>
              <w:rPr>
                <w:sz w:val="20"/>
                <w:szCs w:val="20"/>
                <w:color w:val="auto"/>
              </w:rPr>
            </w:pPr>
            <w:r>
              <w:rPr>
                <w:rFonts w:ascii="Arial" w:cs="Arial" w:eastAsia="Arial" w:hAnsi="Arial"/>
                <w:sz w:val="18"/>
                <w:szCs w:val="18"/>
                <w:b w:val="1"/>
                <w:bCs w:val="1"/>
                <w:color w:val="0C479D"/>
              </w:rPr>
              <w:t>CASH FLOWS FROM INVESTING ACTIVITIES</w:t>
            </w:r>
          </w:p>
        </w:tc>
        <w:tc>
          <w:tcPr>
            <w:tcW w:w="1100" w:type="dxa"/>
            <w:vAlign w:val="bottom"/>
            <w:shd w:val="clear" w:color="auto" w:fill="DCDDDE"/>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800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(6,470)</w:t>
            </w:r>
          </w:p>
        </w:tc>
        <w:tc>
          <w:tcPr>
            <w:tcW w:w="1080" w:type="dxa"/>
            <w:vAlign w:val="bottom"/>
          </w:tcPr>
          <w:p>
            <w:pPr>
              <w:jc w:val="right"/>
              <w:spacing w:after="0"/>
              <w:rPr>
                <w:sz w:val="20"/>
                <w:szCs w:val="20"/>
                <w:color w:val="auto"/>
              </w:rPr>
            </w:pPr>
            <w:r>
              <w:rPr>
                <w:rFonts w:ascii="Arial" w:cs="Arial" w:eastAsia="Arial" w:hAnsi="Arial"/>
                <w:sz w:val="18"/>
                <w:szCs w:val="18"/>
                <w:color w:val="auto"/>
              </w:rPr>
              <w:t>(5,898)</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Proceeds from asset sales and returns of investments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219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1,823</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Additional investments and advances</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(387)</w:t>
            </w: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93"/>
        </w:trPr>
        <w:tc>
          <w:tcPr>
            <w:tcW w:w="8000" w:type="dxa"/>
            <w:vAlign w:val="bottom"/>
          </w:tcPr>
          <w:p>
            <w:pPr>
              <w:spacing w:after="0"/>
              <w:rPr>
                <w:sz w:val="20"/>
                <w:szCs w:val="20"/>
                <w:color w:val="auto"/>
              </w:rPr>
            </w:pPr>
            <w:r>
              <w:rPr>
                <w:rFonts w:ascii="Arial" w:cs="Arial" w:eastAsia="Arial" w:hAnsi="Arial"/>
                <w:sz w:val="18"/>
                <w:szCs w:val="18"/>
                <w:color w:val="auto"/>
              </w:rPr>
              <w:t>Other investing activities including collection of advances</w:t>
            </w:r>
          </w:p>
        </w:tc>
        <w:tc>
          <w:tcPr>
            <w:tcW w:w="110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632</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49"/>
        </w:trPr>
        <w:tc>
          <w:tcPr>
            <w:tcW w:w="800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(6,006)</w:t>
            </w:r>
          </w:p>
        </w:tc>
        <w:tc>
          <w:tcPr>
            <w:tcW w:w="108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(4,135)</w:t>
            </w:r>
          </w:p>
        </w:tc>
      </w:tr>
      <w:tr>
        <w:trPr>
          <w:trHeight w:val="506"/>
        </w:trPr>
        <w:tc>
          <w:tcPr>
            <w:tcW w:w="8000" w:type="dxa"/>
            <w:vAlign w:val="bottom"/>
          </w:tcPr>
          <w:p>
            <w:pPr>
              <w:spacing w:after="0"/>
              <w:rPr>
                <w:sz w:val="20"/>
                <w:szCs w:val="20"/>
                <w:color w:val="auto"/>
              </w:rPr>
            </w:pPr>
            <w:r>
              <w:rPr>
                <w:rFonts w:ascii="Arial" w:cs="Arial" w:eastAsia="Arial" w:hAnsi="Arial"/>
                <w:sz w:val="18"/>
                <w:szCs w:val="18"/>
                <w:b w:val="1"/>
                <w:bCs w:val="1"/>
                <w:color w:val="0C479D"/>
              </w:rPr>
              <w:t>CASH FLOWS FROM FINANCING ACTIVITIES</w:t>
            </w:r>
          </w:p>
        </w:tc>
        <w:tc>
          <w:tcPr>
            <w:tcW w:w="1100" w:type="dxa"/>
            <w:vAlign w:val="bottom"/>
            <w:shd w:val="clear" w:color="auto" w:fill="DCDDDE"/>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8000" w:type="dxa"/>
            <w:vAlign w:val="bottom"/>
          </w:tcPr>
          <w:p>
            <w:pPr>
              <w:spacing w:after="0"/>
              <w:rPr>
                <w:sz w:val="20"/>
                <w:szCs w:val="20"/>
                <w:color w:val="auto"/>
              </w:rPr>
            </w:pPr>
            <w:r>
              <w:rPr>
                <w:rFonts w:ascii="Arial" w:cs="Arial" w:eastAsia="Arial" w:hAnsi="Arial"/>
                <w:sz w:val="18"/>
                <w:szCs w:val="18"/>
                <w:color w:val="auto"/>
              </w:rPr>
              <w:t>Additions to long-term debt</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894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Reductions in long-term debt</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(158)</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Reductions in short-term debt</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(5,402)</w:t>
            </w:r>
          </w:p>
        </w:tc>
        <w:tc>
          <w:tcPr>
            <w:tcW w:w="1080" w:type="dxa"/>
            <w:vAlign w:val="bottom"/>
          </w:tcPr>
          <w:p>
            <w:pPr>
              <w:jc w:val="right"/>
              <w:spacing w:after="0"/>
              <w:rPr>
                <w:sz w:val="20"/>
                <w:szCs w:val="20"/>
                <w:color w:val="auto"/>
              </w:rPr>
            </w:pPr>
            <w:r>
              <w:rPr>
                <w:rFonts w:ascii="Arial" w:cs="Arial" w:eastAsia="Arial" w:hAnsi="Arial"/>
                <w:sz w:val="18"/>
                <w:szCs w:val="18"/>
                <w:color w:val="auto"/>
              </w:rPr>
              <w:t>(4,541)</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Additions/(reductions) in commercial paper, and debt with three months or less maturity</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9,075</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Cash dividends to ExxonMobil shareholders</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(4,334)</w:t>
            </w:r>
          </w:p>
        </w:tc>
        <w:tc>
          <w:tcPr>
            <w:tcW w:w="1080" w:type="dxa"/>
            <w:vAlign w:val="bottom"/>
          </w:tcPr>
          <w:p>
            <w:pPr>
              <w:jc w:val="right"/>
              <w:spacing w:after="0"/>
              <w:rPr>
                <w:sz w:val="20"/>
                <w:szCs w:val="20"/>
                <w:color w:val="auto"/>
              </w:rPr>
            </w:pPr>
            <w:r>
              <w:rPr>
                <w:rFonts w:ascii="Arial" w:cs="Arial" w:eastAsia="Arial" w:hAnsi="Arial"/>
                <w:sz w:val="18"/>
                <w:szCs w:val="18"/>
                <w:color w:val="auto"/>
              </w:rPr>
              <w:t>(4,335)</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Cash dividends to noncontrolling interests</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(168)</w:t>
            </w: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Changes in noncontrolling interests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61</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Inflows from noncontrolling interests for major projects</w:t>
            </w:r>
          </w:p>
        </w:tc>
        <w:tc>
          <w:tcPr>
            <w:tcW w:w="110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3"/>
        </w:trPr>
        <w:tc>
          <w:tcPr>
            <w:tcW w:w="8000" w:type="dxa"/>
            <w:vAlign w:val="bottom"/>
          </w:tcPr>
          <w:p>
            <w:pPr>
              <w:spacing w:after="0"/>
              <w:rPr>
                <w:sz w:val="20"/>
                <w:szCs w:val="20"/>
                <w:color w:val="auto"/>
              </w:rPr>
            </w:pPr>
            <w:r>
              <w:rPr>
                <w:rFonts w:ascii="Arial" w:cs="Arial" w:eastAsia="Arial" w:hAnsi="Arial"/>
                <w:sz w:val="18"/>
                <w:szCs w:val="18"/>
                <w:color w:val="auto"/>
              </w:rPr>
              <w:t>Common stock acquired</w:t>
            </w:r>
          </w:p>
        </w:tc>
        <w:tc>
          <w:tcPr>
            <w:tcW w:w="11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(4,868)</w:t>
            </w:r>
          </w:p>
        </w:tc>
        <w:tc>
          <w:tcPr>
            <w:tcW w:w="1080" w:type="dxa"/>
            <w:vAlign w:val="bottom"/>
          </w:tcPr>
          <w:p>
            <w:pPr>
              <w:jc w:val="right"/>
              <w:spacing w:after="0"/>
              <w:rPr>
                <w:sz w:val="20"/>
                <w:szCs w:val="20"/>
                <w:color w:val="auto"/>
              </w:rPr>
            </w:pPr>
            <w:r>
              <w:rPr>
                <w:rFonts w:ascii="Arial" w:cs="Arial" w:eastAsia="Arial" w:hAnsi="Arial"/>
                <w:sz w:val="18"/>
                <w:szCs w:val="18"/>
                <w:color w:val="auto"/>
              </w:rPr>
              <w:t>(4,804)</w:t>
            </w:r>
          </w:p>
        </w:tc>
      </w:tr>
      <w:tr>
        <w:trPr>
          <w:trHeight w:val="249"/>
        </w:trPr>
        <w:tc>
          <w:tcPr>
            <w:tcW w:w="800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0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(4,900)</w:t>
            </w:r>
          </w:p>
        </w:tc>
        <w:tc>
          <w:tcPr>
            <w:tcW w:w="108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(13,579)</w:t>
            </w:r>
          </w:p>
        </w:tc>
      </w:tr>
      <w:tr>
        <w:trPr>
          <w:trHeight w:val="246"/>
        </w:trPr>
        <w:tc>
          <w:tcPr>
            <w:tcW w:w="8000" w:type="dxa"/>
            <w:vAlign w:val="bottom"/>
            <w:tcBorders>
              <w:bottom w:val="single" w:sz="8" w:color="0C479D"/>
            </w:tcBorders>
          </w:tcPr>
          <w:p>
            <w:pPr>
              <w:spacing w:after="0"/>
              <w:rPr>
                <w:sz w:val="20"/>
                <w:szCs w:val="20"/>
                <w:color w:val="auto"/>
              </w:rPr>
            </w:pPr>
            <w:r>
              <w:rPr>
                <w:rFonts w:ascii="Arial" w:cs="Arial" w:eastAsia="Arial" w:hAnsi="Arial"/>
                <w:sz w:val="18"/>
                <w:szCs w:val="18"/>
                <w:color w:val="auto"/>
              </w:rPr>
              <w:t>Effects of exchange rate changes on cash</w:t>
            </w:r>
          </w:p>
        </w:tc>
        <w:tc>
          <w:tcPr>
            <w:tcW w:w="110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color w:val="auto"/>
              </w:rPr>
              <w:t>(45)</w:t>
            </w:r>
          </w:p>
        </w:tc>
        <w:tc>
          <w:tcPr>
            <w:tcW w:w="108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86</w:t>
            </w:r>
          </w:p>
        </w:tc>
      </w:tr>
      <w:tr>
        <w:trPr>
          <w:trHeight w:val="253"/>
        </w:trPr>
        <w:tc>
          <w:tcPr>
            <w:tcW w:w="8000" w:type="dxa"/>
            <w:vAlign w:val="bottom"/>
          </w:tcPr>
          <w:p>
            <w:pPr>
              <w:spacing w:after="0"/>
              <w:rPr>
                <w:sz w:val="20"/>
                <w:szCs w:val="20"/>
                <w:color w:val="auto"/>
              </w:rPr>
            </w:pPr>
            <w:r>
              <w:rPr>
                <w:rFonts w:ascii="Arial" w:cs="Arial" w:eastAsia="Arial" w:hAnsi="Arial"/>
                <w:sz w:val="18"/>
                <w:szCs w:val="18"/>
                <w:b w:val="1"/>
                <w:bCs w:val="1"/>
                <w:color w:val="auto"/>
              </w:rPr>
              <w:t>Increase/(Decrease) in cash and cash equivalents (including restricted)</w:t>
            </w:r>
          </w:p>
        </w:tc>
        <w:tc>
          <w:tcPr>
            <w:tcW w:w="1100" w:type="dxa"/>
            <w:vAlign w:val="bottom"/>
            <w:shd w:val="clear" w:color="auto" w:fill="DCDDDE"/>
          </w:tcPr>
          <w:p>
            <w:pPr>
              <w:jc w:val="right"/>
              <w:spacing w:after="0"/>
              <w:rPr>
                <w:sz w:val="20"/>
                <w:szCs w:val="20"/>
                <w:color w:val="auto"/>
              </w:rPr>
            </w:pPr>
            <w:r>
              <w:rPr>
                <w:rFonts w:ascii="Arial" w:cs="Arial" w:eastAsia="Arial" w:hAnsi="Arial"/>
                <w:sz w:val="18"/>
                <w:szCs w:val="18"/>
                <w:b w:val="1"/>
                <w:bCs w:val="1"/>
                <w:color w:val="auto"/>
              </w:rPr>
              <w:t>(2,246)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(4,675)</w:t>
            </w:r>
          </w:p>
        </w:tc>
      </w:tr>
      <w:tr>
        <w:trPr>
          <w:trHeight w:val="272"/>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period (including restricted)</w:t>
            </w:r>
          </w:p>
        </w:tc>
        <w:tc>
          <w:tcPr>
            <w:tcW w:w="110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10,681</w:t>
            </w:r>
          </w:p>
        </w:tc>
        <w:tc>
          <w:tcPr>
            <w:tcW w:w="1080" w:type="dxa"/>
            <w:vAlign w:val="bottom"/>
          </w:tcPr>
          <w:p>
            <w:pPr>
              <w:jc w:val="right"/>
              <w:spacing w:after="0"/>
              <w:rPr>
                <w:sz w:val="20"/>
                <w:szCs w:val="20"/>
                <w:color w:val="auto"/>
              </w:rPr>
            </w:pPr>
            <w:r>
              <w:rPr>
                <w:rFonts w:ascii="Arial" w:cs="Arial" w:eastAsia="Arial" w:hAnsi="Arial"/>
                <w:sz w:val="18"/>
                <w:szCs w:val="18"/>
                <w:color w:val="auto"/>
              </w:rPr>
              <w:t>23,187</w:t>
            </w:r>
          </w:p>
        </w:tc>
      </w:tr>
      <w:tr>
        <w:trPr>
          <w:trHeight w:val="249"/>
        </w:trPr>
        <w:tc>
          <w:tcPr>
            <w:tcW w:w="8000" w:type="dxa"/>
            <w:vAlign w:val="bottom"/>
            <w:tcBorders>
              <w:top w:val="single" w:sz="8" w:color="0C479D"/>
              <w:bottom w:val="single" w:sz="8" w:color="0C479D"/>
            </w:tcBorders>
          </w:tcPr>
          <w:p>
            <w:pPr>
              <w:spacing w:after="0"/>
              <w:rPr>
                <w:sz w:val="20"/>
                <w:szCs w:val="20"/>
                <w:color w:val="auto"/>
              </w:rPr>
            </w:pPr>
            <w:r>
              <w:rPr>
                <w:rFonts w:ascii="Arial" w:cs="Arial" w:eastAsia="Arial" w:hAnsi="Arial"/>
                <w:sz w:val="18"/>
                <w:szCs w:val="18"/>
                <w:b w:val="1"/>
                <w:bCs w:val="1"/>
                <w:color w:val="auto"/>
              </w:rPr>
              <w:t>Cash and cash equivalents at end of period (including restricted)</w:t>
            </w:r>
          </w:p>
        </w:tc>
        <w:tc>
          <w:tcPr>
            <w:tcW w:w="1100" w:type="dxa"/>
            <w:vAlign w:val="bottom"/>
            <w:tcBorders>
              <w:top w:val="single" w:sz="8" w:color="0C479D"/>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8,435</w:t>
            </w:r>
          </w:p>
        </w:tc>
        <w:tc>
          <w:tcPr>
            <w:tcW w:w="108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18,512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180"/>
          </w:cols>
          <w:pgMar w:left="860" w:top="733" w:right="859" w:bottom="1440" w:gutter="0" w:footer="0" w:header="0"/>
        </w:sectPr>
      </w:pPr>
    </w:p>
    <w:bookmarkStart w:id="18" w:name="page19"/>
    <w:bookmarkEnd w:id="18"/>
    <w:p>
      <w:pPr>
        <w:ind w:left="8800"/>
        <w:spacing w:after="0"/>
        <w:rPr>
          <w:sz w:val="20"/>
          <w:szCs w:val="20"/>
          <w:color w:val="auto"/>
        </w:rPr>
      </w:pPr>
      <w:r>
        <w:rPr>
          <w:rFonts w:ascii="Arial" w:cs="Arial" w:eastAsia="Arial" w:hAnsi="Arial"/>
          <w:sz w:val="16"/>
          <w:szCs w:val="16"/>
          <w:b w:val="1"/>
          <w:bCs w:val="1"/>
          <w:color w:val="auto"/>
        </w:rPr>
        <w:t>ATTACHMENT 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-115570</wp:posOffset>
            </wp:positionV>
            <wp:extent cx="128587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IDENTIFIED ITEMS AND ESTIMATED TIMING EFFECTS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shd w:val="clear" w:color="auto" w:fill="0C479D"/>
          </w:tcPr>
          <w:p>
            <w:pPr>
              <w:jc w:val="right"/>
              <w:ind w:right="69"/>
              <w:spacing w:after="0"/>
              <w:rPr>
                <w:sz w:val="20"/>
                <w:szCs w:val="20"/>
                <w:color w:val="auto"/>
              </w:rPr>
            </w:pPr>
            <w:r>
              <w:rPr>
                <w:rFonts w:ascii="Arial" w:cs="Arial" w:eastAsia="Arial" w:hAnsi="Arial"/>
                <w:sz w:val="20"/>
                <w:szCs w:val="20"/>
                <w:color w:val="FFFFFF"/>
              </w:rPr>
              <w:t>4Q25</w:t>
            </w:r>
          </w:p>
        </w:tc>
        <w:tc>
          <w:tcPr>
            <w:tcW w:w="72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20" w:type="dxa"/>
            <w:vAlign w:val="bottom"/>
            <w:shd w:val="clear" w:color="auto" w:fill="0C479D"/>
          </w:tcPr>
          <w:p>
            <w:pPr>
              <w:spacing w:after="0"/>
              <w:rPr>
                <w:sz w:val="10"/>
                <w:szCs w:val="10"/>
                <w:color w:val="auto"/>
              </w:rPr>
            </w:pPr>
          </w:p>
        </w:tc>
        <w:tc>
          <w:tcPr>
            <w:tcW w:w="720" w:type="dxa"/>
            <w:vAlign w:val="bottom"/>
            <w:shd w:val="clear" w:color="auto" w:fill="0C479D"/>
          </w:tcPr>
          <w:p>
            <w:pPr>
              <w:spacing w:after="0"/>
              <w:rPr>
                <w:sz w:val="10"/>
                <w:szCs w:val="10"/>
                <w:color w:val="auto"/>
              </w:rPr>
            </w:pPr>
          </w:p>
        </w:tc>
      </w:tr>
      <w:tr>
        <w:trPr>
          <w:trHeight w:val="25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Earnings/(Loss) (U.S. GAAP)</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4,183</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6,501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7,713</w:t>
            </w:r>
          </w:p>
        </w:tc>
      </w:tr>
      <w:tr>
        <w:trPr>
          <w:trHeight w:val="54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Identified Items</w:t>
            </w:r>
          </w:p>
        </w:tc>
        <w:tc>
          <w:tcPr>
            <w:tcW w:w="880" w:type="dxa"/>
            <w:vAlign w:val="bottom"/>
            <w:shd w:val="clear" w:color="auto" w:fill="DCDDDE"/>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2"/>
        </w:trPr>
        <w:tc>
          <w:tcPr>
            <w:tcW w:w="7580" w:type="dxa"/>
            <w:vAlign w:val="bottom"/>
          </w:tcPr>
          <w:p>
            <w:pPr>
              <w:ind w:left="220"/>
              <w:spacing w:after="0"/>
              <w:rPr>
                <w:sz w:val="20"/>
                <w:szCs w:val="20"/>
                <w:color w:val="auto"/>
              </w:rPr>
            </w:pPr>
            <w:r>
              <w:rPr>
                <w:rFonts w:ascii="Arial" w:cs="Arial" w:eastAsia="Arial" w:hAnsi="Arial"/>
                <w:sz w:val="18"/>
                <w:szCs w:val="18"/>
                <w:color w:val="auto"/>
              </w:rPr>
              <w:t>Impairments ¹</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9"/>
              <w:spacing w:after="0"/>
              <w:rPr>
                <w:sz w:val="20"/>
                <w:szCs w:val="20"/>
                <w:color w:val="auto"/>
              </w:rPr>
            </w:pPr>
            <w:r>
              <w:rPr>
                <w:rFonts w:ascii="Arial" w:cs="Arial" w:eastAsia="Arial" w:hAnsi="Arial"/>
                <w:sz w:val="18"/>
                <w:szCs w:val="18"/>
                <w:color w:val="auto"/>
              </w:rPr>
              <w:t>(1,700)</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Gain/(Loss) on sale of assets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720</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Tax-related items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288</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9"/>
              <w:spacing w:after="0"/>
              <w:rPr>
                <w:sz w:val="20"/>
                <w:szCs w:val="20"/>
                <w:color w:val="auto"/>
              </w:rPr>
            </w:pPr>
            <w:r>
              <w:rPr>
                <w:rFonts w:ascii="Arial" w:cs="Arial" w:eastAsia="Arial" w:hAnsi="Arial"/>
                <w:sz w:val="18"/>
                <w:szCs w:val="18"/>
                <w:color w:val="auto"/>
              </w:rPr>
              <w:t>(64)</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3"/>
        </w:trPr>
        <w:tc>
          <w:tcPr>
            <w:tcW w:w="7580" w:type="dxa"/>
            <w:vAlign w:val="bottom"/>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(706)</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75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Identified Items</w:t>
            </w:r>
          </w:p>
        </w:tc>
        <w:tc>
          <w:tcPr>
            <w:tcW w:w="88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(706)</w:t>
            </w:r>
          </w:p>
        </w:tc>
        <w:tc>
          <w:tcPr>
            <w:tcW w:w="1020" w:type="dxa"/>
            <w:vAlign w:val="bottom"/>
            <w:tcBorders>
              <w:top w:val="single" w:sz="8" w:color="0C479D"/>
              <w:bottom w:val="single" w:sz="8" w:color="0C479D"/>
            </w:tcBorders>
          </w:tcPr>
          <w:p>
            <w:pPr>
              <w:jc w:val="right"/>
              <w:ind w:right="109"/>
              <w:spacing w:after="0"/>
              <w:rPr>
                <w:sz w:val="20"/>
                <w:szCs w:val="20"/>
                <w:color w:val="auto"/>
              </w:rPr>
            </w:pPr>
            <w:r>
              <w:rPr>
                <w:rFonts w:ascii="Arial" w:cs="Arial" w:eastAsia="Arial" w:hAnsi="Arial"/>
                <w:sz w:val="18"/>
                <w:szCs w:val="18"/>
                <w:b w:val="1"/>
                <w:bCs w:val="1"/>
                <w:color w:val="auto"/>
              </w:rPr>
              <w:t>(755)</w:t>
            </w:r>
          </w:p>
        </w:tc>
        <w:tc>
          <w:tcPr>
            <w:tcW w:w="72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1"/>
        </w:trPr>
        <w:tc>
          <w:tcPr>
            <w:tcW w:w="7580" w:type="dxa"/>
            <w:vAlign w:val="bottom"/>
            <w:tcBorders>
              <w:bottom w:val="single" w:sz="8" w:color="0C479D"/>
            </w:tcBorders>
          </w:tcPr>
          <w:p>
            <w:pPr>
              <w:spacing w:after="0"/>
              <w:rPr>
                <w:sz w:val="21"/>
                <w:szCs w:val="21"/>
                <w:color w:val="auto"/>
              </w:rPr>
            </w:pPr>
          </w:p>
        </w:tc>
        <w:tc>
          <w:tcPr>
            <w:tcW w:w="880" w:type="dxa"/>
            <w:vAlign w:val="bottom"/>
            <w:tcBorders>
              <w:bottom w:val="single" w:sz="8" w:color="0C479D"/>
            </w:tcBorders>
            <w:shd w:val="clear" w:color="auto" w:fill="DCDDDE"/>
          </w:tcPr>
          <w:p>
            <w:pPr>
              <w:spacing w:after="0"/>
              <w:rPr>
                <w:sz w:val="21"/>
                <w:szCs w:val="21"/>
                <w:color w:val="auto"/>
              </w:rPr>
            </w:pPr>
          </w:p>
        </w:tc>
        <w:tc>
          <w:tcPr>
            <w:tcW w:w="102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spacing w:after="0"/>
              <w:rPr>
                <w:sz w:val="21"/>
                <w:szCs w:val="21"/>
                <w:color w:val="auto"/>
              </w:rPr>
            </w:pPr>
          </w:p>
        </w:tc>
      </w:tr>
      <w:tr>
        <w:trPr>
          <w:trHeight w:val="237"/>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Earnings/(Loss) Excluding Identified Items (non-GAAP)</w:t>
            </w:r>
          </w:p>
        </w:tc>
        <w:tc>
          <w:tcPr>
            <w:tcW w:w="8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4,889</w:t>
            </w:r>
          </w:p>
        </w:tc>
        <w:tc>
          <w:tcPr>
            <w:tcW w:w="1020" w:type="dxa"/>
            <w:vAlign w:val="bottom"/>
            <w:tcBorders>
              <w:bottom w:val="single" w:sz="8" w:color="0C479D"/>
            </w:tcBorders>
          </w:tcPr>
          <w:p>
            <w:pPr>
              <w:jc w:val="right"/>
              <w:ind w:right="149"/>
              <w:spacing w:after="0"/>
              <w:rPr>
                <w:sz w:val="20"/>
                <w:szCs w:val="20"/>
                <w:color w:val="auto"/>
              </w:rPr>
            </w:pPr>
            <w:r>
              <w:rPr>
                <w:rFonts w:ascii="Arial" w:cs="Arial" w:eastAsia="Arial" w:hAnsi="Arial"/>
                <w:sz w:val="18"/>
                <w:szCs w:val="18"/>
                <w:b w:val="1"/>
                <w:bCs w:val="1"/>
                <w:color w:val="auto"/>
              </w:rPr>
              <w:t>7,256</w:t>
            </w:r>
          </w:p>
        </w:tc>
        <w:tc>
          <w:tcPr>
            <w:tcW w:w="72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7,713</w:t>
            </w:r>
          </w:p>
        </w:tc>
      </w:tr>
      <w:tr>
        <w:trPr>
          <w:trHeight w:val="250"/>
        </w:trPr>
        <w:tc>
          <w:tcPr>
            <w:tcW w:w="7580" w:type="dxa"/>
            <w:vAlign w:val="bottom"/>
            <w:tcBorders>
              <w:bottom w:val="single" w:sz="8" w:color="0D469D"/>
            </w:tcBorders>
          </w:tcPr>
          <w:p>
            <w:pPr>
              <w:spacing w:after="0"/>
              <w:rPr>
                <w:sz w:val="21"/>
                <w:szCs w:val="21"/>
                <w:color w:val="auto"/>
              </w:rPr>
            </w:pPr>
          </w:p>
        </w:tc>
        <w:tc>
          <w:tcPr>
            <w:tcW w:w="880" w:type="dxa"/>
            <w:vAlign w:val="bottom"/>
            <w:tcBorders>
              <w:bottom w:val="single" w:sz="8" w:color="0D469D"/>
            </w:tcBorders>
            <w:shd w:val="clear" w:color="auto" w:fill="DCDDDE"/>
          </w:tcPr>
          <w:p>
            <w:pPr>
              <w:spacing w:after="0"/>
              <w:rPr>
                <w:sz w:val="21"/>
                <w:szCs w:val="21"/>
                <w:color w:val="auto"/>
              </w:rPr>
            </w:pPr>
          </w:p>
        </w:tc>
        <w:tc>
          <w:tcPr>
            <w:tcW w:w="1020" w:type="dxa"/>
            <w:vAlign w:val="bottom"/>
            <w:tcBorders>
              <w:bottom w:val="single" w:sz="8" w:color="0D469D"/>
            </w:tcBorders>
          </w:tcPr>
          <w:p>
            <w:pPr>
              <w:spacing w:after="0"/>
              <w:rPr>
                <w:sz w:val="21"/>
                <w:szCs w:val="21"/>
                <w:color w:val="auto"/>
              </w:rPr>
            </w:pPr>
          </w:p>
        </w:tc>
        <w:tc>
          <w:tcPr>
            <w:tcW w:w="720" w:type="dxa"/>
            <w:vAlign w:val="bottom"/>
            <w:tcBorders>
              <w:bottom w:val="single" w:sz="8" w:color="0D469D"/>
            </w:tcBorders>
          </w:tcPr>
          <w:p>
            <w:pPr>
              <w:spacing w:after="0"/>
              <w:rPr>
                <w:sz w:val="21"/>
                <w:szCs w:val="21"/>
                <w:color w:val="auto"/>
              </w:rPr>
            </w:pPr>
          </w:p>
        </w:tc>
      </w:tr>
      <w:tr>
        <w:trPr>
          <w:trHeight w:val="237"/>
        </w:trPr>
        <w:tc>
          <w:tcPr>
            <w:tcW w:w="7580" w:type="dxa"/>
            <w:vAlign w:val="bottom"/>
            <w:tcBorders>
              <w:bottom w:val="single" w:sz="8" w:color="0D469D"/>
            </w:tcBorders>
          </w:tcPr>
          <w:p>
            <w:pPr>
              <w:ind w:left="20"/>
              <w:spacing w:after="0"/>
              <w:rPr>
                <w:sz w:val="20"/>
                <w:szCs w:val="20"/>
                <w:color w:val="auto"/>
              </w:rPr>
            </w:pPr>
            <w:r>
              <w:rPr>
                <w:rFonts w:ascii="Arial" w:cs="Arial" w:eastAsia="Arial" w:hAnsi="Arial"/>
                <w:sz w:val="18"/>
                <w:szCs w:val="18"/>
                <w:b w:val="1"/>
                <w:bCs w:val="1"/>
                <w:color w:val="auto"/>
              </w:rPr>
              <w:t>Estimated Timing Effects</w:t>
            </w:r>
          </w:p>
        </w:tc>
        <w:tc>
          <w:tcPr>
            <w:tcW w:w="880" w:type="dxa"/>
            <w:vAlign w:val="bottom"/>
            <w:tcBorders>
              <w:bottom w:val="single" w:sz="8" w:color="0D46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(3,883)</w:t>
            </w:r>
          </w:p>
        </w:tc>
        <w:tc>
          <w:tcPr>
            <w:tcW w:w="1020" w:type="dxa"/>
            <w:vAlign w:val="bottom"/>
            <w:tcBorders>
              <w:bottom w:val="single" w:sz="8" w:color="0D469D"/>
            </w:tcBorders>
          </w:tcPr>
          <w:p>
            <w:pPr>
              <w:jc w:val="right"/>
              <w:ind w:right="149"/>
              <w:spacing w:after="0"/>
              <w:rPr>
                <w:sz w:val="20"/>
                <w:szCs w:val="20"/>
                <w:color w:val="auto"/>
              </w:rPr>
            </w:pPr>
            <w:r>
              <w:rPr>
                <w:rFonts w:ascii="Arial" w:cs="Arial" w:eastAsia="Arial" w:hAnsi="Arial"/>
                <w:sz w:val="18"/>
                <w:szCs w:val="18"/>
                <w:b w:val="1"/>
                <w:bCs w:val="1"/>
                <w:color w:val="auto"/>
              </w:rPr>
              <w:t>336</w:t>
            </w:r>
          </w:p>
        </w:tc>
        <w:tc>
          <w:tcPr>
            <w:tcW w:w="720" w:type="dxa"/>
            <w:vAlign w:val="bottom"/>
            <w:tcBorders>
              <w:bottom w:val="single" w:sz="8" w:color="0D469D"/>
            </w:tcBorders>
          </w:tcPr>
          <w:p>
            <w:pPr>
              <w:jc w:val="right"/>
              <w:spacing w:after="0"/>
              <w:rPr>
                <w:sz w:val="20"/>
                <w:szCs w:val="20"/>
                <w:color w:val="auto"/>
              </w:rPr>
            </w:pPr>
            <w:r>
              <w:rPr>
                <w:rFonts w:ascii="Arial" w:cs="Arial" w:eastAsia="Arial" w:hAnsi="Arial"/>
                <w:sz w:val="18"/>
                <w:szCs w:val="18"/>
                <w:b w:val="1"/>
                <w:bCs w:val="1"/>
                <w:color w:val="auto"/>
              </w:rPr>
              <w:t>129</w:t>
            </w:r>
          </w:p>
        </w:tc>
      </w:tr>
      <w:tr>
        <w:trPr>
          <w:trHeight w:val="250"/>
        </w:trPr>
        <w:tc>
          <w:tcPr>
            <w:tcW w:w="7580" w:type="dxa"/>
            <w:vAlign w:val="bottom"/>
            <w:tcBorders>
              <w:bottom w:val="single" w:sz="8" w:color="0C479D"/>
            </w:tcBorders>
          </w:tcPr>
          <w:p>
            <w:pPr>
              <w:spacing w:after="0"/>
              <w:rPr>
                <w:sz w:val="21"/>
                <w:szCs w:val="21"/>
                <w:color w:val="auto"/>
              </w:rPr>
            </w:pPr>
          </w:p>
        </w:tc>
        <w:tc>
          <w:tcPr>
            <w:tcW w:w="880" w:type="dxa"/>
            <w:vAlign w:val="bottom"/>
            <w:tcBorders>
              <w:bottom w:val="single" w:sz="8" w:color="0C479D"/>
            </w:tcBorders>
            <w:shd w:val="clear" w:color="auto" w:fill="DCDDDE"/>
          </w:tcPr>
          <w:p>
            <w:pPr>
              <w:spacing w:after="0"/>
              <w:rPr>
                <w:sz w:val="21"/>
                <w:szCs w:val="21"/>
                <w:color w:val="auto"/>
              </w:rPr>
            </w:pPr>
          </w:p>
        </w:tc>
        <w:tc>
          <w:tcPr>
            <w:tcW w:w="102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spacing w:after="0"/>
              <w:rPr>
                <w:sz w:val="21"/>
                <w:szCs w:val="21"/>
                <w:color w:val="auto"/>
              </w:rPr>
            </w:pPr>
          </w:p>
        </w:tc>
      </w:tr>
      <w:tr>
        <w:trPr>
          <w:trHeight w:val="284"/>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Earnings/(Loss) Excluding Identified Items and Estimated Timing Effects (non-GAAP)</w:t>
            </w:r>
          </w:p>
        </w:tc>
        <w:tc>
          <w:tcPr>
            <w:tcW w:w="88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8,772</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6,920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7,584</w:t>
            </w:r>
          </w:p>
        </w:tc>
      </w:tr>
      <w:tr>
        <w:trPr>
          <w:trHeight w:val="20"/>
        </w:trPr>
        <w:tc>
          <w:tcPr>
            <w:tcW w:w="7580" w:type="dxa"/>
            <w:vAlign w:val="bottom"/>
            <w:shd w:val="clear" w:color="auto" w:fill="0C479D"/>
          </w:tcPr>
          <w:p>
            <w:pPr>
              <w:spacing w:after="0" w:line="20" w:lineRule="exact"/>
              <w:rPr>
                <w:sz w:val="1"/>
                <w:szCs w:val="1"/>
                <w:color w:val="auto"/>
              </w:rPr>
            </w:pPr>
          </w:p>
        </w:tc>
        <w:tc>
          <w:tcPr>
            <w:tcW w:w="880" w:type="dxa"/>
            <w:vAlign w:val="bottom"/>
            <w:shd w:val="clear" w:color="auto" w:fill="0C479D"/>
          </w:tcPr>
          <w:p>
            <w:pPr>
              <w:spacing w:after="0" w:line="20" w:lineRule="exact"/>
              <w:rPr>
                <w:sz w:val="1"/>
                <w:szCs w:val="1"/>
                <w:color w:val="auto"/>
              </w:rPr>
            </w:pPr>
          </w:p>
        </w:tc>
        <w:tc>
          <w:tcPr>
            <w:tcW w:w="1020" w:type="dxa"/>
            <w:vAlign w:val="bottom"/>
            <w:shd w:val="clear" w:color="auto" w:fill="0C479D"/>
          </w:tcPr>
          <w:p>
            <w:pPr>
              <w:spacing w:after="0" w:line="20" w:lineRule="exact"/>
              <w:rPr>
                <w:sz w:val="1"/>
                <w:szCs w:val="1"/>
                <w:color w:val="auto"/>
              </w:rPr>
            </w:pPr>
          </w:p>
        </w:tc>
        <w:tc>
          <w:tcPr>
            <w:tcW w:w="720" w:type="dxa"/>
            <w:vAlign w:val="bottom"/>
            <w:shd w:val="clear" w:color="auto" w:fill="0C479D"/>
          </w:tcPr>
          <w:p>
            <w:pPr>
              <w:spacing w:after="0" w:line="20" w:lineRule="exact"/>
              <w:rPr>
                <w:sz w:val="1"/>
                <w:szCs w:val="1"/>
                <w:color w:val="auto"/>
              </w:rPr>
            </w:pPr>
          </w:p>
        </w:tc>
      </w:tr>
    </w:tbl>
    <w:p>
      <w:pPr>
        <w:spacing w:after="0" w:line="20" w:lineRule="exact"/>
        <w:rPr>
          <w:sz w:val="20"/>
          <w:szCs w:val="20"/>
          <w:color w:val="auto"/>
        </w:rPr>
      </w:pPr>
    </w:p>
    <w:p>
      <w:pPr>
        <w:ind w:left="100" w:right="100" w:hanging="82"/>
        <w:spacing w:after="0" w:line="261" w:lineRule="auto"/>
        <w:tabs>
          <w:tab w:leader="none" w:pos="107"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Fourth quarter includes charge of $640 million associated with the optimization of materials and supply inventory. Materials and supplies impacts are included in production and manufacturing expenses on the Consolidated Statement of Income.</w:t>
      </w:r>
    </w:p>
    <w:p>
      <w:pPr>
        <w:spacing w:after="0" w:line="308" w:lineRule="exact"/>
        <w:rPr>
          <w:sz w:val="20"/>
          <w:szCs w:val="20"/>
          <w:color w:val="auto"/>
        </w:rPr>
      </w:pPr>
    </w:p>
    <w:p>
      <w:pPr>
        <w:ind w:left="20" w:right="1000"/>
        <w:spacing w:after="0" w:line="242" w:lineRule="auto"/>
        <w:rPr>
          <w:sz w:val="20"/>
          <w:szCs w:val="20"/>
          <w:color w:val="auto"/>
        </w:rPr>
      </w:pPr>
      <w:r>
        <w:rPr>
          <w:rFonts w:ascii="Arial" w:cs="Arial" w:eastAsia="Arial" w:hAnsi="Arial"/>
          <w:sz w:val="25"/>
          <w:szCs w:val="25"/>
          <w:b w:val="1"/>
          <w:bCs w:val="1"/>
          <w:color w:val="0C479D"/>
        </w:rPr>
        <w:t>EARNINGS/(LOSS) EXCLUDING IDENTIFIED ITEMS AND ESTIMATED TIMING EFFECTS PER COMMON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per common share</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40" w:type="dxa"/>
            <w:vAlign w:val="bottom"/>
            <w:shd w:val="clear" w:color="auto" w:fill="0C479D"/>
          </w:tcPr>
          <w:p>
            <w:pPr>
              <w:jc w:val="right"/>
              <w:ind w:right="89"/>
              <w:spacing w:after="0"/>
              <w:rPr>
                <w:sz w:val="20"/>
                <w:szCs w:val="20"/>
                <w:color w:val="auto"/>
              </w:rPr>
            </w:pPr>
            <w:r>
              <w:rPr>
                <w:rFonts w:ascii="Arial" w:cs="Arial" w:eastAsia="Arial" w:hAnsi="Arial"/>
                <w:sz w:val="20"/>
                <w:szCs w:val="20"/>
                <w:color w:val="FFFFFF"/>
              </w:rPr>
              <w:t>4Q25</w:t>
            </w:r>
          </w:p>
        </w:tc>
        <w:tc>
          <w:tcPr>
            <w:tcW w:w="70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c>
          <w:tcPr>
            <w:tcW w:w="0" w:type="dxa"/>
            <w:vAlign w:val="bottom"/>
          </w:tcPr>
          <w:p>
            <w:pPr>
              <w:spacing w:after="0"/>
              <w:rPr>
                <w:sz w:val="1"/>
                <w:szCs w:val="1"/>
                <w:color w:val="auto"/>
              </w:rPr>
            </w:pP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40" w:type="dxa"/>
            <w:vAlign w:val="bottom"/>
            <w:shd w:val="clear" w:color="auto" w:fill="0C479D"/>
          </w:tcPr>
          <w:p>
            <w:pPr>
              <w:spacing w:after="0"/>
              <w:rPr>
                <w:sz w:val="10"/>
                <w:szCs w:val="10"/>
                <w:color w:val="auto"/>
              </w:rPr>
            </w:pPr>
          </w:p>
        </w:tc>
        <w:tc>
          <w:tcPr>
            <w:tcW w:w="70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Earnings/(Loss) Per Common Share (U.S. GAAP) ¹</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1.00</w:t>
            </w:r>
          </w:p>
        </w:tc>
        <w:tc>
          <w:tcPr>
            <w:tcW w:w="1040" w:type="dxa"/>
            <w:vAlign w:val="bottom"/>
          </w:tcPr>
          <w:p>
            <w:pPr>
              <w:jc w:val="right"/>
              <w:ind w:right="169"/>
              <w:spacing w:after="0"/>
              <w:rPr>
                <w:sz w:val="20"/>
                <w:szCs w:val="20"/>
                <w:color w:val="auto"/>
              </w:rPr>
            </w:pPr>
            <w:r>
              <w:rPr>
                <w:rFonts w:ascii="Arial" w:cs="Arial" w:eastAsia="Arial" w:hAnsi="Arial"/>
                <w:sz w:val="18"/>
                <w:szCs w:val="18"/>
                <w:b w:val="1"/>
                <w:bCs w:val="1"/>
                <w:color w:val="auto"/>
              </w:rPr>
              <w:t>1.53</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540"/>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Identified Items Per Common Share ¹</w:t>
            </w:r>
          </w:p>
        </w:tc>
        <w:tc>
          <w:tcPr>
            <w:tcW w:w="880" w:type="dxa"/>
            <w:vAlign w:val="bottom"/>
            <w:shd w:val="clear" w:color="auto" w:fill="DCDDDE"/>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580" w:type="dxa"/>
            <w:vAlign w:val="bottom"/>
          </w:tcPr>
          <w:p>
            <w:pPr>
              <w:ind w:left="220"/>
              <w:spacing w:after="0"/>
              <w:rPr>
                <w:sz w:val="20"/>
                <w:szCs w:val="20"/>
                <w:color w:val="auto"/>
              </w:rPr>
            </w:pPr>
            <w:r>
              <w:rPr>
                <w:rFonts w:ascii="Arial" w:cs="Arial" w:eastAsia="Arial" w:hAnsi="Arial"/>
                <w:sz w:val="18"/>
                <w:szCs w:val="18"/>
                <w:color w:val="auto"/>
              </w:rPr>
              <w:t>Impairments ²</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9"/>
              <w:spacing w:after="0"/>
              <w:rPr>
                <w:sz w:val="20"/>
                <w:szCs w:val="20"/>
                <w:color w:val="auto"/>
              </w:rPr>
            </w:pPr>
            <w:r>
              <w:rPr>
                <w:rFonts w:ascii="Arial" w:cs="Arial" w:eastAsia="Arial" w:hAnsi="Arial"/>
                <w:sz w:val="18"/>
                <w:szCs w:val="18"/>
                <w:color w:val="auto"/>
              </w:rPr>
              <w:t>(0.40)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Gain/(Loss) on sale of assets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9"/>
              <w:spacing w:after="0"/>
              <w:rPr>
                <w:sz w:val="20"/>
                <w:szCs w:val="20"/>
                <w:color w:val="auto"/>
              </w:rPr>
            </w:pPr>
            <w:r>
              <w:rPr>
                <w:rFonts w:ascii="Arial" w:cs="Arial" w:eastAsia="Arial" w:hAnsi="Arial"/>
                <w:sz w:val="18"/>
                <w:szCs w:val="18"/>
                <w:color w:val="auto"/>
              </w:rPr>
              <w:t>0.17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Tax-related items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9"/>
              <w:spacing w:after="0"/>
              <w:rPr>
                <w:sz w:val="20"/>
                <w:szCs w:val="20"/>
                <w:color w:val="auto"/>
              </w:rPr>
            </w:pPr>
            <w:r>
              <w:rPr>
                <w:rFonts w:ascii="Arial" w:cs="Arial" w:eastAsia="Arial" w:hAnsi="Arial"/>
                <w:sz w:val="18"/>
                <w:szCs w:val="18"/>
                <w:color w:val="auto"/>
              </w:rPr>
              <w:t>0.07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9"/>
              <w:spacing w:after="0"/>
              <w:rPr>
                <w:sz w:val="20"/>
                <w:szCs w:val="20"/>
                <w:color w:val="auto"/>
              </w:rPr>
            </w:pPr>
            <w:r>
              <w:rPr>
                <w:rFonts w:ascii="Arial" w:cs="Arial" w:eastAsia="Arial" w:hAnsi="Arial"/>
                <w:sz w:val="18"/>
                <w:szCs w:val="18"/>
                <w:color w:val="auto"/>
              </w:rPr>
              <w:t>(0.02)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7580" w:type="dxa"/>
            <w:vAlign w:val="bottom"/>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8"/>
                <w:szCs w:val="18"/>
                <w:color w:val="auto"/>
              </w:rPr>
              <w:t>(0.16)</w:t>
            </w:r>
          </w:p>
        </w:tc>
        <w:tc>
          <w:tcPr>
            <w:tcW w:w="1040" w:type="dxa"/>
            <w:vAlign w:val="bottom"/>
          </w:tcPr>
          <w:p>
            <w:pPr>
              <w:jc w:val="right"/>
              <w:ind w:right="16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580" w:type="dxa"/>
            <w:vAlign w:val="bottom"/>
            <w:tcBorders>
              <w:top w:val="single" w:sz="8" w:color="0C479D"/>
              <w:bottom w:val="single" w:sz="8" w:color="0C479D"/>
            </w:tcBorders>
          </w:tcPr>
          <w:p>
            <w:pPr>
              <w:ind w:left="20"/>
              <w:spacing w:after="0"/>
              <w:rPr>
                <w:sz w:val="20"/>
                <w:szCs w:val="20"/>
                <w:color w:val="auto"/>
              </w:rPr>
            </w:pPr>
            <w:r>
              <w:rPr>
                <w:rFonts w:ascii="Arial" w:cs="Arial" w:eastAsia="Arial" w:hAnsi="Arial"/>
                <w:sz w:val="18"/>
                <w:szCs w:val="18"/>
                <w:b w:val="1"/>
                <w:bCs w:val="1"/>
                <w:color w:val="auto"/>
              </w:rPr>
              <w:t>Total Identified Items Per Common Share ¹</w:t>
            </w:r>
          </w:p>
        </w:tc>
        <w:tc>
          <w:tcPr>
            <w:tcW w:w="880" w:type="dxa"/>
            <w:vAlign w:val="bottom"/>
            <w:tcBorders>
              <w:top w:val="single" w:sz="8" w:color="0C479D"/>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(0.16)</w:t>
            </w:r>
          </w:p>
        </w:tc>
        <w:tc>
          <w:tcPr>
            <w:tcW w:w="1040" w:type="dxa"/>
            <w:vAlign w:val="bottom"/>
            <w:tcBorders>
              <w:top w:val="single" w:sz="8" w:color="0C479D"/>
              <w:bottom w:val="single" w:sz="8" w:color="0C479D"/>
            </w:tcBorders>
          </w:tcPr>
          <w:p>
            <w:pPr>
              <w:jc w:val="right"/>
              <w:ind w:right="129"/>
              <w:spacing w:after="0"/>
              <w:rPr>
                <w:sz w:val="20"/>
                <w:szCs w:val="20"/>
                <w:color w:val="auto"/>
              </w:rPr>
            </w:pPr>
            <w:r>
              <w:rPr>
                <w:rFonts w:ascii="Arial" w:cs="Arial" w:eastAsia="Arial" w:hAnsi="Arial"/>
                <w:sz w:val="18"/>
                <w:szCs w:val="18"/>
                <w:b w:val="1"/>
                <w:bCs w:val="1"/>
                <w:color w:val="auto"/>
              </w:rPr>
              <w:t>(0.18)</w:t>
            </w:r>
          </w:p>
        </w:tc>
        <w:tc>
          <w:tcPr>
            <w:tcW w:w="700" w:type="dxa"/>
            <w:vAlign w:val="bottom"/>
            <w:tcBorders>
              <w:top w:val="single" w:sz="8" w:color="0C479D"/>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1"/>
        </w:trPr>
        <w:tc>
          <w:tcPr>
            <w:tcW w:w="7580" w:type="dxa"/>
            <w:vAlign w:val="bottom"/>
            <w:tcBorders>
              <w:bottom w:val="single" w:sz="8" w:color="0C479D"/>
            </w:tcBorders>
          </w:tcPr>
          <w:p>
            <w:pPr>
              <w:spacing w:after="0"/>
              <w:rPr>
                <w:sz w:val="21"/>
                <w:szCs w:val="21"/>
                <w:color w:val="auto"/>
              </w:rPr>
            </w:pPr>
          </w:p>
        </w:tc>
        <w:tc>
          <w:tcPr>
            <w:tcW w:w="880" w:type="dxa"/>
            <w:vAlign w:val="bottom"/>
            <w:tcBorders>
              <w:bottom w:val="single" w:sz="8" w:color="0C479D"/>
            </w:tcBorders>
            <w:shd w:val="clear" w:color="auto" w:fill="DCDDDE"/>
          </w:tcPr>
          <w:p>
            <w:pPr>
              <w:spacing w:after="0"/>
              <w:rPr>
                <w:sz w:val="21"/>
                <w:szCs w:val="21"/>
                <w:color w:val="auto"/>
              </w:rPr>
            </w:pPr>
          </w:p>
        </w:tc>
        <w:tc>
          <w:tcPr>
            <w:tcW w:w="1040" w:type="dxa"/>
            <w:vAlign w:val="bottom"/>
            <w:tcBorders>
              <w:bottom w:val="single" w:sz="8" w:color="0C479D"/>
            </w:tcBorders>
          </w:tcPr>
          <w:p>
            <w:pPr>
              <w:spacing w:after="0"/>
              <w:rPr>
                <w:sz w:val="21"/>
                <w:szCs w:val="21"/>
                <w:color w:val="auto"/>
              </w:rPr>
            </w:pPr>
          </w:p>
        </w:tc>
        <w:tc>
          <w:tcPr>
            <w:tcW w:w="700" w:type="dxa"/>
            <w:vAlign w:val="bottom"/>
            <w:tcBorders>
              <w:bottom w:val="single" w:sz="8" w:color="0C479D"/>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Earnings/(Loss) Excluding Identified Items Per Common Share (non-GAAP) ¹</w:t>
            </w:r>
          </w:p>
        </w:tc>
        <w:tc>
          <w:tcPr>
            <w:tcW w:w="88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1.16</w:t>
            </w:r>
          </w:p>
        </w:tc>
        <w:tc>
          <w:tcPr>
            <w:tcW w:w="1040" w:type="dxa"/>
            <w:vAlign w:val="bottom"/>
            <w:tcBorders>
              <w:bottom w:val="single" w:sz="8" w:color="0C479D"/>
            </w:tcBorders>
          </w:tcPr>
          <w:p>
            <w:pPr>
              <w:jc w:val="right"/>
              <w:ind w:right="169"/>
              <w:spacing w:after="0"/>
              <w:rPr>
                <w:sz w:val="20"/>
                <w:szCs w:val="20"/>
                <w:color w:val="auto"/>
              </w:rPr>
            </w:pPr>
            <w:r>
              <w:rPr>
                <w:rFonts w:ascii="Arial" w:cs="Arial" w:eastAsia="Arial" w:hAnsi="Arial"/>
                <w:sz w:val="18"/>
                <w:szCs w:val="18"/>
                <w:b w:val="1"/>
                <w:bCs w:val="1"/>
                <w:color w:val="auto"/>
              </w:rPr>
              <w:t>1.71</w:t>
            </w:r>
          </w:p>
        </w:tc>
        <w:tc>
          <w:tcPr>
            <w:tcW w:w="70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0C479D"/>
            </w:tcBorders>
          </w:tcPr>
          <w:p>
            <w:pPr>
              <w:spacing w:after="0"/>
              <w:rPr>
                <w:sz w:val="20"/>
                <w:szCs w:val="20"/>
                <w:color w:val="auto"/>
              </w:rPr>
            </w:pPr>
          </w:p>
        </w:tc>
        <w:tc>
          <w:tcPr>
            <w:tcW w:w="880" w:type="dxa"/>
            <w:vAlign w:val="bottom"/>
            <w:tcBorders>
              <w:bottom w:val="single" w:sz="8" w:color="0C479D"/>
            </w:tcBorders>
            <w:shd w:val="clear" w:color="auto" w:fill="DCDDDE"/>
          </w:tcPr>
          <w:p>
            <w:pPr>
              <w:spacing w:after="0"/>
              <w:rPr>
                <w:sz w:val="20"/>
                <w:szCs w:val="20"/>
                <w:color w:val="auto"/>
              </w:rPr>
            </w:pPr>
          </w:p>
        </w:tc>
        <w:tc>
          <w:tcPr>
            <w:tcW w:w="1040" w:type="dxa"/>
            <w:vAlign w:val="bottom"/>
            <w:tcBorders>
              <w:bottom w:val="single" w:sz="8" w:color="0C479D"/>
            </w:tcBorders>
          </w:tcPr>
          <w:p>
            <w:pPr>
              <w:spacing w:after="0"/>
              <w:rPr>
                <w:sz w:val="20"/>
                <w:szCs w:val="20"/>
                <w:color w:val="auto"/>
              </w:rPr>
            </w:pPr>
          </w:p>
        </w:tc>
        <w:tc>
          <w:tcPr>
            <w:tcW w:w="700" w:type="dxa"/>
            <w:vAlign w:val="bottom"/>
            <w:tcBorders>
              <w:bottom w:val="single" w:sz="8" w:color="0C479D"/>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b w:val="1"/>
                <w:bCs w:val="1"/>
                <w:color w:val="auto"/>
              </w:rPr>
              <w:t>Estimated Timing Effects Per Common Share ¹</w:t>
            </w:r>
          </w:p>
        </w:tc>
        <w:tc>
          <w:tcPr>
            <w:tcW w:w="880" w:type="dxa"/>
            <w:vAlign w:val="bottom"/>
            <w:tcBorders>
              <w:bottom w:val="single" w:sz="8" w:color="0C479D"/>
            </w:tcBorders>
            <w:shd w:val="clear" w:color="auto" w:fill="DCDDDE"/>
          </w:tcPr>
          <w:p>
            <w:pPr>
              <w:jc w:val="right"/>
              <w:spacing w:after="0"/>
              <w:rPr>
                <w:sz w:val="20"/>
                <w:szCs w:val="20"/>
                <w:color w:val="auto"/>
              </w:rPr>
            </w:pPr>
            <w:r>
              <w:rPr>
                <w:rFonts w:ascii="Arial" w:cs="Arial" w:eastAsia="Arial" w:hAnsi="Arial"/>
                <w:sz w:val="18"/>
                <w:szCs w:val="18"/>
                <w:b w:val="1"/>
                <w:bCs w:val="1"/>
                <w:color w:val="auto"/>
              </w:rPr>
              <w:t>(0.92)</w:t>
            </w:r>
          </w:p>
        </w:tc>
        <w:tc>
          <w:tcPr>
            <w:tcW w:w="1040" w:type="dxa"/>
            <w:vAlign w:val="bottom"/>
            <w:tcBorders>
              <w:bottom w:val="single" w:sz="8" w:color="0C479D"/>
            </w:tcBorders>
          </w:tcPr>
          <w:p>
            <w:pPr>
              <w:jc w:val="right"/>
              <w:ind w:right="169"/>
              <w:spacing w:after="0"/>
              <w:rPr>
                <w:sz w:val="20"/>
                <w:szCs w:val="20"/>
                <w:color w:val="auto"/>
              </w:rPr>
            </w:pPr>
            <w:r>
              <w:rPr>
                <w:rFonts w:ascii="Arial" w:cs="Arial" w:eastAsia="Arial" w:hAnsi="Arial"/>
                <w:sz w:val="18"/>
                <w:szCs w:val="18"/>
                <w:b w:val="1"/>
                <w:bCs w:val="1"/>
                <w:color w:val="auto"/>
              </w:rPr>
              <w:t>0.08</w:t>
            </w:r>
          </w:p>
        </w:tc>
        <w:tc>
          <w:tcPr>
            <w:tcW w:w="700" w:type="dxa"/>
            <w:vAlign w:val="bottom"/>
            <w:tcBorders>
              <w:bottom w:val="single" w:sz="8" w:color="0C479D"/>
            </w:tcBorders>
          </w:tcPr>
          <w:p>
            <w:pPr>
              <w:jc w:val="right"/>
              <w:spacing w:after="0"/>
              <w:rPr>
                <w:sz w:val="20"/>
                <w:szCs w:val="20"/>
                <w:color w:val="auto"/>
              </w:rPr>
            </w:pPr>
            <w:r>
              <w:rPr>
                <w:rFonts w:ascii="Arial" w:cs="Arial" w:eastAsia="Arial" w:hAnsi="Arial"/>
                <w:sz w:val="18"/>
                <w:szCs w:val="18"/>
                <w:b w:val="1"/>
                <w:bCs w:val="1"/>
                <w:color w:val="auto"/>
              </w:rPr>
              <w:t>0.03</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0C479D"/>
            </w:tcBorders>
          </w:tcPr>
          <w:p>
            <w:pPr>
              <w:spacing w:after="0"/>
              <w:rPr>
                <w:sz w:val="21"/>
                <w:szCs w:val="21"/>
                <w:color w:val="auto"/>
              </w:rPr>
            </w:pPr>
          </w:p>
        </w:tc>
        <w:tc>
          <w:tcPr>
            <w:tcW w:w="880" w:type="dxa"/>
            <w:vAlign w:val="bottom"/>
            <w:tcBorders>
              <w:bottom w:val="single" w:sz="8" w:color="0C479D"/>
            </w:tcBorders>
            <w:shd w:val="clear" w:color="auto" w:fill="DCDDDE"/>
          </w:tcPr>
          <w:p>
            <w:pPr>
              <w:spacing w:after="0"/>
              <w:rPr>
                <w:sz w:val="21"/>
                <w:szCs w:val="21"/>
                <w:color w:val="auto"/>
              </w:rPr>
            </w:pPr>
          </w:p>
        </w:tc>
        <w:tc>
          <w:tcPr>
            <w:tcW w:w="1040" w:type="dxa"/>
            <w:vAlign w:val="bottom"/>
            <w:tcBorders>
              <w:bottom w:val="single" w:sz="8" w:color="0C479D"/>
            </w:tcBorders>
          </w:tcPr>
          <w:p>
            <w:pPr>
              <w:spacing w:after="0"/>
              <w:rPr>
                <w:sz w:val="21"/>
                <w:szCs w:val="21"/>
                <w:color w:val="auto"/>
              </w:rPr>
            </w:pPr>
          </w:p>
        </w:tc>
        <w:tc>
          <w:tcPr>
            <w:tcW w:w="700" w:type="dxa"/>
            <w:vAlign w:val="bottom"/>
            <w:tcBorders>
              <w:bottom w:val="single" w:sz="8" w:color="0C479D"/>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758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Earnings/(Loss) Excluding Identified Items and Estimated Timing Effects Per Common</w:t>
            </w:r>
          </w:p>
        </w:tc>
        <w:tc>
          <w:tcPr>
            <w:tcW w:w="880" w:type="dxa"/>
            <w:vAlign w:val="bottom"/>
            <w:vMerge w:val="restart"/>
            <w:shd w:val="clear" w:color="auto" w:fill="DCDDDE"/>
          </w:tcPr>
          <w:p>
            <w:pPr>
              <w:jc w:val="right"/>
              <w:spacing w:after="0"/>
              <w:rPr>
                <w:sz w:val="20"/>
                <w:szCs w:val="20"/>
                <w:color w:val="auto"/>
              </w:rPr>
            </w:pPr>
            <w:r>
              <w:rPr>
                <w:rFonts w:ascii="Arial" w:cs="Arial" w:eastAsia="Arial" w:hAnsi="Arial"/>
                <w:sz w:val="18"/>
                <w:szCs w:val="18"/>
                <w:b w:val="1"/>
                <w:bCs w:val="1"/>
                <w:color w:val="auto"/>
              </w:rPr>
              <w:t>2.09</w:t>
            </w:r>
          </w:p>
        </w:tc>
        <w:tc>
          <w:tcPr>
            <w:tcW w:w="1040" w:type="dxa"/>
            <w:vAlign w:val="bottom"/>
            <w:vMerge w:val="restart"/>
          </w:tcPr>
          <w:p>
            <w:pPr>
              <w:jc w:val="right"/>
              <w:ind w:right="169"/>
              <w:spacing w:after="0"/>
              <w:rPr>
                <w:sz w:val="20"/>
                <w:szCs w:val="20"/>
                <w:color w:val="auto"/>
              </w:rPr>
            </w:pPr>
            <w:r>
              <w:rPr>
                <w:rFonts w:ascii="Arial" w:cs="Arial" w:eastAsia="Arial" w:hAnsi="Arial"/>
                <w:sz w:val="18"/>
                <w:szCs w:val="18"/>
                <w:b w:val="1"/>
                <w:bCs w:val="1"/>
                <w:color w:val="auto"/>
              </w:rPr>
              <w:t>1.63</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161"/>
        </w:trPr>
        <w:tc>
          <w:tcPr>
            <w:tcW w:w="7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Share (non-GAAP) ¹</w:t>
            </w:r>
          </w:p>
        </w:tc>
        <w:tc>
          <w:tcPr>
            <w:tcW w:w="880" w:type="dxa"/>
            <w:vAlign w:val="bottom"/>
            <w:vMerge w:val="continue"/>
            <w:shd w:val="clear" w:color="auto" w:fill="DCDDDE"/>
          </w:tcPr>
          <w:p>
            <w:pPr>
              <w:spacing w:after="0"/>
              <w:rPr>
                <w:sz w:val="13"/>
                <w:szCs w:val="13"/>
                <w:color w:val="auto"/>
              </w:rPr>
            </w:pPr>
          </w:p>
        </w:tc>
        <w:tc>
          <w:tcPr>
            <w:tcW w:w="10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7580" w:type="dxa"/>
            <w:vAlign w:val="bottom"/>
            <w:tcBorders>
              <w:bottom w:val="single" w:sz="8" w:color="0C479D"/>
            </w:tcBorders>
            <w:vMerge w:val="continue"/>
          </w:tcPr>
          <w:p>
            <w:pPr>
              <w:spacing w:after="0"/>
              <w:rPr>
                <w:sz w:val="7"/>
                <w:szCs w:val="7"/>
                <w:color w:val="auto"/>
              </w:rPr>
            </w:pPr>
          </w:p>
        </w:tc>
        <w:tc>
          <w:tcPr>
            <w:tcW w:w="880" w:type="dxa"/>
            <w:vAlign w:val="bottom"/>
            <w:tcBorders>
              <w:bottom w:val="single" w:sz="8" w:color="0C479D"/>
            </w:tcBorders>
            <w:shd w:val="clear" w:color="auto" w:fill="DCDDDE"/>
          </w:tcPr>
          <w:p>
            <w:pPr>
              <w:spacing w:after="0"/>
              <w:rPr>
                <w:sz w:val="7"/>
                <w:szCs w:val="7"/>
                <w:color w:val="auto"/>
              </w:rPr>
            </w:pPr>
          </w:p>
        </w:tc>
        <w:tc>
          <w:tcPr>
            <w:tcW w:w="1040" w:type="dxa"/>
            <w:vAlign w:val="bottom"/>
            <w:tcBorders>
              <w:bottom w:val="single" w:sz="8" w:color="0C479D"/>
            </w:tcBorders>
          </w:tcPr>
          <w:p>
            <w:pPr>
              <w:spacing w:after="0"/>
              <w:rPr>
                <w:sz w:val="7"/>
                <w:szCs w:val="7"/>
                <w:color w:val="auto"/>
              </w:rPr>
            </w:pPr>
          </w:p>
        </w:tc>
        <w:tc>
          <w:tcPr>
            <w:tcW w:w="700" w:type="dxa"/>
            <w:vAlign w:val="bottom"/>
            <w:tcBorders>
              <w:bottom w:val="single" w:sz="8" w:color="0C479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¹ Assuming dilution.</w:t>
      </w:r>
    </w:p>
    <w:p>
      <w:pPr>
        <w:spacing w:after="0" w:line="55" w:lineRule="exact"/>
        <w:rPr>
          <w:sz w:val="20"/>
          <w:szCs w:val="20"/>
          <w:color w:val="auto"/>
        </w:rPr>
      </w:pPr>
    </w:p>
    <w:p>
      <w:pPr>
        <w:ind w:left="100" w:right="100" w:hanging="82"/>
        <w:spacing w:after="0" w:line="212" w:lineRule="auto"/>
        <w:tabs>
          <w:tab w:leader="none" w:pos="97"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Fourth quarter includes charge of $640 million associated with the optimization of materials and supply inventory. Materials and supplies impacts are included in production and manufacturing expenses on the Consolidated Statement of Income.</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200"/>
          </w:cols>
          <w:pgMar w:left="800" w:top="692" w:right="899" w:bottom="1440" w:gutter="0" w:footer="0" w:header="0"/>
        </w:sectPr>
      </w:pPr>
    </w:p>
    <w:bookmarkStart w:id="19" w:name="page20"/>
    <w:bookmarkEnd w:id="19"/>
    <w:p>
      <w:pPr>
        <w:ind w:left="8780"/>
        <w:spacing w:after="0"/>
        <w:rPr>
          <w:sz w:val="20"/>
          <w:szCs w:val="20"/>
          <w:color w:val="auto"/>
        </w:rPr>
      </w:pPr>
      <w:r>
        <w:rPr>
          <w:rFonts w:ascii="Arial" w:cs="Arial" w:eastAsia="Arial" w:hAnsi="Arial"/>
          <w:sz w:val="16"/>
          <w:szCs w:val="16"/>
          <w:b w:val="1"/>
          <w:bCs w:val="1"/>
          <w:color w:val="auto"/>
        </w:rPr>
        <w:t>ATTACHMENT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285875" cy="25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IDENTIFIED ITEMS AND ESTIMATED TIMING EFFECTS BY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60" w:type="dxa"/>
            <w:vAlign w:val="bottom"/>
            <w:tcBorders>
              <w:right w:val="single" w:sz="8" w:color="0C479D"/>
            </w:tcBorders>
            <w:shd w:val="clear" w:color="auto" w:fill="000000"/>
          </w:tcPr>
          <w:p>
            <w:pPr>
              <w:spacing w:after="0"/>
              <w:rPr>
                <w:sz w:val="20"/>
                <w:szCs w:val="20"/>
                <w:color w:val="auto"/>
              </w:rPr>
            </w:pPr>
            <w:r>
              <w:rPr>
                <w:rFonts w:ascii="Arial" w:cs="Arial" w:eastAsia="Arial" w:hAnsi="Arial"/>
                <w:sz w:val="13"/>
                <w:szCs w:val="13"/>
                <w:b w:val="1"/>
                <w:bCs w:val="1"/>
                <w:color w:val="FFFFFF"/>
              </w:rPr>
              <w:t>First Quarter 2026</w:t>
            </w:r>
          </w:p>
        </w:tc>
        <w:tc>
          <w:tcPr>
            <w:tcW w:w="1540" w:type="dxa"/>
            <w:vAlign w:val="bottom"/>
            <w:tcBorders>
              <w:right w:val="single" w:sz="8" w:color="0C479D"/>
            </w:tcBorders>
            <w:gridSpan w:val="3"/>
            <w:shd w:val="clear" w:color="auto" w:fill="0C479D"/>
          </w:tcPr>
          <w:p>
            <w:pPr>
              <w:jc w:val="right"/>
              <w:ind w:right="436"/>
              <w:spacing w:after="0"/>
              <w:rPr>
                <w:sz w:val="20"/>
                <w:szCs w:val="20"/>
                <w:color w:val="auto"/>
              </w:rPr>
            </w:pPr>
            <w:r>
              <w:rPr>
                <w:rFonts w:ascii="Arial" w:cs="Arial" w:eastAsia="Arial" w:hAnsi="Arial"/>
                <w:sz w:val="13"/>
                <w:szCs w:val="13"/>
                <w:b w:val="1"/>
                <w:bCs w:val="1"/>
                <w:color w:val="FFFFFF"/>
              </w:rPr>
              <w:t>Upstream</w:t>
            </w:r>
          </w:p>
        </w:tc>
        <w:tc>
          <w:tcPr>
            <w:tcW w:w="1540" w:type="dxa"/>
            <w:vAlign w:val="bottom"/>
            <w:tcBorders>
              <w:right w:val="single" w:sz="8" w:color="0C479D"/>
            </w:tcBorders>
            <w:gridSpan w:val="2"/>
            <w:shd w:val="clear" w:color="auto" w:fill="0C479D"/>
          </w:tcPr>
          <w:p>
            <w:pPr>
              <w:ind w:left="240"/>
              <w:spacing w:after="0"/>
              <w:rPr>
                <w:sz w:val="20"/>
                <w:szCs w:val="20"/>
                <w:color w:val="auto"/>
              </w:rPr>
            </w:pPr>
            <w:r>
              <w:rPr>
                <w:rFonts w:ascii="Arial" w:cs="Arial" w:eastAsia="Arial" w:hAnsi="Arial"/>
                <w:sz w:val="13"/>
                <w:szCs w:val="13"/>
                <w:b w:val="1"/>
                <w:bCs w:val="1"/>
                <w:color w:val="FFFFFF"/>
              </w:rPr>
              <w:t>Energy Products</w:t>
            </w:r>
          </w:p>
        </w:tc>
        <w:tc>
          <w:tcPr>
            <w:tcW w:w="1540" w:type="dxa"/>
            <w:vAlign w:val="bottom"/>
            <w:tcBorders>
              <w:right w:val="single" w:sz="8" w:color="0C479D"/>
            </w:tcBorders>
            <w:gridSpan w:val="2"/>
            <w:shd w:val="clear" w:color="auto" w:fill="0C479D"/>
          </w:tcPr>
          <w:p>
            <w:pPr>
              <w:jc w:val="right"/>
              <w:ind w:right="156"/>
              <w:spacing w:after="0"/>
              <w:rPr>
                <w:sz w:val="20"/>
                <w:szCs w:val="20"/>
                <w:color w:val="auto"/>
              </w:rPr>
            </w:pPr>
            <w:r>
              <w:rPr>
                <w:rFonts w:ascii="Arial" w:cs="Arial" w:eastAsia="Arial" w:hAnsi="Arial"/>
                <w:sz w:val="13"/>
                <w:szCs w:val="13"/>
                <w:b w:val="1"/>
                <w:bCs w:val="1"/>
                <w:color w:val="FFFFFF"/>
              </w:rPr>
              <w:t>Chemical Products</w:t>
            </w:r>
          </w:p>
        </w:tc>
        <w:tc>
          <w:tcPr>
            <w:tcW w:w="1540" w:type="dxa"/>
            <w:vAlign w:val="bottom"/>
            <w:tcBorders>
              <w:right w:val="single" w:sz="8" w:color="0C479D"/>
            </w:tcBorders>
            <w:gridSpan w:val="2"/>
            <w:shd w:val="clear" w:color="auto" w:fill="0C479D"/>
          </w:tcPr>
          <w:p>
            <w:pPr>
              <w:jc w:val="right"/>
              <w:ind w:right="156"/>
              <w:spacing w:after="0"/>
              <w:rPr>
                <w:sz w:val="20"/>
                <w:szCs w:val="20"/>
                <w:color w:val="auto"/>
              </w:rPr>
            </w:pPr>
            <w:r>
              <w:rPr>
                <w:rFonts w:ascii="Arial" w:cs="Arial" w:eastAsia="Arial" w:hAnsi="Arial"/>
                <w:sz w:val="13"/>
                <w:szCs w:val="13"/>
                <w:b w:val="1"/>
                <w:bCs w:val="1"/>
                <w:color w:val="FFFFFF"/>
              </w:rPr>
              <w:t>Specialty Products</w:t>
            </w:r>
          </w:p>
        </w:tc>
        <w:tc>
          <w:tcPr>
            <w:tcW w:w="80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b w:val="1"/>
                <w:bCs w:val="1"/>
                <w:color w:val="FFFFFF"/>
                <w:w w:val="95"/>
              </w:rPr>
              <w:t>Corporate &amp;</w:t>
            </w:r>
          </w:p>
        </w:tc>
        <w:tc>
          <w:tcPr>
            <w:tcW w:w="760" w:type="dxa"/>
            <w:vAlign w:val="bottom"/>
            <w:gridSpan w:val="2"/>
            <w:vMerge w:val="restart"/>
            <w:shd w:val="clear" w:color="auto" w:fill="000000"/>
          </w:tcPr>
          <w:p>
            <w:pPr>
              <w:jc w:val="center"/>
              <w:ind w:right="20"/>
              <w:spacing w:after="0"/>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48"/>
        </w:trPr>
        <w:tc>
          <w:tcPr>
            <w:tcW w:w="2460" w:type="dxa"/>
            <w:vAlign w:val="bottom"/>
            <w:tcBorders>
              <w:right w:val="single" w:sz="8" w:color="0C479D"/>
            </w:tcBorders>
            <w:shd w:val="clear" w:color="auto" w:fill="000000"/>
          </w:tcPr>
          <w:p>
            <w:pPr>
              <w:spacing w:after="0"/>
              <w:rPr>
                <w:sz w:val="4"/>
                <w:szCs w:val="4"/>
                <w:color w:val="auto"/>
              </w:rPr>
            </w:pPr>
          </w:p>
        </w:tc>
        <w:tc>
          <w:tcPr>
            <w:tcW w:w="740" w:type="dxa"/>
            <w:vAlign w:val="bottom"/>
            <w:shd w:val="clear" w:color="auto" w:fill="0C479D"/>
          </w:tcPr>
          <w:p>
            <w:pPr>
              <w:spacing w:after="0"/>
              <w:rPr>
                <w:sz w:val="4"/>
                <w:szCs w:val="4"/>
                <w:color w:val="auto"/>
              </w:rPr>
            </w:pPr>
          </w:p>
        </w:tc>
        <w:tc>
          <w:tcPr>
            <w:tcW w:w="12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6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6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6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00" w:type="dxa"/>
            <w:vAlign w:val="bottom"/>
            <w:tcBorders>
              <w:right w:val="single" w:sz="8" w:color="0C479D"/>
            </w:tcBorders>
            <w:vMerge w:val="continue"/>
            <w:shd w:val="clear" w:color="auto" w:fill="0C479D"/>
          </w:tcPr>
          <w:p>
            <w:pPr>
              <w:spacing w:after="0"/>
              <w:rPr>
                <w:sz w:val="4"/>
                <w:szCs w:val="4"/>
                <w:color w:val="auto"/>
              </w:rPr>
            </w:pPr>
          </w:p>
        </w:tc>
        <w:tc>
          <w:tcPr>
            <w:tcW w:w="760" w:type="dxa"/>
            <w:vAlign w:val="bottom"/>
            <w:gridSpan w:val="2"/>
            <w:vMerge w:val="continue"/>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460" w:type="dxa"/>
            <w:vAlign w:val="bottom"/>
            <w:tcBorders>
              <w:right w:val="single" w:sz="8" w:color="0C479D"/>
            </w:tcBorders>
            <w:vMerge w:val="restart"/>
            <w:shd w:val="clear" w:color="auto" w:fill="000000"/>
          </w:tcPr>
          <w:p>
            <w:pPr>
              <w:spacing w:after="0"/>
              <w:rPr>
                <w:sz w:val="20"/>
                <w:szCs w:val="20"/>
                <w:color w:val="auto"/>
              </w:rPr>
            </w:pPr>
            <w:r>
              <w:rPr>
                <w:rFonts w:ascii="Arial" w:cs="Arial" w:eastAsia="Arial" w:hAnsi="Arial"/>
                <w:sz w:val="12"/>
                <w:szCs w:val="12"/>
                <w:i w:val="1"/>
                <w:iCs w:val="1"/>
                <w:color w:val="FFFFFF"/>
              </w:rPr>
              <w:t>Dollars in millions (unless otherwise noted)</w:t>
            </w:r>
          </w:p>
        </w:tc>
        <w:tc>
          <w:tcPr>
            <w:tcW w:w="740" w:type="dxa"/>
            <w:vAlign w:val="bottom"/>
            <w:vMerge w:val="restart"/>
            <w:shd w:val="clear" w:color="auto" w:fill="0C479D"/>
          </w:tcPr>
          <w:p>
            <w:pPr>
              <w:jc w:val="center"/>
              <w:spacing w:after="0"/>
              <w:rPr>
                <w:sz w:val="20"/>
                <w:szCs w:val="20"/>
                <w:color w:val="auto"/>
              </w:rPr>
            </w:pPr>
            <w:r>
              <w:rPr>
                <w:rFonts w:ascii="Arial" w:cs="Arial" w:eastAsia="Arial" w:hAnsi="Arial"/>
                <w:sz w:val="13"/>
                <w:szCs w:val="13"/>
                <w:color w:val="FFFFFF"/>
                <w:w w:val="94"/>
              </w:rPr>
              <w:t>U.S.</w:t>
            </w:r>
          </w:p>
        </w:tc>
        <w:tc>
          <w:tcPr>
            <w:tcW w:w="120" w:type="dxa"/>
            <w:vAlign w:val="bottom"/>
            <w:shd w:val="clear" w:color="auto" w:fill="0C479D"/>
          </w:tcPr>
          <w:p>
            <w:pPr>
              <w:spacing w:after="0"/>
              <w:rPr>
                <w:sz w:val="9"/>
                <w:szCs w:val="9"/>
                <w:color w:val="auto"/>
              </w:rPr>
            </w:pP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jc w:val="center"/>
              <w:ind w:right="76"/>
              <w:spacing w:after="0"/>
              <w:rPr>
                <w:sz w:val="20"/>
                <w:szCs w:val="20"/>
                <w:color w:val="auto"/>
              </w:rPr>
            </w:pPr>
            <w:r>
              <w:rPr>
                <w:rFonts w:ascii="Arial" w:cs="Arial" w:eastAsia="Arial" w:hAnsi="Arial"/>
                <w:sz w:val="13"/>
                <w:szCs w:val="13"/>
                <w:color w:val="FFFFFF"/>
                <w:w w:val="94"/>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jc w:val="center"/>
              <w:ind w:right="76"/>
              <w:spacing w:after="0"/>
              <w:rPr>
                <w:sz w:val="20"/>
                <w:szCs w:val="20"/>
                <w:color w:val="auto"/>
              </w:rPr>
            </w:pPr>
            <w:r>
              <w:rPr>
                <w:rFonts w:ascii="Arial" w:cs="Arial" w:eastAsia="Arial" w:hAnsi="Arial"/>
                <w:sz w:val="13"/>
                <w:szCs w:val="13"/>
                <w:color w:val="FFFFFF"/>
                <w:w w:val="94"/>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0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b w:val="1"/>
                <w:bCs w:val="1"/>
                <w:color w:val="FFFFFF"/>
                <w:w w:val="97"/>
              </w:rPr>
              <w:t>Financing</w:t>
            </w:r>
          </w:p>
        </w:tc>
        <w:tc>
          <w:tcPr>
            <w:tcW w:w="760" w:type="dxa"/>
            <w:vAlign w:val="bottom"/>
            <w:gridSpan w:val="2"/>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460" w:type="dxa"/>
            <w:vAlign w:val="bottom"/>
            <w:tcBorders>
              <w:right w:val="single" w:sz="8" w:color="0C479D"/>
            </w:tcBorders>
            <w:vMerge w:val="continue"/>
            <w:shd w:val="clear" w:color="auto" w:fill="000000"/>
          </w:tcPr>
          <w:p>
            <w:pPr>
              <w:spacing w:after="0"/>
              <w:rPr>
                <w:sz w:val="5"/>
                <w:szCs w:val="5"/>
                <w:color w:val="auto"/>
              </w:rPr>
            </w:pPr>
          </w:p>
        </w:tc>
        <w:tc>
          <w:tcPr>
            <w:tcW w:w="740" w:type="dxa"/>
            <w:vAlign w:val="bottom"/>
            <w:vMerge w:val="continue"/>
            <w:shd w:val="clear" w:color="auto" w:fill="0C479D"/>
          </w:tcPr>
          <w:p>
            <w:pPr>
              <w:spacing w:after="0"/>
              <w:rPr>
                <w:sz w:val="5"/>
                <w:szCs w:val="5"/>
                <w:color w:val="auto"/>
              </w:rPr>
            </w:pPr>
          </w:p>
        </w:tc>
        <w:tc>
          <w:tcPr>
            <w:tcW w:w="120" w:type="dxa"/>
            <w:vAlign w:val="bottom"/>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00" w:type="dxa"/>
            <w:vAlign w:val="bottom"/>
            <w:tcBorders>
              <w:right w:val="single" w:sz="8" w:color="0C479D"/>
            </w:tcBorders>
            <w:vMerge w:val="continue"/>
            <w:shd w:val="clear" w:color="auto" w:fill="0C479D"/>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460" w:type="dxa"/>
            <w:vAlign w:val="bottom"/>
            <w:tcBorders>
              <w:right w:val="single" w:sz="8" w:color="0C479D"/>
            </w:tcBorders>
            <w:vMerge w:val="continue"/>
            <w:shd w:val="clear" w:color="auto" w:fill="000000"/>
          </w:tcPr>
          <w:p>
            <w:pPr>
              <w:spacing w:after="0"/>
              <w:rPr>
                <w:sz w:val="8"/>
                <w:szCs w:val="8"/>
                <w:color w:val="auto"/>
              </w:rPr>
            </w:pPr>
          </w:p>
        </w:tc>
        <w:tc>
          <w:tcPr>
            <w:tcW w:w="740" w:type="dxa"/>
            <w:vAlign w:val="bottom"/>
            <w:vMerge w:val="continue"/>
            <w:shd w:val="clear" w:color="auto" w:fill="0C479D"/>
          </w:tcPr>
          <w:p>
            <w:pPr>
              <w:spacing w:after="0"/>
              <w:rPr>
                <w:sz w:val="8"/>
                <w:szCs w:val="8"/>
                <w:color w:val="auto"/>
              </w:rPr>
            </w:pPr>
          </w:p>
        </w:tc>
        <w:tc>
          <w:tcPr>
            <w:tcW w:w="120" w:type="dxa"/>
            <w:vAlign w:val="bottom"/>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60" w:type="dxa"/>
            <w:vAlign w:val="bottom"/>
            <w:vMerge w:val="continue"/>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60" w:type="dxa"/>
            <w:vAlign w:val="bottom"/>
            <w:vMerge w:val="continue"/>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60" w:type="dxa"/>
            <w:vAlign w:val="bottom"/>
            <w:vMerge w:val="continue"/>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00" w:type="dxa"/>
            <w:vAlign w:val="bottom"/>
            <w:tcBorders>
              <w:right w:val="single" w:sz="8" w:color="0C479D"/>
            </w:tcBorders>
            <w:shd w:val="clear" w:color="auto" w:fill="0C479D"/>
          </w:tcPr>
          <w:p>
            <w:pPr>
              <w:spacing w:after="0"/>
              <w:rPr>
                <w:sz w:val="8"/>
                <w:szCs w:val="8"/>
                <w:color w:val="auto"/>
              </w:rPr>
            </w:pPr>
          </w:p>
        </w:tc>
        <w:tc>
          <w:tcPr>
            <w:tcW w:w="720" w:type="dxa"/>
            <w:vAlign w:val="bottom"/>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60" w:type="dxa"/>
            <w:vAlign w:val="bottom"/>
            <w:tcBorders>
              <w:right w:val="single" w:sz="8" w:color="0C479D"/>
            </w:tcBorders>
            <w:shd w:val="clear" w:color="auto" w:fill="000000"/>
          </w:tcPr>
          <w:p>
            <w:pPr>
              <w:spacing w:after="0"/>
              <w:rPr>
                <w:sz w:val="8"/>
                <w:szCs w:val="8"/>
                <w:color w:val="auto"/>
              </w:rPr>
            </w:pPr>
          </w:p>
        </w:tc>
        <w:tc>
          <w:tcPr>
            <w:tcW w:w="740" w:type="dxa"/>
            <w:vAlign w:val="bottom"/>
            <w:tcBorders>
              <w:bottom w:val="single" w:sz="8" w:color="0C479D"/>
            </w:tcBorders>
            <w:shd w:val="clear" w:color="auto" w:fill="0C479D"/>
          </w:tcPr>
          <w:p>
            <w:pPr>
              <w:spacing w:after="0"/>
              <w:rPr>
                <w:sz w:val="8"/>
                <w:szCs w:val="8"/>
                <w:color w:val="auto"/>
              </w:rPr>
            </w:pPr>
          </w:p>
        </w:tc>
        <w:tc>
          <w:tcPr>
            <w:tcW w:w="12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00" w:type="dxa"/>
            <w:vAlign w:val="bottom"/>
            <w:tcBorders>
              <w:bottom w:val="single" w:sz="8" w:color="0C479D"/>
              <w:right w:val="single" w:sz="8" w:color="0C479D"/>
            </w:tcBorders>
            <w:shd w:val="clear" w:color="auto" w:fill="0C479D"/>
          </w:tcPr>
          <w:p>
            <w:pPr>
              <w:spacing w:after="0"/>
              <w:rPr>
                <w:sz w:val="8"/>
                <w:szCs w:val="8"/>
                <w:color w:val="auto"/>
              </w:rPr>
            </w:pPr>
          </w:p>
        </w:tc>
        <w:tc>
          <w:tcPr>
            <w:tcW w:w="720" w:type="dxa"/>
            <w:vAlign w:val="bottom"/>
            <w:tcBorders>
              <w:bottom w:val="single" w:sz="8" w:color="DCDDDE"/>
            </w:tcBorders>
            <w:shd w:val="clear" w:color="auto" w:fill="000000"/>
          </w:tcPr>
          <w:p>
            <w:pPr>
              <w:spacing w:after="0"/>
              <w:rPr>
                <w:sz w:val="8"/>
                <w:szCs w:val="8"/>
                <w:color w:val="auto"/>
              </w:rPr>
            </w:pPr>
          </w:p>
        </w:tc>
        <w:tc>
          <w:tcPr>
            <w:tcW w:w="40" w:type="dxa"/>
            <w:vAlign w:val="bottom"/>
            <w:tcBorders>
              <w:bottom w:val="single" w:sz="8" w:color="DCDDDE"/>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(U.S. GAAP)</w:t>
            </w:r>
          </w:p>
        </w:tc>
        <w:tc>
          <w:tcPr>
            <w:tcW w:w="740" w:type="dxa"/>
            <w:vAlign w:val="bottom"/>
          </w:tcPr>
          <w:p>
            <w:pPr>
              <w:jc w:val="right"/>
              <w:ind w:right="16"/>
              <w:spacing w:after="0"/>
              <w:rPr>
                <w:sz w:val="20"/>
                <w:szCs w:val="20"/>
                <w:color w:val="auto"/>
              </w:rPr>
            </w:pPr>
            <w:r>
              <w:rPr>
                <w:rFonts w:ascii="Arial" w:cs="Arial" w:eastAsia="Arial" w:hAnsi="Arial"/>
                <w:sz w:val="13"/>
                <w:szCs w:val="13"/>
                <w:b w:val="1"/>
                <w:bCs w:val="1"/>
                <w:color w:val="auto"/>
              </w:rPr>
              <w:t>1,574</w:t>
            </w:r>
          </w:p>
        </w:tc>
        <w:tc>
          <w:tcPr>
            <w:tcW w:w="120" w:type="dxa"/>
            <w:vAlign w:val="bottom"/>
          </w:tcPr>
          <w:p>
            <w:pPr>
              <w:spacing w:after="0"/>
              <w:rPr>
                <w:sz w:val="19"/>
                <w:szCs w:val="19"/>
                <w:color w:val="auto"/>
              </w:rPr>
            </w:pP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4,163</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661</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b w:val="1"/>
                <w:bCs w:val="1"/>
                <w:color w:val="auto"/>
              </w:rPr>
              <w:t>(1,923)</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319</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b w:val="1"/>
                <w:bCs w:val="1"/>
                <w:color w:val="auto"/>
              </w:rPr>
              <w:t>(209)</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274</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377</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b w:val="1"/>
                <w:bCs w:val="1"/>
                <w:color w:val="auto"/>
              </w:rPr>
              <w:t>(1,053)</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4,183</w:t>
            </w: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color w:val="auto"/>
              </w:rPr>
              <w:t>Identified Items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00" w:type="dxa"/>
            <w:vAlign w:val="bottom"/>
            <w:tcBorders>
              <w:right w:val="single" w:sz="8" w:color="0C479D"/>
            </w:tcBorders>
          </w:tcPr>
          <w:p>
            <w:pPr>
              <w:spacing w:after="0"/>
              <w:rPr>
                <w:sz w:val="24"/>
                <w:szCs w:val="24"/>
                <w:color w:val="auto"/>
              </w:rPr>
            </w:pPr>
          </w:p>
        </w:tc>
        <w:tc>
          <w:tcPr>
            <w:tcW w:w="72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460" w:type="dxa"/>
            <w:vAlign w:val="bottom"/>
            <w:tcBorders>
              <w:right w:val="single" w:sz="8" w:color="0C479D"/>
            </w:tcBorders>
          </w:tcPr>
          <w:p>
            <w:pPr>
              <w:ind w:left="120"/>
              <w:spacing w:after="0"/>
              <w:rPr>
                <w:sz w:val="20"/>
                <w:szCs w:val="20"/>
                <w:color w:val="auto"/>
              </w:rPr>
            </w:pPr>
            <w:r>
              <w:rPr>
                <w:rFonts w:ascii="Arial" w:cs="Arial" w:eastAsia="Arial" w:hAnsi="Arial"/>
                <w:sz w:val="13"/>
                <w:szCs w:val="13"/>
                <w:color w:val="auto"/>
              </w:rPr>
              <w:t>Other</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color w:val="auto"/>
              </w:rPr>
              <w:t>(706)</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(706)</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460" w:type="dxa"/>
            <w:vAlign w:val="bottom"/>
            <w:tcBorders>
              <w:bottom w:val="single" w:sz="8" w:color="0C479D"/>
              <w:right w:val="single" w:sz="8" w:color="0C479D"/>
            </w:tcBorders>
          </w:tcPr>
          <w:p>
            <w:pPr>
              <w:spacing w:after="0"/>
              <w:rPr>
                <w:sz w:val="7"/>
                <w:szCs w:val="7"/>
                <w:color w:val="auto"/>
              </w:rPr>
            </w:pPr>
          </w:p>
        </w:tc>
        <w:tc>
          <w:tcPr>
            <w:tcW w:w="740" w:type="dxa"/>
            <w:vAlign w:val="bottom"/>
            <w:tcBorders>
              <w:bottom w:val="single" w:sz="8" w:color="0C479D"/>
            </w:tcBorders>
          </w:tcPr>
          <w:p>
            <w:pPr>
              <w:spacing w:after="0"/>
              <w:rPr>
                <w:sz w:val="7"/>
                <w:szCs w:val="7"/>
                <w:color w:val="auto"/>
              </w:rPr>
            </w:pPr>
          </w:p>
        </w:tc>
        <w:tc>
          <w:tcPr>
            <w:tcW w:w="12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00" w:type="dxa"/>
            <w:vAlign w:val="bottom"/>
            <w:tcBorders>
              <w:bottom w:val="single" w:sz="8" w:color="0C479D"/>
              <w:right w:val="single" w:sz="8" w:color="0C479D"/>
            </w:tcBorders>
          </w:tcPr>
          <w:p>
            <w:pPr>
              <w:spacing w:after="0"/>
              <w:rPr>
                <w:sz w:val="7"/>
                <w:szCs w:val="7"/>
                <w:color w:val="auto"/>
              </w:rPr>
            </w:pPr>
          </w:p>
        </w:tc>
        <w:tc>
          <w:tcPr>
            <w:tcW w:w="720" w:type="dxa"/>
            <w:vAlign w:val="bottom"/>
            <w:tcBorders>
              <w:bottom w:val="single" w:sz="8" w:color="0C479D"/>
            </w:tcBorders>
            <w:shd w:val="clear" w:color="auto" w:fill="DCDDDE"/>
          </w:tcPr>
          <w:p>
            <w:pPr>
              <w:spacing w:after="0"/>
              <w:rPr>
                <w:sz w:val="7"/>
                <w:szCs w:val="7"/>
                <w:color w:val="auto"/>
              </w:rPr>
            </w:pPr>
          </w:p>
        </w:tc>
        <w:tc>
          <w:tcPr>
            <w:tcW w:w="40" w:type="dxa"/>
            <w:vAlign w:val="bottom"/>
            <w:tcBorders>
              <w:bottom w:val="single" w:sz="8" w:color="0C479D"/>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Total Identified Items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b w:val="1"/>
                <w:bCs w:val="1"/>
                <w:color w:val="auto"/>
              </w:rPr>
              <w:t>(706)</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80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(706)</w:t>
            </w: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Excl. Identified Items</w:t>
            </w:r>
          </w:p>
        </w:tc>
        <w:tc>
          <w:tcPr>
            <w:tcW w:w="7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1,574</w:t>
            </w:r>
          </w:p>
        </w:tc>
        <w:tc>
          <w:tcPr>
            <w:tcW w:w="120" w:type="dxa"/>
            <w:vAlign w:val="bottom"/>
          </w:tcPr>
          <w:p>
            <w:pPr>
              <w:spacing w:after="0"/>
              <w:rPr>
                <w:sz w:val="21"/>
                <w:szCs w:val="21"/>
                <w:color w:val="auto"/>
              </w:rPr>
            </w:pP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4,163</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661</w:t>
            </w:r>
          </w:p>
        </w:tc>
        <w:tc>
          <w:tcPr>
            <w:tcW w:w="680" w:type="dxa"/>
            <w:vAlign w:val="bottom"/>
            <w:tcBorders>
              <w:right w:val="single" w:sz="8" w:color="0C479D"/>
            </w:tcBorders>
            <w:vMerge w:val="restart"/>
          </w:tcPr>
          <w:p>
            <w:pPr>
              <w:jc w:val="right"/>
              <w:ind w:right="16"/>
              <w:spacing w:after="0"/>
              <w:rPr>
                <w:sz w:val="20"/>
                <w:szCs w:val="20"/>
                <w:color w:val="auto"/>
              </w:rPr>
            </w:pPr>
            <w:r>
              <w:rPr>
                <w:rFonts w:ascii="Arial" w:cs="Arial" w:eastAsia="Arial" w:hAnsi="Arial"/>
                <w:sz w:val="13"/>
                <w:szCs w:val="13"/>
                <w:b w:val="1"/>
                <w:bCs w:val="1"/>
                <w:color w:val="auto"/>
              </w:rPr>
              <w:t>(1,217)</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319</w:t>
            </w:r>
          </w:p>
        </w:tc>
        <w:tc>
          <w:tcPr>
            <w:tcW w:w="680" w:type="dxa"/>
            <w:vAlign w:val="bottom"/>
            <w:tcBorders>
              <w:right w:val="single" w:sz="8" w:color="0C479D"/>
            </w:tcBorders>
            <w:vMerge w:val="restart"/>
          </w:tcPr>
          <w:p>
            <w:pPr>
              <w:jc w:val="right"/>
              <w:ind w:right="16"/>
              <w:spacing w:after="0"/>
              <w:rPr>
                <w:sz w:val="20"/>
                <w:szCs w:val="20"/>
                <w:color w:val="auto"/>
              </w:rPr>
            </w:pPr>
            <w:r>
              <w:rPr>
                <w:rFonts w:ascii="Arial" w:cs="Arial" w:eastAsia="Arial" w:hAnsi="Arial"/>
                <w:sz w:val="13"/>
                <w:szCs w:val="13"/>
                <w:b w:val="1"/>
                <w:bCs w:val="1"/>
                <w:color w:val="auto"/>
              </w:rPr>
              <w:t>(209)</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274</w:t>
            </w: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377</w:t>
            </w: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(1,053)</w:t>
            </w:r>
          </w:p>
        </w:tc>
        <w:tc>
          <w:tcPr>
            <w:tcW w:w="72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4,889</w:t>
            </w:r>
          </w:p>
        </w:tc>
        <w:tc>
          <w:tcPr>
            <w:tcW w:w="40" w:type="dxa"/>
            <w:vAlign w:val="bottom"/>
            <w:shd w:val="clear" w:color="auto" w:fill="DCDDDE"/>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2460" w:type="dxa"/>
            <w:vAlign w:val="bottom"/>
            <w:tcBorders>
              <w:right w:val="single" w:sz="8" w:color="0C479D"/>
            </w:tcBorders>
            <w:vMerge w:val="restart"/>
          </w:tcPr>
          <w:p>
            <w:pPr>
              <w:spacing w:after="0"/>
              <w:rPr>
                <w:sz w:val="20"/>
                <w:szCs w:val="20"/>
                <w:color w:val="auto"/>
              </w:rPr>
            </w:pPr>
            <w:r>
              <w:rPr>
                <w:rFonts w:ascii="Arial" w:cs="Arial" w:eastAsia="Arial" w:hAnsi="Arial"/>
                <w:sz w:val="13"/>
                <w:szCs w:val="13"/>
                <w:b w:val="1"/>
                <w:bCs w:val="1"/>
                <w:color w:val="auto"/>
              </w:rPr>
              <w:t>(non-GAAP)</w:t>
            </w: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00" w:type="dxa"/>
            <w:vAlign w:val="bottom"/>
            <w:tcBorders>
              <w:right w:val="single" w:sz="8" w:color="0C479D"/>
            </w:tcBorders>
            <w:vMerge w:val="continue"/>
          </w:tcPr>
          <w:p>
            <w:pPr>
              <w:spacing w:after="0"/>
              <w:rPr>
                <w:sz w:val="9"/>
                <w:szCs w:val="9"/>
                <w:color w:val="auto"/>
              </w:rPr>
            </w:pPr>
          </w:p>
        </w:tc>
        <w:tc>
          <w:tcPr>
            <w:tcW w:w="720" w:type="dxa"/>
            <w:vAlign w:val="bottom"/>
            <w:vMerge w:val="continue"/>
            <w:shd w:val="clear" w:color="auto" w:fill="DCDDDE"/>
          </w:tcPr>
          <w:p>
            <w:pPr>
              <w:spacing w:after="0"/>
              <w:rPr>
                <w:sz w:val="9"/>
                <w:szCs w:val="9"/>
                <w:color w:val="auto"/>
              </w:rPr>
            </w:pPr>
          </w:p>
        </w:tc>
        <w:tc>
          <w:tcPr>
            <w:tcW w:w="40" w:type="dxa"/>
            <w:vAlign w:val="bottom"/>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460" w:type="dxa"/>
            <w:vAlign w:val="bottom"/>
            <w:tcBorders>
              <w:right w:val="single" w:sz="8" w:color="0C479D"/>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00" w:type="dxa"/>
            <w:vAlign w:val="bottom"/>
            <w:tcBorders>
              <w:right w:val="single" w:sz="8" w:color="0C479D"/>
            </w:tcBorders>
          </w:tcPr>
          <w:p>
            <w:pPr>
              <w:spacing w:after="0"/>
              <w:rPr>
                <w:sz w:val="7"/>
                <w:szCs w:val="7"/>
                <w:color w:val="auto"/>
              </w:rPr>
            </w:pPr>
          </w:p>
        </w:tc>
        <w:tc>
          <w:tcPr>
            <w:tcW w:w="720" w:type="dxa"/>
            <w:vAlign w:val="bottom"/>
            <w:tcBorders>
              <w:bottom w:val="single" w:sz="8" w:color="DCDDDE"/>
            </w:tcBorders>
            <w:shd w:val="clear" w:color="auto" w:fill="DCDDDE"/>
          </w:tcPr>
          <w:p>
            <w:pPr>
              <w:spacing w:after="0"/>
              <w:rPr>
                <w:sz w:val="7"/>
                <w:szCs w:val="7"/>
                <w:color w:val="auto"/>
              </w:rPr>
            </w:pPr>
          </w:p>
        </w:tc>
        <w:tc>
          <w:tcPr>
            <w:tcW w:w="40" w:type="dxa"/>
            <w:vAlign w:val="bottom"/>
            <w:tcBorders>
              <w:bottom w:val="single" w:sz="8" w:color="DCDDDE"/>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460" w:type="dxa"/>
            <w:vAlign w:val="bottom"/>
            <w:tcBorders>
              <w:top w:val="single" w:sz="8" w:color="0C479D"/>
              <w:right w:val="single" w:sz="8" w:color="0C479D"/>
            </w:tcBorders>
          </w:tcPr>
          <w:p>
            <w:pPr>
              <w:spacing w:after="0"/>
              <w:rPr>
                <w:sz w:val="20"/>
                <w:szCs w:val="20"/>
                <w:color w:val="auto"/>
              </w:rPr>
            </w:pPr>
            <w:r>
              <w:rPr>
                <w:rFonts w:ascii="Arial" w:cs="Arial" w:eastAsia="Arial" w:hAnsi="Arial"/>
                <w:sz w:val="13"/>
                <w:szCs w:val="13"/>
                <w:b w:val="1"/>
                <w:bCs w:val="1"/>
                <w:color w:val="auto"/>
              </w:rPr>
              <w:t>Estimated Timing Effects (Worldwide)</w:t>
            </w:r>
          </w:p>
        </w:tc>
        <w:tc>
          <w:tcPr>
            <w:tcW w:w="1540" w:type="dxa"/>
            <w:vAlign w:val="bottom"/>
            <w:tcBorders>
              <w:top w:val="single" w:sz="8" w:color="0D46A1"/>
              <w:right w:val="single" w:sz="8" w:color="0C479D"/>
            </w:tcBorders>
            <w:gridSpan w:val="3"/>
          </w:tcPr>
          <w:p>
            <w:pPr>
              <w:jc w:val="center"/>
              <w:spacing w:after="0"/>
              <w:rPr>
                <w:sz w:val="20"/>
                <w:szCs w:val="20"/>
                <w:color w:val="auto"/>
              </w:rPr>
            </w:pPr>
            <w:r>
              <w:rPr>
                <w:rFonts w:ascii="Arial" w:cs="Arial" w:eastAsia="Arial" w:hAnsi="Arial"/>
                <w:sz w:val="13"/>
                <w:szCs w:val="13"/>
                <w:color w:val="auto"/>
                <w:w w:val="98"/>
              </w:rPr>
              <w:t>(528)</w:t>
            </w:r>
          </w:p>
        </w:tc>
        <w:tc>
          <w:tcPr>
            <w:tcW w:w="1540" w:type="dxa"/>
            <w:vAlign w:val="bottom"/>
            <w:tcBorders>
              <w:top w:val="single" w:sz="8" w:color="0D46A1"/>
              <w:right w:val="single" w:sz="8" w:color="0C479D"/>
            </w:tcBorders>
            <w:gridSpan w:val="2"/>
          </w:tcPr>
          <w:p>
            <w:pPr>
              <w:jc w:val="center"/>
              <w:spacing w:after="0"/>
              <w:rPr>
                <w:sz w:val="20"/>
                <w:szCs w:val="20"/>
                <w:color w:val="auto"/>
              </w:rPr>
            </w:pPr>
            <w:r>
              <w:rPr>
                <w:rFonts w:ascii="Arial" w:cs="Arial" w:eastAsia="Arial" w:hAnsi="Arial"/>
                <w:sz w:val="13"/>
                <w:szCs w:val="13"/>
                <w:color w:val="auto"/>
                <w:w w:val="97"/>
              </w:rPr>
              <w:t>(3,355)</w:t>
            </w:r>
          </w:p>
        </w:tc>
        <w:tc>
          <w:tcPr>
            <w:tcW w:w="860" w:type="dxa"/>
            <w:vAlign w:val="bottom"/>
            <w:tcBorders>
              <w:top w:val="single" w:sz="8" w:color="0D46A1"/>
            </w:tcBorders>
          </w:tcPr>
          <w:p>
            <w:pPr>
              <w:jc w:val="center"/>
              <w:ind w:left="556"/>
              <w:spacing w:after="0"/>
              <w:rPr>
                <w:sz w:val="20"/>
                <w:szCs w:val="20"/>
                <w:color w:val="auto"/>
              </w:rPr>
            </w:pPr>
            <w:r>
              <w:rPr>
                <w:rFonts w:ascii="Arial" w:cs="Arial" w:eastAsia="Arial" w:hAnsi="Arial"/>
                <w:sz w:val="13"/>
                <w:szCs w:val="13"/>
                <w:color w:val="auto"/>
                <w:w w:val="91"/>
              </w:rPr>
              <w:t>—</w:t>
            </w:r>
          </w:p>
        </w:tc>
        <w:tc>
          <w:tcPr>
            <w:tcW w:w="680" w:type="dxa"/>
            <w:vAlign w:val="bottom"/>
            <w:tcBorders>
              <w:top w:val="single" w:sz="8" w:color="0D46A1"/>
              <w:right w:val="single" w:sz="8" w:color="0C479D"/>
            </w:tcBorders>
          </w:tcPr>
          <w:p>
            <w:pPr>
              <w:spacing w:after="0"/>
              <w:rPr>
                <w:sz w:val="23"/>
                <w:szCs w:val="23"/>
                <w:color w:val="auto"/>
              </w:rPr>
            </w:pPr>
          </w:p>
        </w:tc>
        <w:tc>
          <w:tcPr>
            <w:tcW w:w="860" w:type="dxa"/>
            <w:vAlign w:val="bottom"/>
            <w:tcBorders>
              <w:top w:val="single" w:sz="8" w:color="0D46A1"/>
            </w:tcBorders>
          </w:tcPr>
          <w:p>
            <w:pPr>
              <w:jc w:val="center"/>
              <w:ind w:left="556"/>
              <w:spacing w:after="0"/>
              <w:rPr>
                <w:sz w:val="20"/>
                <w:szCs w:val="20"/>
                <w:color w:val="auto"/>
              </w:rPr>
            </w:pPr>
            <w:r>
              <w:rPr>
                <w:rFonts w:ascii="Arial" w:cs="Arial" w:eastAsia="Arial" w:hAnsi="Arial"/>
                <w:sz w:val="13"/>
                <w:szCs w:val="13"/>
                <w:color w:val="auto"/>
                <w:w w:val="91"/>
              </w:rPr>
              <w:t>—</w:t>
            </w:r>
          </w:p>
        </w:tc>
        <w:tc>
          <w:tcPr>
            <w:tcW w:w="680" w:type="dxa"/>
            <w:vAlign w:val="bottom"/>
            <w:tcBorders>
              <w:top w:val="single" w:sz="8" w:color="0D46A1"/>
              <w:right w:val="single" w:sz="8" w:color="0C479D"/>
            </w:tcBorders>
          </w:tcPr>
          <w:p>
            <w:pPr>
              <w:spacing w:after="0"/>
              <w:rPr>
                <w:sz w:val="23"/>
                <w:szCs w:val="23"/>
                <w:color w:val="auto"/>
              </w:rPr>
            </w:pPr>
          </w:p>
        </w:tc>
        <w:tc>
          <w:tcPr>
            <w:tcW w:w="800" w:type="dxa"/>
            <w:vAlign w:val="bottom"/>
            <w:tcBorders>
              <w:top w:val="single" w:sz="8" w:color="0D46A1"/>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(3,883)</w:t>
            </w:r>
          </w:p>
        </w:tc>
        <w:tc>
          <w:tcPr>
            <w:tcW w:w="40" w:type="dxa"/>
            <w:vAlign w:val="bottom"/>
            <w:tcBorders>
              <w:top w:val="single" w:sz="8" w:color="0C479D"/>
            </w:tcBorders>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Excl. Identified Items</w:t>
            </w:r>
          </w:p>
        </w:tc>
        <w:tc>
          <w:tcPr>
            <w:tcW w:w="1540" w:type="dxa"/>
            <w:vAlign w:val="bottom"/>
            <w:tcBorders>
              <w:right w:val="single" w:sz="8" w:color="0C479D"/>
            </w:tcBorders>
            <w:gridSpan w:val="3"/>
            <w:vMerge w:val="restart"/>
          </w:tcPr>
          <w:p>
            <w:pPr>
              <w:jc w:val="center"/>
              <w:spacing w:after="0"/>
              <w:rPr>
                <w:sz w:val="20"/>
                <w:szCs w:val="20"/>
                <w:color w:val="auto"/>
              </w:rPr>
            </w:pPr>
            <w:r>
              <w:rPr>
                <w:rFonts w:ascii="Arial" w:cs="Arial" w:eastAsia="Arial" w:hAnsi="Arial"/>
                <w:sz w:val="13"/>
                <w:szCs w:val="13"/>
                <w:b w:val="1"/>
                <w:bCs w:val="1"/>
                <w:color w:val="auto"/>
                <w:w w:val="92"/>
              </w:rPr>
              <w:t>6,265</w:t>
            </w:r>
          </w:p>
        </w:tc>
        <w:tc>
          <w:tcPr>
            <w:tcW w:w="1540" w:type="dxa"/>
            <w:vAlign w:val="bottom"/>
            <w:tcBorders>
              <w:right w:val="single" w:sz="8" w:color="0C479D"/>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98"/>
              </w:rPr>
              <w:t>2,799</w:t>
            </w:r>
          </w:p>
        </w:tc>
        <w:tc>
          <w:tcPr>
            <w:tcW w:w="860" w:type="dxa"/>
            <w:vAlign w:val="bottom"/>
            <w:vMerge w:val="restart"/>
          </w:tcPr>
          <w:p>
            <w:pPr>
              <w:jc w:val="center"/>
              <w:ind w:left="556"/>
              <w:spacing w:after="0"/>
              <w:rPr>
                <w:sz w:val="20"/>
                <w:szCs w:val="20"/>
                <w:color w:val="auto"/>
              </w:rPr>
            </w:pPr>
            <w:r>
              <w:rPr>
                <w:rFonts w:ascii="Arial" w:cs="Arial" w:eastAsia="Arial" w:hAnsi="Arial"/>
                <w:sz w:val="13"/>
                <w:szCs w:val="13"/>
                <w:b w:val="1"/>
                <w:bCs w:val="1"/>
                <w:color w:val="auto"/>
                <w:w w:val="92"/>
              </w:rPr>
              <w:t>110</w:t>
            </w:r>
          </w:p>
        </w:tc>
        <w:tc>
          <w:tcPr>
            <w:tcW w:w="680" w:type="dxa"/>
            <w:vAlign w:val="bottom"/>
            <w:tcBorders>
              <w:right w:val="single" w:sz="8" w:color="0C479D"/>
            </w:tcBorders>
          </w:tcPr>
          <w:p>
            <w:pPr>
              <w:spacing w:after="0"/>
              <w:rPr>
                <w:sz w:val="23"/>
                <w:szCs w:val="23"/>
                <w:color w:val="auto"/>
              </w:rPr>
            </w:pPr>
          </w:p>
        </w:tc>
        <w:tc>
          <w:tcPr>
            <w:tcW w:w="860" w:type="dxa"/>
            <w:vAlign w:val="bottom"/>
            <w:vMerge w:val="restart"/>
          </w:tcPr>
          <w:p>
            <w:pPr>
              <w:jc w:val="center"/>
              <w:ind w:left="556"/>
              <w:spacing w:after="0"/>
              <w:rPr>
                <w:sz w:val="20"/>
                <w:szCs w:val="20"/>
                <w:color w:val="auto"/>
              </w:rPr>
            </w:pPr>
            <w:r>
              <w:rPr>
                <w:rFonts w:ascii="Arial" w:cs="Arial" w:eastAsia="Arial" w:hAnsi="Arial"/>
                <w:sz w:val="13"/>
                <w:szCs w:val="13"/>
                <w:b w:val="1"/>
                <w:bCs w:val="1"/>
                <w:color w:val="auto"/>
                <w:w w:val="92"/>
              </w:rPr>
              <w:t>651</w:t>
            </w:r>
          </w:p>
        </w:tc>
        <w:tc>
          <w:tcPr>
            <w:tcW w:w="680" w:type="dxa"/>
            <w:vAlign w:val="bottom"/>
            <w:tcBorders>
              <w:right w:val="single" w:sz="8" w:color="0C479D"/>
            </w:tcBorders>
          </w:tcPr>
          <w:p>
            <w:pPr>
              <w:spacing w:after="0"/>
              <w:rPr>
                <w:sz w:val="23"/>
                <w:szCs w:val="23"/>
                <w:color w:val="auto"/>
              </w:rPr>
            </w:pP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(1,053)</w:t>
            </w:r>
          </w:p>
        </w:tc>
        <w:tc>
          <w:tcPr>
            <w:tcW w:w="72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8,772</w:t>
            </w:r>
          </w:p>
        </w:tc>
        <w:tc>
          <w:tcPr>
            <w:tcW w:w="40" w:type="dxa"/>
            <w:vAlign w:val="bottom"/>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460" w:type="dxa"/>
            <w:vAlign w:val="bottom"/>
            <w:tcBorders>
              <w:right w:val="single" w:sz="8" w:color="0C479D"/>
            </w:tcBorders>
          </w:tcPr>
          <w:p>
            <w:pPr>
              <w:spacing w:after="0" w:line="122" w:lineRule="exact"/>
              <w:rPr>
                <w:sz w:val="20"/>
                <w:szCs w:val="20"/>
                <w:color w:val="auto"/>
              </w:rPr>
            </w:pPr>
            <w:r>
              <w:rPr>
                <w:rFonts w:ascii="Arial" w:cs="Arial" w:eastAsia="Arial" w:hAnsi="Arial"/>
                <w:sz w:val="13"/>
                <w:szCs w:val="13"/>
                <w:b w:val="1"/>
                <w:bCs w:val="1"/>
                <w:color w:val="auto"/>
              </w:rPr>
              <w:t>and Estimated Timing Effects (non-</w:t>
            </w:r>
          </w:p>
        </w:tc>
        <w:tc>
          <w:tcPr>
            <w:tcW w:w="1540" w:type="dxa"/>
            <w:vAlign w:val="bottom"/>
            <w:tcBorders>
              <w:right w:val="single" w:sz="8" w:color="0C479D"/>
            </w:tcBorders>
            <w:gridSpan w:val="3"/>
            <w:vMerge w:val="continue"/>
          </w:tcPr>
          <w:p>
            <w:pPr>
              <w:spacing w:after="0"/>
              <w:rPr>
                <w:sz w:val="10"/>
                <w:szCs w:val="10"/>
                <w:color w:val="auto"/>
              </w:rPr>
            </w:pPr>
          </w:p>
        </w:tc>
        <w:tc>
          <w:tcPr>
            <w:tcW w:w="1540" w:type="dxa"/>
            <w:vAlign w:val="bottom"/>
            <w:tcBorders>
              <w:right w:val="single" w:sz="8" w:color="0C479D"/>
            </w:tcBorders>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80" w:type="dxa"/>
            <w:vAlign w:val="bottom"/>
            <w:tcBorders>
              <w:right w:val="single" w:sz="8" w:color="0C479D"/>
            </w:tcBorders>
          </w:tcPr>
          <w:p>
            <w:pPr>
              <w:spacing w:after="0"/>
              <w:rPr>
                <w:sz w:val="10"/>
                <w:szCs w:val="10"/>
                <w:color w:val="auto"/>
              </w:rPr>
            </w:pPr>
          </w:p>
        </w:tc>
        <w:tc>
          <w:tcPr>
            <w:tcW w:w="860" w:type="dxa"/>
            <w:vAlign w:val="bottom"/>
            <w:vMerge w:val="continue"/>
          </w:tcPr>
          <w:p>
            <w:pPr>
              <w:spacing w:after="0"/>
              <w:rPr>
                <w:sz w:val="10"/>
                <w:szCs w:val="10"/>
                <w:color w:val="auto"/>
              </w:rPr>
            </w:pPr>
          </w:p>
        </w:tc>
        <w:tc>
          <w:tcPr>
            <w:tcW w:w="680" w:type="dxa"/>
            <w:vAlign w:val="bottom"/>
            <w:tcBorders>
              <w:right w:val="single" w:sz="8" w:color="0C479D"/>
            </w:tcBorders>
          </w:tcPr>
          <w:p>
            <w:pPr>
              <w:spacing w:after="0"/>
              <w:rPr>
                <w:sz w:val="10"/>
                <w:szCs w:val="10"/>
                <w:color w:val="auto"/>
              </w:rPr>
            </w:pPr>
          </w:p>
        </w:tc>
        <w:tc>
          <w:tcPr>
            <w:tcW w:w="800" w:type="dxa"/>
            <w:vAlign w:val="bottom"/>
            <w:tcBorders>
              <w:right w:val="single" w:sz="8" w:color="0C479D"/>
            </w:tcBorders>
            <w:vMerge w:val="continue"/>
          </w:tcPr>
          <w:p>
            <w:pPr>
              <w:spacing w:after="0"/>
              <w:rPr>
                <w:sz w:val="10"/>
                <w:szCs w:val="10"/>
                <w:color w:val="auto"/>
              </w:rPr>
            </w:pPr>
          </w:p>
        </w:tc>
        <w:tc>
          <w:tcPr>
            <w:tcW w:w="720" w:type="dxa"/>
            <w:vAlign w:val="bottom"/>
            <w:vMerge w:val="continue"/>
            <w:shd w:val="clear" w:color="auto" w:fill="DCDDDE"/>
          </w:tcPr>
          <w:p>
            <w:pPr>
              <w:spacing w:after="0"/>
              <w:rPr>
                <w:sz w:val="10"/>
                <w:szCs w:val="10"/>
                <w:color w:val="auto"/>
              </w:rPr>
            </w:pPr>
          </w:p>
        </w:tc>
        <w:tc>
          <w:tcPr>
            <w:tcW w:w="40" w:type="dxa"/>
            <w:vAlign w:val="bottom"/>
            <w:shd w:val="clear" w:color="auto" w:fill="DCDDD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60" w:type="dxa"/>
            <w:vAlign w:val="bottom"/>
            <w:tcBorders>
              <w:bottom w:val="single" w:sz="8" w:color="0C479D"/>
              <w:right w:val="single" w:sz="8" w:color="0C479D"/>
            </w:tcBorders>
          </w:tcPr>
          <w:p>
            <w:pPr>
              <w:spacing w:after="0"/>
              <w:rPr>
                <w:sz w:val="20"/>
                <w:szCs w:val="20"/>
                <w:color w:val="auto"/>
              </w:rPr>
            </w:pPr>
            <w:r>
              <w:rPr>
                <w:rFonts w:ascii="Arial" w:cs="Arial" w:eastAsia="Arial" w:hAnsi="Arial"/>
                <w:sz w:val="13"/>
                <w:szCs w:val="13"/>
                <w:b w:val="1"/>
                <w:bCs w:val="1"/>
                <w:color w:val="auto"/>
              </w:rPr>
              <w:t>GAAP)</w:t>
            </w:r>
          </w:p>
        </w:tc>
        <w:tc>
          <w:tcPr>
            <w:tcW w:w="740" w:type="dxa"/>
            <w:vAlign w:val="bottom"/>
            <w:tcBorders>
              <w:bottom w:val="single" w:sz="8" w:color="0C479D"/>
            </w:tcBorders>
          </w:tcPr>
          <w:p>
            <w:pPr>
              <w:spacing w:after="0"/>
              <w:rPr>
                <w:sz w:val="15"/>
                <w:szCs w:val="15"/>
                <w:color w:val="auto"/>
              </w:rPr>
            </w:pPr>
          </w:p>
        </w:tc>
        <w:tc>
          <w:tcPr>
            <w:tcW w:w="12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00" w:type="dxa"/>
            <w:vAlign w:val="bottom"/>
            <w:tcBorders>
              <w:bottom w:val="single" w:sz="8" w:color="0C479D"/>
              <w:right w:val="single" w:sz="8" w:color="0C479D"/>
            </w:tcBorders>
          </w:tcPr>
          <w:p>
            <w:pPr>
              <w:spacing w:after="0"/>
              <w:rPr>
                <w:sz w:val="15"/>
                <w:szCs w:val="15"/>
                <w:color w:val="auto"/>
              </w:rPr>
            </w:pPr>
          </w:p>
        </w:tc>
        <w:tc>
          <w:tcPr>
            <w:tcW w:w="720" w:type="dxa"/>
            <w:vAlign w:val="bottom"/>
            <w:tcBorders>
              <w:bottom w:val="single" w:sz="8" w:color="0C479D"/>
            </w:tcBorders>
            <w:shd w:val="clear" w:color="auto" w:fill="DCDDDE"/>
          </w:tcPr>
          <w:p>
            <w:pPr>
              <w:spacing w:after="0"/>
              <w:rPr>
                <w:sz w:val="15"/>
                <w:szCs w:val="15"/>
                <w:color w:val="auto"/>
              </w:rPr>
            </w:pPr>
          </w:p>
        </w:tc>
        <w:tc>
          <w:tcPr>
            <w:tcW w:w="40" w:type="dxa"/>
            <w:vAlign w:val="bottom"/>
            <w:tcBorders>
              <w:bottom w:val="single" w:sz="8" w:color="0C479D"/>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460" w:type="dxa"/>
            <w:vAlign w:val="bottom"/>
          </w:tcPr>
          <w:p>
            <w:pPr>
              <w:spacing w:after="0"/>
              <w:rPr>
                <w:sz w:val="24"/>
                <w:szCs w:val="24"/>
                <w:color w:val="auto"/>
              </w:rPr>
            </w:pPr>
          </w:p>
        </w:tc>
        <w:tc>
          <w:tcPr>
            <w:tcW w:w="1540" w:type="dxa"/>
            <w:vAlign w:val="bottom"/>
            <w:gridSpan w:val="3"/>
          </w:tcPr>
          <w:p>
            <w:pPr>
              <w:spacing w:after="0"/>
              <w:rPr>
                <w:sz w:val="24"/>
                <w:szCs w:val="24"/>
                <w:color w:val="auto"/>
              </w:rPr>
            </w:pPr>
          </w:p>
        </w:tc>
        <w:tc>
          <w:tcPr>
            <w:tcW w:w="154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460" w:type="dxa"/>
            <w:vAlign w:val="bottom"/>
            <w:tcBorders>
              <w:right w:val="single" w:sz="8" w:color="0C479D"/>
            </w:tcBorders>
            <w:shd w:val="clear" w:color="auto" w:fill="000000"/>
          </w:tcPr>
          <w:p>
            <w:pPr>
              <w:spacing w:after="0"/>
              <w:rPr>
                <w:sz w:val="20"/>
                <w:szCs w:val="20"/>
                <w:color w:val="auto"/>
              </w:rPr>
            </w:pPr>
            <w:r>
              <w:rPr>
                <w:rFonts w:ascii="Arial" w:cs="Arial" w:eastAsia="Arial" w:hAnsi="Arial"/>
                <w:sz w:val="13"/>
                <w:szCs w:val="13"/>
                <w:b w:val="1"/>
                <w:bCs w:val="1"/>
                <w:color w:val="FFFFFF"/>
              </w:rPr>
              <w:t>Fourth Quarter 2025</w:t>
            </w:r>
          </w:p>
        </w:tc>
        <w:tc>
          <w:tcPr>
            <w:tcW w:w="1540" w:type="dxa"/>
            <w:vAlign w:val="bottom"/>
            <w:tcBorders>
              <w:right w:val="single" w:sz="8" w:color="0C479D"/>
            </w:tcBorders>
            <w:gridSpan w:val="3"/>
            <w:shd w:val="clear" w:color="auto" w:fill="0C479D"/>
          </w:tcPr>
          <w:p>
            <w:pPr>
              <w:jc w:val="right"/>
              <w:ind w:right="436"/>
              <w:spacing w:after="0"/>
              <w:rPr>
                <w:sz w:val="20"/>
                <w:szCs w:val="20"/>
                <w:color w:val="auto"/>
              </w:rPr>
            </w:pPr>
            <w:r>
              <w:rPr>
                <w:rFonts w:ascii="Arial" w:cs="Arial" w:eastAsia="Arial" w:hAnsi="Arial"/>
                <w:sz w:val="13"/>
                <w:szCs w:val="13"/>
                <w:b w:val="1"/>
                <w:bCs w:val="1"/>
                <w:color w:val="FFFFFF"/>
              </w:rPr>
              <w:t>Upstream</w:t>
            </w:r>
          </w:p>
        </w:tc>
        <w:tc>
          <w:tcPr>
            <w:tcW w:w="1540" w:type="dxa"/>
            <w:vAlign w:val="bottom"/>
            <w:tcBorders>
              <w:right w:val="single" w:sz="8" w:color="0C479D"/>
            </w:tcBorders>
            <w:gridSpan w:val="2"/>
            <w:shd w:val="clear" w:color="auto" w:fill="0C479D"/>
          </w:tcPr>
          <w:p>
            <w:pPr>
              <w:ind w:left="240"/>
              <w:spacing w:after="0"/>
              <w:rPr>
                <w:sz w:val="20"/>
                <w:szCs w:val="20"/>
                <w:color w:val="auto"/>
              </w:rPr>
            </w:pPr>
            <w:r>
              <w:rPr>
                <w:rFonts w:ascii="Arial" w:cs="Arial" w:eastAsia="Arial" w:hAnsi="Arial"/>
                <w:sz w:val="13"/>
                <w:szCs w:val="13"/>
                <w:b w:val="1"/>
                <w:bCs w:val="1"/>
                <w:color w:val="FFFFFF"/>
              </w:rPr>
              <w:t>Energy Products</w:t>
            </w:r>
          </w:p>
        </w:tc>
        <w:tc>
          <w:tcPr>
            <w:tcW w:w="1540" w:type="dxa"/>
            <w:vAlign w:val="bottom"/>
            <w:tcBorders>
              <w:right w:val="single" w:sz="8" w:color="0C479D"/>
            </w:tcBorders>
            <w:gridSpan w:val="2"/>
            <w:shd w:val="clear" w:color="auto" w:fill="0C479D"/>
          </w:tcPr>
          <w:p>
            <w:pPr>
              <w:jc w:val="right"/>
              <w:ind w:right="156"/>
              <w:spacing w:after="0"/>
              <w:rPr>
                <w:sz w:val="20"/>
                <w:szCs w:val="20"/>
                <w:color w:val="auto"/>
              </w:rPr>
            </w:pPr>
            <w:r>
              <w:rPr>
                <w:rFonts w:ascii="Arial" w:cs="Arial" w:eastAsia="Arial" w:hAnsi="Arial"/>
                <w:sz w:val="13"/>
                <w:szCs w:val="13"/>
                <w:b w:val="1"/>
                <w:bCs w:val="1"/>
                <w:color w:val="FFFFFF"/>
              </w:rPr>
              <w:t>Chemical Products</w:t>
            </w:r>
          </w:p>
        </w:tc>
        <w:tc>
          <w:tcPr>
            <w:tcW w:w="1540" w:type="dxa"/>
            <w:vAlign w:val="bottom"/>
            <w:tcBorders>
              <w:right w:val="single" w:sz="8" w:color="0C479D"/>
            </w:tcBorders>
            <w:gridSpan w:val="2"/>
            <w:shd w:val="clear" w:color="auto" w:fill="0C479D"/>
          </w:tcPr>
          <w:p>
            <w:pPr>
              <w:jc w:val="right"/>
              <w:ind w:right="156"/>
              <w:spacing w:after="0"/>
              <w:rPr>
                <w:sz w:val="20"/>
                <w:szCs w:val="20"/>
                <w:color w:val="auto"/>
              </w:rPr>
            </w:pPr>
            <w:r>
              <w:rPr>
                <w:rFonts w:ascii="Arial" w:cs="Arial" w:eastAsia="Arial" w:hAnsi="Arial"/>
                <w:sz w:val="13"/>
                <w:szCs w:val="13"/>
                <w:b w:val="1"/>
                <w:bCs w:val="1"/>
                <w:color w:val="FFFFFF"/>
              </w:rPr>
              <w:t>Specialty Products</w:t>
            </w:r>
          </w:p>
        </w:tc>
        <w:tc>
          <w:tcPr>
            <w:tcW w:w="80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b w:val="1"/>
                <w:bCs w:val="1"/>
                <w:color w:val="FFFFFF"/>
                <w:w w:val="95"/>
              </w:rPr>
              <w:t>Corporate &amp;</w:t>
            </w:r>
          </w:p>
        </w:tc>
        <w:tc>
          <w:tcPr>
            <w:tcW w:w="760" w:type="dxa"/>
            <w:vAlign w:val="bottom"/>
            <w:gridSpan w:val="2"/>
            <w:vMerge w:val="restart"/>
            <w:shd w:val="clear" w:color="auto" w:fill="000000"/>
          </w:tcPr>
          <w:p>
            <w:pPr>
              <w:jc w:val="center"/>
              <w:ind w:right="20"/>
              <w:spacing w:after="0"/>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49"/>
        </w:trPr>
        <w:tc>
          <w:tcPr>
            <w:tcW w:w="2460" w:type="dxa"/>
            <w:vAlign w:val="bottom"/>
            <w:tcBorders>
              <w:right w:val="single" w:sz="8" w:color="0C479D"/>
            </w:tcBorders>
            <w:shd w:val="clear" w:color="auto" w:fill="000000"/>
          </w:tcPr>
          <w:p>
            <w:pPr>
              <w:spacing w:after="0"/>
              <w:rPr>
                <w:sz w:val="4"/>
                <w:szCs w:val="4"/>
                <w:color w:val="auto"/>
              </w:rPr>
            </w:pPr>
          </w:p>
        </w:tc>
        <w:tc>
          <w:tcPr>
            <w:tcW w:w="740" w:type="dxa"/>
            <w:vAlign w:val="bottom"/>
            <w:shd w:val="clear" w:color="auto" w:fill="0C479D"/>
          </w:tcPr>
          <w:p>
            <w:pPr>
              <w:spacing w:after="0"/>
              <w:rPr>
                <w:sz w:val="4"/>
                <w:szCs w:val="4"/>
                <w:color w:val="auto"/>
              </w:rPr>
            </w:pPr>
          </w:p>
        </w:tc>
        <w:tc>
          <w:tcPr>
            <w:tcW w:w="12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6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6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60" w:type="dxa"/>
            <w:vAlign w:val="bottom"/>
            <w:shd w:val="clear" w:color="auto" w:fill="0C479D"/>
          </w:tcPr>
          <w:p>
            <w:pPr>
              <w:spacing w:after="0"/>
              <w:rPr>
                <w:sz w:val="4"/>
                <w:szCs w:val="4"/>
                <w:color w:val="auto"/>
              </w:rPr>
            </w:pPr>
          </w:p>
        </w:tc>
        <w:tc>
          <w:tcPr>
            <w:tcW w:w="680" w:type="dxa"/>
            <w:vAlign w:val="bottom"/>
            <w:tcBorders>
              <w:right w:val="single" w:sz="8" w:color="0C479D"/>
            </w:tcBorders>
            <w:shd w:val="clear" w:color="auto" w:fill="0C479D"/>
          </w:tcPr>
          <w:p>
            <w:pPr>
              <w:spacing w:after="0"/>
              <w:rPr>
                <w:sz w:val="4"/>
                <w:szCs w:val="4"/>
                <w:color w:val="auto"/>
              </w:rPr>
            </w:pPr>
          </w:p>
        </w:tc>
        <w:tc>
          <w:tcPr>
            <w:tcW w:w="800" w:type="dxa"/>
            <w:vAlign w:val="bottom"/>
            <w:tcBorders>
              <w:right w:val="single" w:sz="8" w:color="0C479D"/>
            </w:tcBorders>
            <w:vMerge w:val="continue"/>
            <w:shd w:val="clear" w:color="auto" w:fill="0C479D"/>
          </w:tcPr>
          <w:p>
            <w:pPr>
              <w:spacing w:after="0"/>
              <w:rPr>
                <w:sz w:val="4"/>
                <w:szCs w:val="4"/>
                <w:color w:val="auto"/>
              </w:rPr>
            </w:pPr>
          </w:p>
        </w:tc>
        <w:tc>
          <w:tcPr>
            <w:tcW w:w="760" w:type="dxa"/>
            <w:vAlign w:val="bottom"/>
            <w:gridSpan w:val="2"/>
            <w:vMerge w:val="continue"/>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460" w:type="dxa"/>
            <w:vAlign w:val="bottom"/>
            <w:tcBorders>
              <w:right w:val="single" w:sz="8" w:color="0C479D"/>
            </w:tcBorders>
            <w:vMerge w:val="restart"/>
            <w:shd w:val="clear" w:color="auto" w:fill="000000"/>
          </w:tcPr>
          <w:p>
            <w:pPr>
              <w:spacing w:after="0"/>
              <w:rPr>
                <w:sz w:val="20"/>
                <w:szCs w:val="20"/>
                <w:color w:val="auto"/>
              </w:rPr>
            </w:pPr>
            <w:r>
              <w:rPr>
                <w:rFonts w:ascii="Arial" w:cs="Arial" w:eastAsia="Arial" w:hAnsi="Arial"/>
                <w:sz w:val="12"/>
                <w:szCs w:val="12"/>
                <w:i w:val="1"/>
                <w:iCs w:val="1"/>
                <w:color w:val="FFFFFF"/>
              </w:rPr>
              <w:t>Dollars in millions (unless otherwise noted)</w:t>
            </w:r>
          </w:p>
        </w:tc>
        <w:tc>
          <w:tcPr>
            <w:tcW w:w="740" w:type="dxa"/>
            <w:vAlign w:val="bottom"/>
            <w:vMerge w:val="restart"/>
            <w:shd w:val="clear" w:color="auto" w:fill="0C479D"/>
          </w:tcPr>
          <w:p>
            <w:pPr>
              <w:jc w:val="center"/>
              <w:spacing w:after="0"/>
              <w:rPr>
                <w:sz w:val="20"/>
                <w:szCs w:val="20"/>
                <w:color w:val="auto"/>
              </w:rPr>
            </w:pPr>
            <w:r>
              <w:rPr>
                <w:rFonts w:ascii="Arial" w:cs="Arial" w:eastAsia="Arial" w:hAnsi="Arial"/>
                <w:sz w:val="13"/>
                <w:szCs w:val="13"/>
                <w:color w:val="FFFFFF"/>
                <w:w w:val="94"/>
              </w:rPr>
              <w:t>U.S.</w:t>
            </w:r>
          </w:p>
        </w:tc>
        <w:tc>
          <w:tcPr>
            <w:tcW w:w="120" w:type="dxa"/>
            <w:vAlign w:val="bottom"/>
            <w:shd w:val="clear" w:color="auto" w:fill="0C479D"/>
          </w:tcPr>
          <w:p>
            <w:pPr>
              <w:spacing w:after="0"/>
              <w:rPr>
                <w:sz w:val="9"/>
                <w:szCs w:val="9"/>
                <w:color w:val="auto"/>
              </w:rPr>
            </w:pP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jc w:val="center"/>
              <w:ind w:right="76"/>
              <w:spacing w:after="0"/>
              <w:rPr>
                <w:sz w:val="20"/>
                <w:szCs w:val="20"/>
                <w:color w:val="auto"/>
              </w:rPr>
            </w:pPr>
            <w:r>
              <w:rPr>
                <w:rFonts w:ascii="Arial" w:cs="Arial" w:eastAsia="Arial" w:hAnsi="Arial"/>
                <w:sz w:val="13"/>
                <w:szCs w:val="13"/>
                <w:color w:val="FFFFFF"/>
                <w:w w:val="94"/>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jc w:val="center"/>
              <w:ind w:right="76"/>
              <w:spacing w:after="0"/>
              <w:rPr>
                <w:sz w:val="20"/>
                <w:szCs w:val="20"/>
                <w:color w:val="auto"/>
              </w:rPr>
            </w:pPr>
            <w:r>
              <w:rPr>
                <w:rFonts w:ascii="Arial" w:cs="Arial" w:eastAsia="Arial" w:hAnsi="Arial"/>
                <w:sz w:val="13"/>
                <w:szCs w:val="13"/>
                <w:color w:val="FFFFFF"/>
                <w:w w:val="94"/>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0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b w:val="1"/>
                <w:bCs w:val="1"/>
                <w:color w:val="FFFFFF"/>
                <w:w w:val="97"/>
              </w:rPr>
              <w:t>Financing</w:t>
            </w:r>
          </w:p>
        </w:tc>
        <w:tc>
          <w:tcPr>
            <w:tcW w:w="760" w:type="dxa"/>
            <w:vAlign w:val="bottom"/>
            <w:gridSpan w:val="2"/>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460" w:type="dxa"/>
            <w:vAlign w:val="bottom"/>
            <w:tcBorders>
              <w:right w:val="single" w:sz="8" w:color="0C479D"/>
            </w:tcBorders>
            <w:vMerge w:val="continue"/>
            <w:shd w:val="clear" w:color="auto" w:fill="000000"/>
          </w:tcPr>
          <w:p>
            <w:pPr>
              <w:spacing w:after="0"/>
              <w:rPr>
                <w:sz w:val="5"/>
                <w:szCs w:val="5"/>
                <w:color w:val="auto"/>
              </w:rPr>
            </w:pPr>
          </w:p>
        </w:tc>
        <w:tc>
          <w:tcPr>
            <w:tcW w:w="740" w:type="dxa"/>
            <w:vAlign w:val="bottom"/>
            <w:vMerge w:val="continue"/>
            <w:shd w:val="clear" w:color="auto" w:fill="0C479D"/>
          </w:tcPr>
          <w:p>
            <w:pPr>
              <w:spacing w:after="0"/>
              <w:rPr>
                <w:sz w:val="5"/>
                <w:szCs w:val="5"/>
                <w:color w:val="auto"/>
              </w:rPr>
            </w:pPr>
          </w:p>
        </w:tc>
        <w:tc>
          <w:tcPr>
            <w:tcW w:w="120" w:type="dxa"/>
            <w:vAlign w:val="bottom"/>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00" w:type="dxa"/>
            <w:vAlign w:val="bottom"/>
            <w:tcBorders>
              <w:right w:val="single" w:sz="8" w:color="0C479D"/>
            </w:tcBorders>
            <w:vMerge w:val="continue"/>
            <w:shd w:val="clear" w:color="auto" w:fill="0C479D"/>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460" w:type="dxa"/>
            <w:vAlign w:val="bottom"/>
            <w:tcBorders>
              <w:right w:val="single" w:sz="8" w:color="0C479D"/>
            </w:tcBorders>
            <w:vMerge w:val="continue"/>
            <w:shd w:val="clear" w:color="auto" w:fill="000000"/>
          </w:tcPr>
          <w:p>
            <w:pPr>
              <w:spacing w:after="0"/>
              <w:rPr>
                <w:sz w:val="8"/>
                <w:szCs w:val="8"/>
                <w:color w:val="auto"/>
              </w:rPr>
            </w:pPr>
          </w:p>
        </w:tc>
        <w:tc>
          <w:tcPr>
            <w:tcW w:w="740" w:type="dxa"/>
            <w:vAlign w:val="bottom"/>
            <w:vMerge w:val="continue"/>
            <w:shd w:val="clear" w:color="auto" w:fill="0C479D"/>
          </w:tcPr>
          <w:p>
            <w:pPr>
              <w:spacing w:after="0"/>
              <w:rPr>
                <w:sz w:val="8"/>
                <w:szCs w:val="8"/>
                <w:color w:val="auto"/>
              </w:rPr>
            </w:pPr>
          </w:p>
        </w:tc>
        <w:tc>
          <w:tcPr>
            <w:tcW w:w="120" w:type="dxa"/>
            <w:vAlign w:val="bottom"/>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60" w:type="dxa"/>
            <w:vAlign w:val="bottom"/>
            <w:vMerge w:val="continue"/>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60" w:type="dxa"/>
            <w:vAlign w:val="bottom"/>
            <w:vMerge w:val="continue"/>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60" w:type="dxa"/>
            <w:vAlign w:val="bottom"/>
            <w:vMerge w:val="continue"/>
            <w:shd w:val="clear" w:color="auto" w:fill="0C479D"/>
          </w:tcPr>
          <w:p>
            <w:pPr>
              <w:spacing w:after="0"/>
              <w:rPr>
                <w:sz w:val="8"/>
                <w:szCs w:val="8"/>
                <w:color w:val="auto"/>
              </w:rPr>
            </w:pPr>
          </w:p>
        </w:tc>
        <w:tc>
          <w:tcPr>
            <w:tcW w:w="680" w:type="dxa"/>
            <w:vAlign w:val="bottom"/>
            <w:tcBorders>
              <w:right w:val="single" w:sz="8" w:color="0C479D"/>
            </w:tcBorders>
            <w:vMerge w:val="continue"/>
            <w:shd w:val="clear" w:color="auto" w:fill="0C479D"/>
          </w:tcPr>
          <w:p>
            <w:pPr>
              <w:spacing w:after="0"/>
              <w:rPr>
                <w:sz w:val="8"/>
                <w:szCs w:val="8"/>
                <w:color w:val="auto"/>
              </w:rPr>
            </w:pPr>
          </w:p>
        </w:tc>
        <w:tc>
          <w:tcPr>
            <w:tcW w:w="800" w:type="dxa"/>
            <w:vAlign w:val="bottom"/>
            <w:tcBorders>
              <w:right w:val="single" w:sz="8" w:color="0C479D"/>
            </w:tcBorders>
            <w:shd w:val="clear" w:color="auto" w:fill="0C479D"/>
          </w:tcPr>
          <w:p>
            <w:pPr>
              <w:spacing w:after="0"/>
              <w:rPr>
                <w:sz w:val="8"/>
                <w:szCs w:val="8"/>
                <w:color w:val="auto"/>
              </w:rPr>
            </w:pPr>
          </w:p>
        </w:tc>
        <w:tc>
          <w:tcPr>
            <w:tcW w:w="720" w:type="dxa"/>
            <w:vAlign w:val="bottom"/>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60" w:type="dxa"/>
            <w:vAlign w:val="bottom"/>
            <w:tcBorders>
              <w:right w:val="single" w:sz="8" w:color="0C479D"/>
            </w:tcBorders>
            <w:shd w:val="clear" w:color="auto" w:fill="000000"/>
          </w:tcPr>
          <w:p>
            <w:pPr>
              <w:spacing w:after="0"/>
              <w:rPr>
                <w:sz w:val="8"/>
                <w:szCs w:val="8"/>
                <w:color w:val="auto"/>
              </w:rPr>
            </w:pPr>
          </w:p>
        </w:tc>
        <w:tc>
          <w:tcPr>
            <w:tcW w:w="740" w:type="dxa"/>
            <w:vAlign w:val="bottom"/>
            <w:tcBorders>
              <w:bottom w:val="single" w:sz="8" w:color="0C479D"/>
            </w:tcBorders>
            <w:shd w:val="clear" w:color="auto" w:fill="0C479D"/>
          </w:tcPr>
          <w:p>
            <w:pPr>
              <w:spacing w:after="0"/>
              <w:rPr>
                <w:sz w:val="8"/>
                <w:szCs w:val="8"/>
                <w:color w:val="auto"/>
              </w:rPr>
            </w:pPr>
          </w:p>
        </w:tc>
        <w:tc>
          <w:tcPr>
            <w:tcW w:w="12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00" w:type="dxa"/>
            <w:vAlign w:val="bottom"/>
            <w:tcBorders>
              <w:bottom w:val="single" w:sz="8" w:color="0C479D"/>
              <w:right w:val="single" w:sz="8" w:color="0C479D"/>
            </w:tcBorders>
            <w:shd w:val="clear" w:color="auto" w:fill="0C479D"/>
          </w:tcPr>
          <w:p>
            <w:pPr>
              <w:spacing w:after="0"/>
              <w:rPr>
                <w:sz w:val="8"/>
                <w:szCs w:val="8"/>
                <w:color w:val="auto"/>
              </w:rPr>
            </w:pPr>
          </w:p>
        </w:tc>
        <w:tc>
          <w:tcPr>
            <w:tcW w:w="720" w:type="dxa"/>
            <w:vAlign w:val="bottom"/>
            <w:tcBorders>
              <w:bottom w:val="single" w:sz="8" w:color="DCDDDE"/>
            </w:tcBorders>
            <w:shd w:val="clear" w:color="auto" w:fill="000000"/>
          </w:tcPr>
          <w:p>
            <w:pPr>
              <w:spacing w:after="0"/>
              <w:rPr>
                <w:sz w:val="8"/>
                <w:szCs w:val="8"/>
                <w:color w:val="auto"/>
              </w:rPr>
            </w:pPr>
          </w:p>
        </w:tc>
        <w:tc>
          <w:tcPr>
            <w:tcW w:w="40" w:type="dxa"/>
            <w:vAlign w:val="bottom"/>
            <w:tcBorders>
              <w:bottom w:val="single" w:sz="8" w:color="DCDDDE"/>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(U.S. GAAP)</w:t>
            </w:r>
          </w:p>
        </w:tc>
        <w:tc>
          <w:tcPr>
            <w:tcW w:w="740" w:type="dxa"/>
            <w:vAlign w:val="bottom"/>
          </w:tcPr>
          <w:p>
            <w:pPr>
              <w:jc w:val="right"/>
              <w:ind w:right="16"/>
              <w:spacing w:after="0"/>
              <w:rPr>
                <w:sz w:val="20"/>
                <w:szCs w:val="20"/>
                <w:color w:val="auto"/>
              </w:rPr>
            </w:pPr>
            <w:r>
              <w:rPr>
                <w:rFonts w:ascii="Arial" w:cs="Arial" w:eastAsia="Arial" w:hAnsi="Arial"/>
                <w:sz w:val="13"/>
                <w:szCs w:val="13"/>
                <w:b w:val="1"/>
                <w:bCs w:val="1"/>
                <w:color w:val="auto"/>
              </w:rPr>
              <w:t>753</w:t>
            </w:r>
          </w:p>
        </w:tc>
        <w:tc>
          <w:tcPr>
            <w:tcW w:w="120" w:type="dxa"/>
            <w:vAlign w:val="bottom"/>
          </w:tcPr>
          <w:p>
            <w:pPr>
              <w:spacing w:after="0"/>
              <w:rPr>
                <w:sz w:val="19"/>
                <w:szCs w:val="19"/>
                <w:color w:val="auto"/>
              </w:rPr>
            </w:pP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2,764</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1,012</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2,378</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64</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b w:val="1"/>
                <w:bCs w:val="1"/>
                <w:color w:val="auto"/>
              </w:rPr>
              <w:t>(345)</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233</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449</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b w:val="1"/>
                <w:bCs w:val="1"/>
                <w:color w:val="auto"/>
              </w:rPr>
              <w:t>(807)</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6,501</w:t>
            </w: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color w:val="auto"/>
              </w:rPr>
              <w:t>Identified Items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Borders>
              <w:right w:val="single" w:sz="8" w:color="0C479D"/>
            </w:tcBorders>
          </w:tcPr>
          <w:p>
            <w:pPr>
              <w:spacing w:after="0"/>
              <w:rPr>
                <w:sz w:val="24"/>
                <w:szCs w:val="24"/>
                <w:color w:val="auto"/>
              </w:rPr>
            </w:pPr>
          </w:p>
        </w:tc>
        <w:tc>
          <w:tcPr>
            <w:tcW w:w="800" w:type="dxa"/>
            <w:vAlign w:val="bottom"/>
            <w:tcBorders>
              <w:right w:val="single" w:sz="8" w:color="0C479D"/>
            </w:tcBorders>
          </w:tcPr>
          <w:p>
            <w:pPr>
              <w:spacing w:after="0"/>
              <w:rPr>
                <w:sz w:val="24"/>
                <w:szCs w:val="24"/>
                <w:color w:val="auto"/>
              </w:rPr>
            </w:pPr>
          </w:p>
        </w:tc>
        <w:tc>
          <w:tcPr>
            <w:tcW w:w="72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60" w:type="dxa"/>
            <w:vAlign w:val="bottom"/>
            <w:tcBorders>
              <w:right w:val="single" w:sz="8" w:color="0C479D"/>
            </w:tcBorders>
          </w:tcPr>
          <w:p>
            <w:pPr>
              <w:ind w:left="120"/>
              <w:spacing w:after="0"/>
              <w:rPr>
                <w:sz w:val="20"/>
                <w:szCs w:val="20"/>
                <w:color w:val="auto"/>
              </w:rPr>
            </w:pPr>
            <w:r>
              <w:rPr>
                <w:rFonts w:ascii="Arial" w:cs="Arial" w:eastAsia="Arial" w:hAnsi="Arial"/>
                <w:sz w:val="13"/>
                <w:szCs w:val="13"/>
                <w:color w:val="auto"/>
              </w:rPr>
              <w:t>Impairments</w:t>
            </w:r>
          </w:p>
        </w:tc>
        <w:tc>
          <w:tcPr>
            <w:tcW w:w="740" w:type="dxa"/>
            <w:vAlign w:val="bottom"/>
          </w:tcPr>
          <w:p>
            <w:pPr>
              <w:jc w:val="right"/>
              <w:spacing w:after="0"/>
              <w:rPr>
                <w:sz w:val="20"/>
                <w:szCs w:val="20"/>
                <w:color w:val="auto"/>
              </w:rPr>
            </w:pPr>
            <w:r>
              <w:rPr>
                <w:rFonts w:ascii="Arial" w:cs="Arial" w:eastAsia="Arial" w:hAnsi="Arial"/>
                <w:sz w:val="13"/>
                <w:szCs w:val="13"/>
                <w:color w:val="auto"/>
              </w:rPr>
              <w:t>(662)</w:t>
            </w:r>
          </w:p>
        </w:tc>
        <w:tc>
          <w:tcPr>
            <w:tcW w:w="120" w:type="dxa"/>
            <w:vAlign w:val="bottom"/>
          </w:tcPr>
          <w:p>
            <w:pPr>
              <w:spacing w:after="0"/>
              <w:rPr>
                <w:sz w:val="24"/>
                <w:szCs w:val="24"/>
                <w:color w:val="auto"/>
              </w:rPr>
            </w:pPr>
          </w:p>
        </w:tc>
        <w:tc>
          <w:tcPr>
            <w:tcW w:w="680" w:type="dxa"/>
            <w:vAlign w:val="bottom"/>
            <w:tcBorders>
              <w:right w:val="single" w:sz="8" w:color="0C479D"/>
            </w:tcBorders>
          </w:tcPr>
          <w:p>
            <w:pPr>
              <w:jc w:val="right"/>
              <w:spacing w:after="0"/>
              <w:rPr>
                <w:sz w:val="20"/>
                <w:szCs w:val="20"/>
                <w:color w:val="auto"/>
              </w:rPr>
            </w:pPr>
            <w:r>
              <w:rPr>
                <w:rFonts w:ascii="Arial" w:cs="Arial" w:eastAsia="Arial" w:hAnsi="Arial"/>
                <w:sz w:val="13"/>
                <w:szCs w:val="13"/>
                <w:color w:val="auto"/>
              </w:rPr>
              <w:t>(422)</w:t>
            </w: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(153)</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color w:val="auto"/>
              </w:rPr>
              <w:t>(113)</w:t>
            </w: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(130)</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color w:val="auto"/>
              </w:rPr>
              <w:t>(190)</w:t>
            </w:r>
          </w:p>
        </w:tc>
        <w:tc>
          <w:tcPr>
            <w:tcW w:w="860" w:type="dxa"/>
            <w:vAlign w:val="bottom"/>
          </w:tcPr>
          <w:p>
            <w:pPr>
              <w:jc w:val="right"/>
              <w:ind w:right="96"/>
              <w:spacing w:after="0"/>
              <w:rPr>
                <w:sz w:val="20"/>
                <w:szCs w:val="20"/>
                <w:color w:val="auto"/>
              </w:rPr>
            </w:pPr>
            <w:r>
              <w:rPr>
                <w:rFonts w:ascii="Arial" w:cs="Arial" w:eastAsia="Arial" w:hAnsi="Arial"/>
                <w:sz w:val="13"/>
                <w:szCs w:val="13"/>
                <w:color w:val="auto"/>
              </w:rPr>
              <w:t>(18)</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color w:val="auto"/>
              </w:rPr>
              <w:t>(12)</w:t>
            </w:r>
          </w:p>
        </w:tc>
        <w:tc>
          <w:tcPr>
            <w:tcW w:w="80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(1,700)</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60" w:type="dxa"/>
            <w:vAlign w:val="bottom"/>
            <w:tcBorders>
              <w:right w:val="single" w:sz="8" w:color="0C479D"/>
            </w:tcBorders>
          </w:tcPr>
          <w:p>
            <w:pPr>
              <w:ind w:left="120"/>
              <w:spacing w:after="0"/>
              <w:rPr>
                <w:sz w:val="20"/>
                <w:szCs w:val="20"/>
                <w:color w:val="auto"/>
              </w:rPr>
            </w:pPr>
            <w:r>
              <w:rPr>
                <w:rFonts w:ascii="Arial" w:cs="Arial" w:eastAsia="Arial" w:hAnsi="Arial"/>
                <w:sz w:val="13"/>
                <w:szCs w:val="13"/>
                <w:color w:val="auto"/>
              </w:rPr>
              <w:t>Gain/(Loss) on sale of assets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720</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720</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60" w:type="dxa"/>
            <w:vAlign w:val="bottom"/>
            <w:tcBorders>
              <w:right w:val="single" w:sz="8" w:color="0C479D"/>
            </w:tcBorders>
          </w:tcPr>
          <w:p>
            <w:pPr>
              <w:ind w:left="120"/>
              <w:spacing w:after="0"/>
              <w:rPr>
                <w:sz w:val="20"/>
                <w:szCs w:val="20"/>
                <w:color w:val="auto"/>
              </w:rPr>
            </w:pPr>
            <w:r>
              <w:rPr>
                <w:rFonts w:ascii="Arial" w:cs="Arial" w:eastAsia="Arial" w:hAnsi="Arial"/>
                <w:sz w:val="13"/>
                <w:szCs w:val="13"/>
                <w:color w:val="auto"/>
              </w:rPr>
              <w:t>Tax-related items</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24"/>
                <w:szCs w:val="24"/>
                <w:color w:val="auto"/>
              </w:rPr>
            </w:pP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34</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color w:val="auto"/>
              </w:rPr>
              <w:t>(6)</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50</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30</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color w:val="auto"/>
              </w:rPr>
              <w:t>(11)</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288</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60" w:type="dxa"/>
            <w:vAlign w:val="bottom"/>
            <w:tcBorders>
              <w:right w:val="single" w:sz="8" w:color="0C479D"/>
            </w:tcBorders>
          </w:tcPr>
          <w:p>
            <w:pPr>
              <w:ind w:left="120"/>
              <w:spacing w:after="0"/>
              <w:rPr>
                <w:sz w:val="20"/>
                <w:szCs w:val="20"/>
                <w:color w:val="auto"/>
              </w:rPr>
            </w:pPr>
            <w:r>
              <w:rPr>
                <w:rFonts w:ascii="Arial" w:cs="Arial" w:eastAsia="Arial" w:hAnsi="Arial"/>
                <w:sz w:val="13"/>
                <w:szCs w:val="13"/>
                <w:color w:val="auto"/>
              </w:rPr>
              <w:t>Restructuring charges</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color w:val="auto"/>
              </w:rPr>
              <w:t>(64)</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(64)</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460" w:type="dxa"/>
            <w:vAlign w:val="bottom"/>
            <w:tcBorders>
              <w:bottom w:val="single" w:sz="8" w:color="0C479D"/>
              <w:right w:val="single" w:sz="8" w:color="0C479D"/>
            </w:tcBorders>
          </w:tcPr>
          <w:p>
            <w:pPr>
              <w:spacing w:after="0"/>
              <w:rPr>
                <w:sz w:val="7"/>
                <w:szCs w:val="7"/>
                <w:color w:val="auto"/>
              </w:rPr>
            </w:pPr>
          </w:p>
        </w:tc>
        <w:tc>
          <w:tcPr>
            <w:tcW w:w="740" w:type="dxa"/>
            <w:vAlign w:val="bottom"/>
            <w:tcBorders>
              <w:bottom w:val="single" w:sz="8" w:color="0C479D"/>
            </w:tcBorders>
          </w:tcPr>
          <w:p>
            <w:pPr>
              <w:spacing w:after="0"/>
              <w:rPr>
                <w:sz w:val="7"/>
                <w:szCs w:val="7"/>
                <w:color w:val="auto"/>
              </w:rPr>
            </w:pPr>
          </w:p>
        </w:tc>
        <w:tc>
          <w:tcPr>
            <w:tcW w:w="12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680" w:type="dxa"/>
            <w:vAlign w:val="bottom"/>
            <w:tcBorders>
              <w:bottom w:val="single" w:sz="8" w:color="0C479D"/>
              <w:right w:val="single" w:sz="8" w:color="0C479D"/>
            </w:tcBorders>
          </w:tcPr>
          <w:p>
            <w:pPr>
              <w:spacing w:after="0"/>
              <w:rPr>
                <w:sz w:val="7"/>
                <w:szCs w:val="7"/>
                <w:color w:val="auto"/>
              </w:rPr>
            </w:pPr>
          </w:p>
        </w:tc>
        <w:tc>
          <w:tcPr>
            <w:tcW w:w="800" w:type="dxa"/>
            <w:vAlign w:val="bottom"/>
            <w:tcBorders>
              <w:bottom w:val="single" w:sz="8" w:color="0C479D"/>
              <w:right w:val="single" w:sz="8" w:color="0C479D"/>
            </w:tcBorders>
          </w:tcPr>
          <w:p>
            <w:pPr>
              <w:spacing w:after="0"/>
              <w:rPr>
                <w:sz w:val="7"/>
                <w:szCs w:val="7"/>
                <w:color w:val="auto"/>
              </w:rPr>
            </w:pPr>
          </w:p>
        </w:tc>
        <w:tc>
          <w:tcPr>
            <w:tcW w:w="720" w:type="dxa"/>
            <w:vAlign w:val="bottom"/>
            <w:tcBorders>
              <w:bottom w:val="single" w:sz="8" w:color="0C479D"/>
            </w:tcBorders>
            <w:shd w:val="clear" w:color="auto" w:fill="DCDDDE"/>
          </w:tcPr>
          <w:p>
            <w:pPr>
              <w:spacing w:after="0"/>
              <w:rPr>
                <w:sz w:val="7"/>
                <w:szCs w:val="7"/>
                <w:color w:val="auto"/>
              </w:rPr>
            </w:pPr>
          </w:p>
        </w:tc>
        <w:tc>
          <w:tcPr>
            <w:tcW w:w="40" w:type="dxa"/>
            <w:vAlign w:val="bottom"/>
            <w:tcBorders>
              <w:bottom w:val="single" w:sz="8" w:color="0C479D"/>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Total Identified Items</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(471)</w:t>
            </w:r>
          </w:p>
        </w:tc>
        <w:tc>
          <w:tcPr>
            <w:tcW w:w="120" w:type="dxa"/>
            <w:vAlign w:val="bottom"/>
          </w:tcPr>
          <w:p>
            <w:pPr>
              <w:spacing w:after="0"/>
              <w:rPr>
                <w:sz w:val="19"/>
                <w:szCs w:val="19"/>
                <w:color w:val="auto"/>
              </w:rPr>
            </w:pPr>
          </w:p>
        </w:tc>
        <w:tc>
          <w:tcPr>
            <w:tcW w:w="680" w:type="dxa"/>
            <w:vAlign w:val="bottom"/>
            <w:tcBorders>
              <w:right w:val="single" w:sz="8" w:color="0C479D"/>
            </w:tcBorders>
          </w:tcPr>
          <w:p>
            <w:pPr>
              <w:jc w:val="right"/>
              <w:spacing w:after="0"/>
              <w:rPr>
                <w:sz w:val="20"/>
                <w:szCs w:val="20"/>
                <w:color w:val="auto"/>
              </w:rPr>
            </w:pPr>
            <w:r>
              <w:rPr>
                <w:rFonts w:ascii="Arial" w:cs="Arial" w:eastAsia="Arial" w:hAnsi="Arial"/>
                <w:sz w:val="13"/>
                <w:szCs w:val="13"/>
                <w:b w:val="1"/>
                <w:bCs w:val="1"/>
                <w:color w:val="auto"/>
              </w:rPr>
              <w:t>(422)</w:t>
            </w:r>
          </w:p>
        </w:tc>
        <w:tc>
          <w:tcPr>
            <w:tcW w:w="860" w:type="dxa"/>
            <w:vAlign w:val="bottom"/>
          </w:tcPr>
          <w:p>
            <w:pPr>
              <w:jc w:val="right"/>
              <w:ind w:right="96"/>
              <w:spacing w:after="0"/>
              <w:rPr>
                <w:sz w:val="20"/>
                <w:szCs w:val="20"/>
                <w:color w:val="auto"/>
              </w:rPr>
            </w:pPr>
            <w:r>
              <w:rPr>
                <w:rFonts w:ascii="Arial" w:cs="Arial" w:eastAsia="Arial" w:hAnsi="Arial"/>
                <w:sz w:val="13"/>
                <w:szCs w:val="13"/>
                <w:b w:val="1"/>
                <w:bCs w:val="1"/>
                <w:color w:val="auto"/>
              </w:rPr>
              <w:t>(118)</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601</w:t>
            </w:r>
          </w:p>
        </w:tc>
        <w:tc>
          <w:tcPr>
            <w:tcW w:w="860" w:type="dxa"/>
            <w:vAlign w:val="bottom"/>
          </w:tcPr>
          <w:p>
            <w:pPr>
              <w:jc w:val="right"/>
              <w:ind w:right="96"/>
              <w:spacing w:after="0"/>
              <w:rPr>
                <w:sz w:val="20"/>
                <w:szCs w:val="20"/>
                <w:color w:val="auto"/>
              </w:rPr>
            </w:pPr>
            <w:r>
              <w:rPr>
                <w:rFonts w:ascii="Arial" w:cs="Arial" w:eastAsia="Arial" w:hAnsi="Arial"/>
                <w:sz w:val="13"/>
                <w:szCs w:val="13"/>
                <w:b w:val="1"/>
                <w:bCs w:val="1"/>
                <w:color w:val="auto"/>
              </w:rPr>
              <w:t>(80)</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b w:val="1"/>
                <w:bCs w:val="1"/>
                <w:color w:val="auto"/>
              </w:rPr>
              <w:t>(190)</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12</w:t>
            </w:r>
          </w:p>
        </w:tc>
        <w:tc>
          <w:tcPr>
            <w:tcW w:w="680" w:type="dxa"/>
            <w:vAlign w:val="bottom"/>
            <w:tcBorders>
              <w:right w:val="single" w:sz="8" w:color="0C479D"/>
            </w:tcBorders>
          </w:tcPr>
          <w:p>
            <w:pPr>
              <w:jc w:val="right"/>
              <w:ind w:right="16"/>
              <w:spacing w:after="0"/>
              <w:rPr>
                <w:sz w:val="20"/>
                <w:szCs w:val="20"/>
                <w:color w:val="auto"/>
              </w:rPr>
            </w:pPr>
            <w:r>
              <w:rPr>
                <w:rFonts w:ascii="Arial" w:cs="Arial" w:eastAsia="Arial" w:hAnsi="Arial"/>
                <w:sz w:val="13"/>
                <w:szCs w:val="13"/>
                <w:b w:val="1"/>
                <w:bCs w:val="1"/>
                <w:color w:val="auto"/>
              </w:rPr>
              <w:t>(12)</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b w:val="1"/>
                <w:bCs w:val="1"/>
                <w:color w:val="auto"/>
              </w:rPr>
              <w:t>(75)</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(755)</w:t>
            </w: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Excl. Identified Items</w:t>
            </w:r>
          </w:p>
        </w:tc>
        <w:tc>
          <w:tcPr>
            <w:tcW w:w="7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1,224</w:t>
            </w:r>
          </w:p>
        </w:tc>
        <w:tc>
          <w:tcPr>
            <w:tcW w:w="120" w:type="dxa"/>
            <w:vAlign w:val="bottom"/>
          </w:tcPr>
          <w:p>
            <w:pPr>
              <w:spacing w:after="0"/>
              <w:rPr>
                <w:sz w:val="21"/>
                <w:szCs w:val="21"/>
                <w:color w:val="auto"/>
              </w:rPr>
            </w:pP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3,186</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1,130</w:t>
            </w: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1,777</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144</w:t>
            </w:r>
          </w:p>
        </w:tc>
        <w:tc>
          <w:tcPr>
            <w:tcW w:w="680" w:type="dxa"/>
            <w:vAlign w:val="bottom"/>
            <w:tcBorders>
              <w:right w:val="single" w:sz="8" w:color="0C479D"/>
            </w:tcBorders>
            <w:vMerge w:val="restart"/>
          </w:tcPr>
          <w:p>
            <w:pPr>
              <w:jc w:val="right"/>
              <w:ind w:right="16"/>
              <w:spacing w:after="0"/>
              <w:rPr>
                <w:sz w:val="20"/>
                <w:szCs w:val="20"/>
                <w:color w:val="auto"/>
              </w:rPr>
            </w:pPr>
            <w:r>
              <w:rPr>
                <w:rFonts w:ascii="Arial" w:cs="Arial" w:eastAsia="Arial" w:hAnsi="Arial"/>
                <w:sz w:val="13"/>
                <w:szCs w:val="13"/>
                <w:b w:val="1"/>
                <w:bCs w:val="1"/>
                <w:color w:val="auto"/>
              </w:rPr>
              <w:t>(155)</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221</w:t>
            </w: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461</w:t>
            </w: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(732)</w:t>
            </w:r>
          </w:p>
        </w:tc>
        <w:tc>
          <w:tcPr>
            <w:tcW w:w="72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7,256</w:t>
            </w:r>
          </w:p>
        </w:tc>
        <w:tc>
          <w:tcPr>
            <w:tcW w:w="40" w:type="dxa"/>
            <w:vAlign w:val="bottom"/>
            <w:shd w:val="clear" w:color="auto" w:fill="DCDDDE"/>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2460" w:type="dxa"/>
            <w:vAlign w:val="bottom"/>
            <w:tcBorders>
              <w:right w:val="single" w:sz="8" w:color="0C479D"/>
            </w:tcBorders>
            <w:vMerge w:val="restart"/>
          </w:tcPr>
          <w:p>
            <w:pPr>
              <w:spacing w:after="0"/>
              <w:rPr>
                <w:sz w:val="20"/>
                <w:szCs w:val="20"/>
                <w:color w:val="auto"/>
              </w:rPr>
            </w:pPr>
            <w:r>
              <w:rPr>
                <w:rFonts w:ascii="Arial" w:cs="Arial" w:eastAsia="Arial" w:hAnsi="Arial"/>
                <w:sz w:val="13"/>
                <w:szCs w:val="13"/>
                <w:b w:val="1"/>
                <w:bCs w:val="1"/>
                <w:color w:val="auto"/>
              </w:rPr>
              <w:t>(non-GAAP)</w:t>
            </w: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00" w:type="dxa"/>
            <w:vAlign w:val="bottom"/>
            <w:tcBorders>
              <w:right w:val="single" w:sz="8" w:color="0C479D"/>
            </w:tcBorders>
            <w:vMerge w:val="continue"/>
          </w:tcPr>
          <w:p>
            <w:pPr>
              <w:spacing w:after="0"/>
              <w:rPr>
                <w:sz w:val="9"/>
                <w:szCs w:val="9"/>
                <w:color w:val="auto"/>
              </w:rPr>
            </w:pPr>
          </w:p>
        </w:tc>
        <w:tc>
          <w:tcPr>
            <w:tcW w:w="720" w:type="dxa"/>
            <w:vAlign w:val="bottom"/>
            <w:vMerge w:val="continue"/>
            <w:shd w:val="clear" w:color="auto" w:fill="DCDDDE"/>
          </w:tcPr>
          <w:p>
            <w:pPr>
              <w:spacing w:after="0"/>
              <w:rPr>
                <w:sz w:val="9"/>
                <w:szCs w:val="9"/>
                <w:color w:val="auto"/>
              </w:rPr>
            </w:pPr>
          </w:p>
        </w:tc>
        <w:tc>
          <w:tcPr>
            <w:tcW w:w="40" w:type="dxa"/>
            <w:vAlign w:val="bottom"/>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460" w:type="dxa"/>
            <w:vAlign w:val="bottom"/>
            <w:tcBorders>
              <w:right w:val="single" w:sz="8" w:color="0C479D"/>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00" w:type="dxa"/>
            <w:vAlign w:val="bottom"/>
            <w:tcBorders>
              <w:right w:val="single" w:sz="8" w:color="0C479D"/>
            </w:tcBorders>
          </w:tcPr>
          <w:p>
            <w:pPr>
              <w:spacing w:after="0"/>
              <w:rPr>
                <w:sz w:val="7"/>
                <w:szCs w:val="7"/>
                <w:color w:val="auto"/>
              </w:rPr>
            </w:pPr>
          </w:p>
        </w:tc>
        <w:tc>
          <w:tcPr>
            <w:tcW w:w="720" w:type="dxa"/>
            <w:vAlign w:val="bottom"/>
            <w:tcBorders>
              <w:bottom w:val="single" w:sz="8" w:color="DCDDDE"/>
            </w:tcBorders>
            <w:shd w:val="clear" w:color="auto" w:fill="DCDDDE"/>
          </w:tcPr>
          <w:p>
            <w:pPr>
              <w:spacing w:after="0"/>
              <w:rPr>
                <w:sz w:val="7"/>
                <w:szCs w:val="7"/>
                <w:color w:val="auto"/>
              </w:rPr>
            </w:pPr>
          </w:p>
        </w:tc>
        <w:tc>
          <w:tcPr>
            <w:tcW w:w="40" w:type="dxa"/>
            <w:vAlign w:val="bottom"/>
            <w:tcBorders>
              <w:bottom w:val="single" w:sz="8" w:color="DCDDDE"/>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460" w:type="dxa"/>
            <w:vAlign w:val="bottom"/>
            <w:tcBorders>
              <w:top w:val="single" w:sz="8" w:color="0C479D"/>
              <w:right w:val="single" w:sz="8" w:color="0C479D"/>
            </w:tcBorders>
          </w:tcPr>
          <w:p>
            <w:pPr>
              <w:spacing w:after="0"/>
              <w:rPr>
                <w:sz w:val="20"/>
                <w:szCs w:val="20"/>
                <w:color w:val="auto"/>
              </w:rPr>
            </w:pPr>
            <w:r>
              <w:rPr>
                <w:rFonts w:ascii="Arial" w:cs="Arial" w:eastAsia="Arial" w:hAnsi="Arial"/>
                <w:sz w:val="13"/>
                <w:szCs w:val="13"/>
                <w:b w:val="1"/>
                <w:bCs w:val="1"/>
                <w:color w:val="auto"/>
              </w:rPr>
              <w:t>Estimated Timing Effects (Worldwide)</w:t>
            </w:r>
          </w:p>
        </w:tc>
        <w:tc>
          <w:tcPr>
            <w:tcW w:w="860" w:type="dxa"/>
            <w:vAlign w:val="bottom"/>
            <w:tcBorders>
              <w:top w:val="single" w:sz="8" w:color="0D46A1"/>
            </w:tcBorders>
            <w:gridSpan w:val="2"/>
          </w:tcPr>
          <w:p>
            <w:pPr>
              <w:jc w:val="center"/>
              <w:ind w:left="576"/>
              <w:spacing w:after="0"/>
              <w:rPr>
                <w:sz w:val="20"/>
                <w:szCs w:val="20"/>
                <w:color w:val="auto"/>
              </w:rPr>
            </w:pPr>
            <w:r>
              <w:rPr>
                <w:rFonts w:ascii="Arial" w:cs="Arial" w:eastAsia="Arial" w:hAnsi="Arial"/>
                <w:sz w:val="13"/>
                <w:szCs w:val="13"/>
                <w:color w:val="auto"/>
                <w:w w:val="94"/>
              </w:rPr>
              <w:t>(19)</w:t>
            </w:r>
          </w:p>
        </w:tc>
        <w:tc>
          <w:tcPr>
            <w:tcW w:w="680" w:type="dxa"/>
            <w:vAlign w:val="bottom"/>
            <w:tcBorders>
              <w:top w:val="single" w:sz="8" w:color="0D46A1"/>
              <w:right w:val="single" w:sz="8" w:color="0C479D"/>
            </w:tcBorders>
          </w:tcPr>
          <w:p>
            <w:pPr>
              <w:spacing w:after="0"/>
              <w:rPr>
                <w:sz w:val="23"/>
                <w:szCs w:val="23"/>
                <w:color w:val="auto"/>
              </w:rPr>
            </w:pPr>
          </w:p>
        </w:tc>
        <w:tc>
          <w:tcPr>
            <w:tcW w:w="860" w:type="dxa"/>
            <w:vAlign w:val="bottom"/>
            <w:tcBorders>
              <w:top w:val="single" w:sz="8" w:color="0D46A1"/>
            </w:tcBorders>
          </w:tcPr>
          <w:p>
            <w:pPr>
              <w:jc w:val="center"/>
              <w:ind w:left="576"/>
              <w:spacing w:after="0"/>
              <w:rPr>
                <w:sz w:val="20"/>
                <w:szCs w:val="20"/>
                <w:color w:val="auto"/>
              </w:rPr>
            </w:pPr>
            <w:r>
              <w:rPr>
                <w:rFonts w:ascii="Arial" w:cs="Arial" w:eastAsia="Arial" w:hAnsi="Arial"/>
                <w:sz w:val="13"/>
                <w:szCs w:val="13"/>
                <w:color w:val="auto"/>
              </w:rPr>
              <w:t>355</w:t>
            </w:r>
          </w:p>
        </w:tc>
        <w:tc>
          <w:tcPr>
            <w:tcW w:w="680" w:type="dxa"/>
            <w:vAlign w:val="bottom"/>
            <w:tcBorders>
              <w:top w:val="single" w:sz="8" w:color="0D46A1"/>
              <w:right w:val="single" w:sz="8" w:color="0C479D"/>
            </w:tcBorders>
          </w:tcPr>
          <w:p>
            <w:pPr>
              <w:spacing w:after="0"/>
              <w:rPr>
                <w:sz w:val="23"/>
                <w:szCs w:val="23"/>
                <w:color w:val="auto"/>
              </w:rPr>
            </w:pPr>
          </w:p>
        </w:tc>
        <w:tc>
          <w:tcPr>
            <w:tcW w:w="860" w:type="dxa"/>
            <w:vAlign w:val="bottom"/>
            <w:tcBorders>
              <w:top w:val="single" w:sz="8" w:color="0D46A1"/>
            </w:tcBorders>
          </w:tcPr>
          <w:p>
            <w:pPr>
              <w:jc w:val="center"/>
              <w:ind w:left="556"/>
              <w:spacing w:after="0"/>
              <w:rPr>
                <w:sz w:val="20"/>
                <w:szCs w:val="20"/>
                <w:color w:val="auto"/>
              </w:rPr>
            </w:pPr>
            <w:r>
              <w:rPr>
                <w:rFonts w:ascii="Arial" w:cs="Arial" w:eastAsia="Arial" w:hAnsi="Arial"/>
                <w:sz w:val="13"/>
                <w:szCs w:val="13"/>
                <w:color w:val="auto"/>
                <w:w w:val="91"/>
              </w:rPr>
              <w:t>—</w:t>
            </w:r>
          </w:p>
        </w:tc>
        <w:tc>
          <w:tcPr>
            <w:tcW w:w="680" w:type="dxa"/>
            <w:vAlign w:val="bottom"/>
            <w:tcBorders>
              <w:top w:val="single" w:sz="8" w:color="0D46A1"/>
              <w:right w:val="single" w:sz="8" w:color="0C479D"/>
            </w:tcBorders>
          </w:tcPr>
          <w:p>
            <w:pPr>
              <w:spacing w:after="0"/>
              <w:rPr>
                <w:sz w:val="23"/>
                <w:szCs w:val="23"/>
                <w:color w:val="auto"/>
              </w:rPr>
            </w:pPr>
          </w:p>
        </w:tc>
        <w:tc>
          <w:tcPr>
            <w:tcW w:w="860" w:type="dxa"/>
            <w:vAlign w:val="bottom"/>
            <w:tcBorders>
              <w:top w:val="single" w:sz="8" w:color="0D46A1"/>
            </w:tcBorders>
          </w:tcPr>
          <w:p>
            <w:pPr>
              <w:jc w:val="center"/>
              <w:ind w:left="556"/>
              <w:spacing w:after="0"/>
              <w:rPr>
                <w:sz w:val="20"/>
                <w:szCs w:val="20"/>
                <w:color w:val="auto"/>
              </w:rPr>
            </w:pPr>
            <w:r>
              <w:rPr>
                <w:rFonts w:ascii="Arial" w:cs="Arial" w:eastAsia="Arial" w:hAnsi="Arial"/>
                <w:sz w:val="13"/>
                <w:szCs w:val="13"/>
                <w:color w:val="auto"/>
                <w:w w:val="91"/>
              </w:rPr>
              <w:t>—</w:t>
            </w:r>
          </w:p>
        </w:tc>
        <w:tc>
          <w:tcPr>
            <w:tcW w:w="680" w:type="dxa"/>
            <w:vAlign w:val="bottom"/>
            <w:tcBorders>
              <w:top w:val="single" w:sz="8" w:color="0D46A1"/>
              <w:right w:val="single" w:sz="8" w:color="0C479D"/>
            </w:tcBorders>
          </w:tcPr>
          <w:p>
            <w:pPr>
              <w:spacing w:after="0"/>
              <w:rPr>
                <w:sz w:val="23"/>
                <w:szCs w:val="23"/>
                <w:color w:val="auto"/>
              </w:rPr>
            </w:pPr>
          </w:p>
        </w:tc>
        <w:tc>
          <w:tcPr>
            <w:tcW w:w="800" w:type="dxa"/>
            <w:vAlign w:val="bottom"/>
            <w:tcBorders>
              <w:top w:val="single" w:sz="8" w:color="0D46A1"/>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336</w:t>
            </w:r>
          </w:p>
        </w:tc>
        <w:tc>
          <w:tcPr>
            <w:tcW w:w="40" w:type="dxa"/>
            <w:vAlign w:val="bottom"/>
            <w:tcBorders>
              <w:top w:val="single" w:sz="8" w:color="0C479D"/>
            </w:tcBorders>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Excl. Identified Items</w:t>
            </w:r>
          </w:p>
        </w:tc>
        <w:tc>
          <w:tcPr>
            <w:tcW w:w="1540" w:type="dxa"/>
            <w:vAlign w:val="bottom"/>
            <w:tcBorders>
              <w:right w:val="single" w:sz="8" w:color="0C479D"/>
            </w:tcBorders>
            <w:gridSpan w:val="3"/>
            <w:vMerge w:val="restart"/>
          </w:tcPr>
          <w:p>
            <w:pPr>
              <w:jc w:val="center"/>
              <w:spacing w:after="0"/>
              <w:rPr>
                <w:sz w:val="20"/>
                <w:szCs w:val="20"/>
                <w:color w:val="auto"/>
              </w:rPr>
            </w:pPr>
            <w:r>
              <w:rPr>
                <w:rFonts w:ascii="Arial" w:cs="Arial" w:eastAsia="Arial" w:hAnsi="Arial"/>
                <w:sz w:val="13"/>
                <w:szCs w:val="13"/>
                <w:b w:val="1"/>
                <w:bCs w:val="1"/>
                <w:color w:val="auto"/>
                <w:w w:val="92"/>
              </w:rPr>
              <w:t>4,429</w:t>
            </w:r>
          </w:p>
        </w:tc>
        <w:tc>
          <w:tcPr>
            <w:tcW w:w="1540" w:type="dxa"/>
            <w:vAlign w:val="bottom"/>
            <w:tcBorders>
              <w:right w:val="single" w:sz="8" w:color="0C479D"/>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98"/>
              </w:rPr>
              <w:t>2,552</w:t>
            </w:r>
          </w:p>
        </w:tc>
        <w:tc>
          <w:tcPr>
            <w:tcW w:w="860" w:type="dxa"/>
            <w:vAlign w:val="bottom"/>
            <w:vMerge w:val="restart"/>
          </w:tcPr>
          <w:p>
            <w:pPr>
              <w:jc w:val="center"/>
              <w:ind w:left="576"/>
              <w:spacing w:after="0"/>
              <w:rPr>
                <w:sz w:val="20"/>
                <w:szCs w:val="20"/>
                <w:color w:val="auto"/>
              </w:rPr>
            </w:pPr>
            <w:r>
              <w:rPr>
                <w:rFonts w:ascii="Arial" w:cs="Arial" w:eastAsia="Arial" w:hAnsi="Arial"/>
                <w:sz w:val="13"/>
                <w:szCs w:val="13"/>
                <w:b w:val="1"/>
                <w:bCs w:val="1"/>
                <w:color w:val="auto"/>
                <w:w w:val="94"/>
              </w:rPr>
              <w:t>(11)</w:t>
            </w:r>
          </w:p>
        </w:tc>
        <w:tc>
          <w:tcPr>
            <w:tcW w:w="680" w:type="dxa"/>
            <w:vAlign w:val="bottom"/>
            <w:tcBorders>
              <w:right w:val="single" w:sz="8" w:color="0C479D"/>
            </w:tcBorders>
          </w:tcPr>
          <w:p>
            <w:pPr>
              <w:spacing w:after="0"/>
              <w:rPr>
                <w:sz w:val="23"/>
                <w:szCs w:val="23"/>
                <w:color w:val="auto"/>
              </w:rPr>
            </w:pPr>
          </w:p>
        </w:tc>
        <w:tc>
          <w:tcPr>
            <w:tcW w:w="860" w:type="dxa"/>
            <w:vAlign w:val="bottom"/>
            <w:vMerge w:val="restart"/>
          </w:tcPr>
          <w:p>
            <w:pPr>
              <w:jc w:val="center"/>
              <w:ind w:left="556"/>
              <w:spacing w:after="0"/>
              <w:rPr>
                <w:sz w:val="20"/>
                <w:szCs w:val="20"/>
                <w:color w:val="auto"/>
              </w:rPr>
            </w:pPr>
            <w:r>
              <w:rPr>
                <w:rFonts w:ascii="Arial" w:cs="Arial" w:eastAsia="Arial" w:hAnsi="Arial"/>
                <w:sz w:val="13"/>
                <w:szCs w:val="13"/>
                <w:b w:val="1"/>
                <w:bCs w:val="1"/>
                <w:color w:val="auto"/>
                <w:w w:val="92"/>
              </w:rPr>
              <w:t>682</w:t>
            </w:r>
          </w:p>
        </w:tc>
        <w:tc>
          <w:tcPr>
            <w:tcW w:w="680" w:type="dxa"/>
            <w:vAlign w:val="bottom"/>
            <w:tcBorders>
              <w:right w:val="single" w:sz="8" w:color="0C479D"/>
            </w:tcBorders>
          </w:tcPr>
          <w:p>
            <w:pPr>
              <w:spacing w:after="0"/>
              <w:rPr>
                <w:sz w:val="23"/>
                <w:szCs w:val="23"/>
                <w:color w:val="auto"/>
              </w:rPr>
            </w:pP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(732)</w:t>
            </w:r>
          </w:p>
        </w:tc>
        <w:tc>
          <w:tcPr>
            <w:tcW w:w="72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6,920</w:t>
            </w:r>
          </w:p>
        </w:tc>
        <w:tc>
          <w:tcPr>
            <w:tcW w:w="40" w:type="dxa"/>
            <w:vAlign w:val="bottom"/>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2460" w:type="dxa"/>
            <w:vAlign w:val="bottom"/>
            <w:tcBorders>
              <w:right w:val="single" w:sz="8" w:color="0C479D"/>
            </w:tcBorders>
          </w:tcPr>
          <w:p>
            <w:pPr>
              <w:spacing w:after="0" w:line="131" w:lineRule="exact"/>
              <w:rPr>
                <w:sz w:val="20"/>
                <w:szCs w:val="20"/>
                <w:color w:val="auto"/>
              </w:rPr>
            </w:pPr>
            <w:r>
              <w:rPr>
                <w:rFonts w:ascii="Arial" w:cs="Arial" w:eastAsia="Arial" w:hAnsi="Arial"/>
                <w:sz w:val="13"/>
                <w:szCs w:val="13"/>
                <w:b w:val="1"/>
                <w:bCs w:val="1"/>
                <w:color w:val="auto"/>
              </w:rPr>
              <w:t>and Estimated Timing Effects (non-</w:t>
            </w:r>
          </w:p>
        </w:tc>
        <w:tc>
          <w:tcPr>
            <w:tcW w:w="1540" w:type="dxa"/>
            <w:vAlign w:val="bottom"/>
            <w:tcBorders>
              <w:right w:val="single" w:sz="8" w:color="0C479D"/>
            </w:tcBorders>
            <w:gridSpan w:val="3"/>
            <w:vMerge w:val="continue"/>
          </w:tcPr>
          <w:p>
            <w:pPr>
              <w:spacing w:after="0"/>
              <w:rPr>
                <w:sz w:val="11"/>
                <w:szCs w:val="11"/>
                <w:color w:val="auto"/>
              </w:rPr>
            </w:pPr>
          </w:p>
        </w:tc>
        <w:tc>
          <w:tcPr>
            <w:tcW w:w="1540" w:type="dxa"/>
            <w:vAlign w:val="bottom"/>
            <w:tcBorders>
              <w:right w:val="single" w:sz="8" w:color="0C479D"/>
            </w:tcBorders>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80" w:type="dxa"/>
            <w:vAlign w:val="bottom"/>
            <w:tcBorders>
              <w:right w:val="single" w:sz="8" w:color="0C479D"/>
            </w:tcBorders>
          </w:tcPr>
          <w:p>
            <w:pPr>
              <w:spacing w:after="0"/>
              <w:rPr>
                <w:sz w:val="11"/>
                <w:szCs w:val="11"/>
                <w:color w:val="auto"/>
              </w:rPr>
            </w:pPr>
          </w:p>
        </w:tc>
        <w:tc>
          <w:tcPr>
            <w:tcW w:w="860" w:type="dxa"/>
            <w:vAlign w:val="bottom"/>
            <w:vMerge w:val="continue"/>
          </w:tcPr>
          <w:p>
            <w:pPr>
              <w:spacing w:after="0"/>
              <w:rPr>
                <w:sz w:val="11"/>
                <w:szCs w:val="11"/>
                <w:color w:val="auto"/>
              </w:rPr>
            </w:pPr>
          </w:p>
        </w:tc>
        <w:tc>
          <w:tcPr>
            <w:tcW w:w="680" w:type="dxa"/>
            <w:vAlign w:val="bottom"/>
            <w:tcBorders>
              <w:right w:val="single" w:sz="8" w:color="0C479D"/>
            </w:tcBorders>
          </w:tcPr>
          <w:p>
            <w:pPr>
              <w:spacing w:after="0"/>
              <w:rPr>
                <w:sz w:val="11"/>
                <w:szCs w:val="11"/>
                <w:color w:val="auto"/>
              </w:rPr>
            </w:pPr>
          </w:p>
        </w:tc>
        <w:tc>
          <w:tcPr>
            <w:tcW w:w="800" w:type="dxa"/>
            <w:vAlign w:val="bottom"/>
            <w:tcBorders>
              <w:right w:val="single" w:sz="8" w:color="0C479D"/>
            </w:tcBorders>
            <w:vMerge w:val="continue"/>
          </w:tcPr>
          <w:p>
            <w:pPr>
              <w:spacing w:after="0"/>
              <w:rPr>
                <w:sz w:val="11"/>
                <w:szCs w:val="11"/>
                <w:color w:val="auto"/>
              </w:rPr>
            </w:pPr>
          </w:p>
        </w:tc>
        <w:tc>
          <w:tcPr>
            <w:tcW w:w="720" w:type="dxa"/>
            <w:vAlign w:val="bottom"/>
            <w:vMerge w:val="continue"/>
            <w:shd w:val="clear" w:color="auto" w:fill="DCDDDE"/>
          </w:tcPr>
          <w:p>
            <w:pPr>
              <w:spacing w:after="0"/>
              <w:rPr>
                <w:sz w:val="11"/>
                <w:szCs w:val="11"/>
                <w:color w:val="auto"/>
              </w:rPr>
            </w:pPr>
          </w:p>
        </w:tc>
        <w:tc>
          <w:tcPr>
            <w:tcW w:w="40" w:type="dxa"/>
            <w:vAlign w:val="bottom"/>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60" w:type="dxa"/>
            <w:vAlign w:val="bottom"/>
            <w:tcBorders>
              <w:bottom w:val="single" w:sz="8" w:color="0C479D"/>
              <w:right w:val="single" w:sz="8" w:color="0C479D"/>
            </w:tcBorders>
          </w:tcPr>
          <w:p>
            <w:pPr>
              <w:spacing w:after="0"/>
              <w:rPr>
                <w:sz w:val="20"/>
                <w:szCs w:val="20"/>
                <w:color w:val="auto"/>
              </w:rPr>
            </w:pPr>
            <w:r>
              <w:rPr>
                <w:rFonts w:ascii="Arial" w:cs="Arial" w:eastAsia="Arial" w:hAnsi="Arial"/>
                <w:sz w:val="13"/>
                <w:szCs w:val="13"/>
                <w:b w:val="1"/>
                <w:bCs w:val="1"/>
                <w:color w:val="auto"/>
              </w:rPr>
              <w:t>GAAP)</w:t>
            </w:r>
          </w:p>
        </w:tc>
        <w:tc>
          <w:tcPr>
            <w:tcW w:w="740" w:type="dxa"/>
            <w:vAlign w:val="bottom"/>
            <w:tcBorders>
              <w:bottom w:val="single" w:sz="8" w:color="0C479D"/>
            </w:tcBorders>
          </w:tcPr>
          <w:p>
            <w:pPr>
              <w:spacing w:after="0"/>
              <w:rPr>
                <w:sz w:val="15"/>
                <w:szCs w:val="15"/>
                <w:color w:val="auto"/>
              </w:rPr>
            </w:pPr>
          </w:p>
        </w:tc>
        <w:tc>
          <w:tcPr>
            <w:tcW w:w="12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00" w:type="dxa"/>
            <w:vAlign w:val="bottom"/>
            <w:tcBorders>
              <w:bottom w:val="single" w:sz="8" w:color="0C479D"/>
              <w:right w:val="single" w:sz="8" w:color="0C479D"/>
            </w:tcBorders>
          </w:tcPr>
          <w:p>
            <w:pPr>
              <w:spacing w:after="0"/>
              <w:rPr>
                <w:sz w:val="15"/>
                <w:szCs w:val="15"/>
                <w:color w:val="auto"/>
              </w:rPr>
            </w:pPr>
          </w:p>
        </w:tc>
        <w:tc>
          <w:tcPr>
            <w:tcW w:w="720" w:type="dxa"/>
            <w:vAlign w:val="bottom"/>
            <w:tcBorders>
              <w:bottom w:val="single" w:sz="8" w:color="0C479D"/>
            </w:tcBorders>
            <w:shd w:val="clear" w:color="auto" w:fill="DCDDDE"/>
          </w:tcPr>
          <w:p>
            <w:pPr>
              <w:spacing w:after="0"/>
              <w:rPr>
                <w:sz w:val="15"/>
                <w:szCs w:val="15"/>
                <w:color w:val="auto"/>
              </w:rPr>
            </w:pPr>
          </w:p>
        </w:tc>
        <w:tc>
          <w:tcPr>
            <w:tcW w:w="40" w:type="dxa"/>
            <w:vAlign w:val="bottom"/>
            <w:tcBorders>
              <w:bottom w:val="single" w:sz="8" w:color="0C479D"/>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2460" w:type="dxa"/>
            <w:vAlign w:val="bottom"/>
          </w:tcPr>
          <w:p>
            <w:pPr>
              <w:spacing w:after="0"/>
              <w:rPr>
                <w:sz w:val="24"/>
                <w:szCs w:val="24"/>
                <w:color w:val="auto"/>
              </w:rPr>
            </w:pPr>
          </w:p>
        </w:tc>
        <w:tc>
          <w:tcPr>
            <w:tcW w:w="1540" w:type="dxa"/>
            <w:vAlign w:val="bottom"/>
            <w:gridSpan w:val="3"/>
          </w:tcPr>
          <w:p>
            <w:pPr>
              <w:spacing w:after="0"/>
              <w:rPr>
                <w:sz w:val="24"/>
                <w:szCs w:val="24"/>
                <w:color w:val="auto"/>
              </w:rPr>
            </w:pPr>
          </w:p>
        </w:tc>
        <w:tc>
          <w:tcPr>
            <w:tcW w:w="154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460" w:type="dxa"/>
            <w:vAlign w:val="bottom"/>
            <w:tcBorders>
              <w:right w:val="single" w:sz="8" w:color="0C479D"/>
            </w:tcBorders>
            <w:shd w:val="clear" w:color="auto" w:fill="000000"/>
          </w:tcPr>
          <w:p>
            <w:pPr>
              <w:spacing w:after="0"/>
              <w:rPr>
                <w:sz w:val="20"/>
                <w:szCs w:val="20"/>
                <w:color w:val="auto"/>
              </w:rPr>
            </w:pPr>
            <w:r>
              <w:rPr>
                <w:rFonts w:ascii="Arial" w:cs="Arial" w:eastAsia="Arial" w:hAnsi="Arial"/>
                <w:sz w:val="13"/>
                <w:szCs w:val="13"/>
                <w:b w:val="1"/>
                <w:bCs w:val="1"/>
                <w:color w:val="FFFFFF"/>
              </w:rPr>
              <w:t>First Quarter 2025</w:t>
            </w:r>
          </w:p>
        </w:tc>
        <w:tc>
          <w:tcPr>
            <w:tcW w:w="1540" w:type="dxa"/>
            <w:vAlign w:val="bottom"/>
            <w:tcBorders>
              <w:right w:val="single" w:sz="8" w:color="0C479D"/>
            </w:tcBorders>
            <w:gridSpan w:val="3"/>
            <w:shd w:val="clear" w:color="auto" w:fill="0C479D"/>
          </w:tcPr>
          <w:p>
            <w:pPr>
              <w:jc w:val="right"/>
              <w:ind w:right="436"/>
              <w:spacing w:after="0"/>
              <w:rPr>
                <w:sz w:val="20"/>
                <w:szCs w:val="20"/>
                <w:color w:val="auto"/>
              </w:rPr>
            </w:pPr>
            <w:r>
              <w:rPr>
                <w:rFonts w:ascii="Arial" w:cs="Arial" w:eastAsia="Arial" w:hAnsi="Arial"/>
                <w:sz w:val="13"/>
                <w:szCs w:val="13"/>
                <w:b w:val="1"/>
                <w:bCs w:val="1"/>
                <w:color w:val="FFFFFF"/>
              </w:rPr>
              <w:t>Upstream</w:t>
            </w:r>
          </w:p>
        </w:tc>
        <w:tc>
          <w:tcPr>
            <w:tcW w:w="1540" w:type="dxa"/>
            <w:vAlign w:val="bottom"/>
            <w:tcBorders>
              <w:right w:val="single" w:sz="8" w:color="0C479D"/>
            </w:tcBorders>
            <w:gridSpan w:val="2"/>
            <w:shd w:val="clear" w:color="auto" w:fill="0C479D"/>
          </w:tcPr>
          <w:p>
            <w:pPr>
              <w:ind w:left="240"/>
              <w:spacing w:after="0"/>
              <w:rPr>
                <w:sz w:val="20"/>
                <w:szCs w:val="20"/>
                <w:color w:val="auto"/>
              </w:rPr>
            </w:pPr>
            <w:r>
              <w:rPr>
                <w:rFonts w:ascii="Arial" w:cs="Arial" w:eastAsia="Arial" w:hAnsi="Arial"/>
                <w:sz w:val="13"/>
                <w:szCs w:val="13"/>
                <w:b w:val="1"/>
                <w:bCs w:val="1"/>
                <w:color w:val="FFFFFF"/>
              </w:rPr>
              <w:t>Energy Products</w:t>
            </w:r>
          </w:p>
        </w:tc>
        <w:tc>
          <w:tcPr>
            <w:tcW w:w="1540" w:type="dxa"/>
            <w:vAlign w:val="bottom"/>
            <w:tcBorders>
              <w:right w:val="single" w:sz="8" w:color="0C479D"/>
            </w:tcBorders>
            <w:gridSpan w:val="2"/>
            <w:shd w:val="clear" w:color="auto" w:fill="0C479D"/>
          </w:tcPr>
          <w:p>
            <w:pPr>
              <w:jc w:val="right"/>
              <w:ind w:right="156"/>
              <w:spacing w:after="0"/>
              <w:rPr>
                <w:sz w:val="20"/>
                <w:szCs w:val="20"/>
                <w:color w:val="auto"/>
              </w:rPr>
            </w:pPr>
            <w:r>
              <w:rPr>
                <w:rFonts w:ascii="Arial" w:cs="Arial" w:eastAsia="Arial" w:hAnsi="Arial"/>
                <w:sz w:val="13"/>
                <w:szCs w:val="13"/>
                <w:b w:val="1"/>
                <w:bCs w:val="1"/>
                <w:color w:val="FFFFFF"/>
              </w:rPr>
              <w:t>Chemical Products</w:t>
            </w:r>
          </w:p>
        </w:tc>
        <w:tc>
          <w:tcPr>
            <w:tcW w:w="1540" w:type="dxa"/>
            <w:vAlign w:val="bottom"/>
            <w:tcBorders>
              <w:right w:val="single" w:sz="8" w:color="0C479D"/>
            </w:tcBorders>
            <w:gridSpan w:val="2"/>
            <w:shd w:val="clear" w:color="auto" w:fill="0C479D"/>
          </w:tcPr>
          <w:p>
            <w:pPr>
              <w:jc w:val="right"/>
              <w:ind w:right="156"/>
              <w:spacing w:after="0"/>
              <w:rPr>
                <w:sz w:val="20"/>
                <w:szCs w:val="20"/>
                <w:color w:val="auto"/>
              </w:rPr>
            </w:pPr>
            <w:r>
              <w:rPr>
                <w:rFonts w:ascii="Arial" w:cs="Arial" w:eastAsia="Arial" w:hAnsi="Arial"/>
                <w:sz w:val="13"/>
                <w:szCs w:val="13"/>
                <w:b w:val="1"/>
                <w:bCs w:val="1"/>
                <w:color w:val="FFFFFF"/>
              </w:rPr>
              <w:t>Specialty Products</w:t>
            </w:r>
          </w:p>
        </w:tc>
        <w:tc>
          <w:tcPr>
            <w:tcW w:w="80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b w:val="1"/>
                <w:bCs w:val="1"/>
                <w:color w:val="FFFFFF"/>
                <w:w w:val="95"/>
              </w:rPr>
              <w:t>Corporate &amp;</w:t>
            </w:r>
          </w:p>
        </w:tc>
        <w:tc>
          <w:tcPr>
            <w:tcW w:w="760" w:type="dxa"/>
            <w:vAlign w:val="bottom"/>
            <w:gridSpan w:val="2"/>
            <w:vMerge w:val="restart"/>
            <w:shd w:val="clear" w:color="auto" w:fill="000000"/>
          </w:tcPr>
          <w:p>
            <w:pPr>
              <w:jc w:val="center"/>
              <w:ind w:right="20"/>
              <w:spacing w:after="0"/>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58"/>
        </w:trPr>
        <w:tc>
          <w:tcPr>
            <w:tcW w:w="2460" w:type="dxa"/>
            <w:vAlign w:val="bottom"/>
            <w:tcBorders>
              <w:right w:val="single" w:sz="8" w:color="0C479D"/>
            </w:tcBorders>
            <w:shd w:val="clear" w:color="auto" w:fill="000000"/>
          </w:tcPr>
          <w:p>
            <w:pPr>
              <w:spacing w:after="0"/>
              <w:rPr>
                <w:sz w:val="5"/>
                <w:szCs w:val="5"/>
                <w:color w:val="auto"/>
              </w:rPr>
            </w:pPr>
          </w:p>
        </w:tc>
        <w:tc>
          <w:tcPr>
            <w:tcW w:w="740" w:type="dxa"/>
            <w:vAlign w:val="bottom"/>
            <w:shd w:val="clear" w:color="auto" w:fill="0C479D"/>
          </w:tcPr>
          <w:p>
            <w:pPr>
              <w:spacing w:after="0"/>
              <w:rPr>
                <w:sz w:val="5"/>
                <w:szCs w:val="5"/>
                <w:color w:val="auto"/>
              </w:rPr>
            </w:pPr>
          </w:p>
        </w:tc>
        <w:tc>
          <w:tcPr>
            <w:tcW w:w="120" w:type="dxa"/>
            <w:vAlign w:val="bottom"/>
            <w:shd w:val="clear" w:color="auto" w:fill="0C479D"/>
          </w:tcPr>
          <w:p>
            <w:pPr>
              <w:spacing w:after="0"/>
              <w:rPr>
                <w:sz w:val="5"/>
                <w:szCs w:val="5"/>
                <w:color w:val="auto"/>
              </w:rPr>
            </w:pPr>
          </w:p>
        </w:tc>
        <w:tc>
          <w:tcPr>
            <w:tcW w:w="680" w:type="dxa"/>
            <w:vAlign w:val="bottom"/>
            <w:tcBorders>
              <w:right w:val="single" w:sz="8" w:color="0C479D"/>
            </w:tcBorders>
            <w:shd w:val="clear" w:color="auto" w:fill="0C479D"/>
          </w:tcPr>
          <w:p>
            <w:pPr>
              <w:spacing w:after="0"/>
              <w:rPr>
                <w:sz w:val="5"/>
                <w:szCs w:val="5"/>
                <w:color w:val="auto"/>
              </w:rPr>
            </w:pPr>
          </w:p>
        </w:tc>
        <w:tc>
          <w:tcPr>
            <w:tcW w:w="860" w:type="dxa"/>
            <w:vAlign w:val="bottom"/>
            <w:shd w:val="clear" w:color="auto" w:fill="0C479D"/>
          </w:tcPr>
          <w:p>
            <w:pPr>
              <w:spacing w:after="0"/>
              <w:rPr>
                <w:sz w:val="5"/>
                <w:szCs w:val="5"/>
                <w:color w:val="auto"/>
              </w:rPr>
            </w:pPr>
          </w:p>
        </w:tc>
        <w:tc>
          <w:tcPr>
            <w:tcW w:w="680" w:type="dxa"/>
            <w:vAlign w:val="bottom"/>
            <w:tcBorders>
              <w:right w:val="single" w:sz="8" w:color="0C479D"/>
            </w:tcBorders>
            <w:shd w:val="clear" w:color="auto" w:fill="0C479D"/>
          </w:tcPr>
          <w:p>
            <w:pPr>
              <w:spacing w:after="0"/>
              <w:rPr>
                <w:sz w:val="5"/>
                <w:szCs w:val="5"/>
                <w:color w:val="auto"/>
              </w:rPr>
            </w:pPr>
          </w:p>
        </w:tc>
        <w:tc>
          <w:tcPr>
            <w:tcW w:w="860" w:type="dxa"/>
            <w:vAlign w:val="bottom"/>
            <w:shd w:val="clear" w:color="auto" w:fill="0C479D"/>
          </w:tcPr>
          <w:p>
            <w:pPr>
              <w:spacing w:after="0"/>
              <w:rPr>
                <w:sz w:val="5"/>
                <w:szCs w:val="5"/>
                <w:color w:val="auto"/>
              </w:rPr>
            </w:pPr>
          </w:p>
        </w:tc>
        <w:tc>
          <w:tcPr>
            <w:tcW w:w="680" w:type="dxa"/>
            <w:vAlign w:val="bottom"/>
            <w:tcBorders>
              <w:right w:val="single" w:sz="8" w:color="0C479D"/>
            </w:tcBorders>
            <w:shd w:val="clear" w:color="auto" w:fill="0C479D"/>
          </w:tcPr>
          <w:p>
            <w:pPr>
              <w:spacing w:after="0"/>
              <w:rPr>
                <w:sz w:val="5"/>
                <w:szCs w:val="5"/>
                <w:color w:val="auto"/>
              </w:rPr>
            </w:pPr>
          </w:p>
        </w:tc>
        <w:tc>
          <w:tcPr>
            <w:tcW w:w="860" w:type="dxa"/>
            <w:vAlign w:val="bottom"/>
            <w:shd w:val="clear" w:color="auto" w:fill="0C479D"/>
          </w:tcPr>
          <w:p>
            <w:pPr>
              <w:spacing w:after="0"/>
              <w:rPr>
                <w:sz w:val="5"/>
                <w:szCs w:val="5"/>
                <w:color w:val="auto"/>
              </w:rPr>
            </w:pPr>
          </w:p>
        </w:tc>
        <w:tc>
          <w:tcPr>
            <w:tcW w:w="680" w:type="dxa"/>
            <w:vAlign w:val="bottom"/>
            <w:tcBorders>
              <w:right w:val="single" w:sz="8" w:color="0C479D"/>
            </w:tcBorders>
            <w:shd w:val="clear" w:color="auto" w:fill="0C479D"/>
          </w:tcPr>
          <w:p>
            <w:pPr>
              <w:spacing w:after="0"/>
              <w:rPr>
                <w:sz w:val="5"/>
                <w:szCs w:val="5"/>
                <w:color w:val="auto"/>
              </w:rPr>
            </w:pPr>
          </w:p>
        </w:tc>
        <w:tc>
          <w:tcPr>
            <w:tcW w:w="800" w:type="dxa"/>
            <w:vAlign w:val="bottom"/>
            <w:tcBorders>
              <w:right w:val="single" w:sz="8" w:color="0C479D"/>
            </w:tcBorders>
            <w:vMerge w:val="continue"/>
            <w:shd w:val="clear" w:color="auto" w:fill="0C479D"/>
          </w:tcPr>
          <w:p>
            <w:pPr>
              <w:spacing w:after="0"/>
              <w:rPr>
                <w:sz w:val="5"/>
                <w:szCs w:val="5"/>
                <w:color w:val="auto"/>
              </w:rPr>
            </w:pPr>
          </w:p>
        </w:tc>
        <w:tc>
          <w:tcPr>
            <w:tcW w:w="760" w:type="dxa"/>
            <w:vAlign w:val="bottom"/>
            <w:gridSpan w:val="2"/>
            <w:vMerge w:val="continue"/>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460" w:type="dxa"/>
            <w:vAlign w:val="bottom"/>
            <w:tcBorders>
              <w:right w:val="single" w:sz="8" w:color="0C479D"/>
            </w:tcBorders>
            <w:vMerge w:val="restart"/>
            <w:shd w:val="clear" w:color="auto" w:fill="000000"/>
          </w:tcPr>
          <w:p>
            <w:pPr>
              <w:spacing w:after="0"/>
              <w:rPr>
                <w:sz w:val="20"/>
                <w:szCs w:val="20"/>
                <w:color w:val="auto"/>
              </w:rPr>
            </w:pPr>
            <w:r>
              <w:rPr>
                <w:rFonts w:ascii="Arial" w:cs="Arial" w:eastAsia="Arial" w:hAnsi="Arial"/>
                <w:sz w:val="12"/>
                <w:szCs w:val="12"/>
                <w:i w:val="1"/>
                <w:iCs w:val="1"/>
                <w:color w:val="FFFFFF"/>
              </w:rPr>
              <w:t>Dollars in millions (unless otherwise noted)</w:t>
            </w:r>
          </w:p>
        </w:tc>
        <w:tc>
          <w:tcPr>
            <w:tcW w:w="740" w:type="dxa"/>
            <w:vAlign w:val="bottom"/>
            <w:vMerge w:val="restart"/>
            <w:shd w:val="clear" w:color="auto" w:fill="0C479D"/>
          </w:tcPr>
          <w:p>
            <w:pPr>
              <w:jc w:val="center"/>
              <w:spacing w:after="0"/>
              <w:rPr>
                <w:sz w:val="20"/>
                <w:szCs w:val="20"/>
                <w:color w:val="auto"/>
              </w:rPr>
            </w:pPr>
            <w:r>
              <w:rPr>
                <w:rFonts w:ascii="Arial" w:cs="Arial" w:eastAsia="Arial" w:hAnsi="Arial"/>
                <w:sz w:val="13"/>
                <w:szCs w:val="13"/>
                <w:color w:val="FFFFFF"/>
                <w:w w:val="94"/>
              </w:rPr>
              <w:t>U.S.</w:t>
            </w:r>
          </w:p>
        </w:tc>
        <w:tc>
          <w:tcPr>
            <w:tcW w:w="120" w:type="dxa"/>
            <w:vAlign w:val="bottom"/>
            <w:shd w:val="clear" w:color="auto" w:fill="0C479D"/>
          </w:tcPr>
          <w:p>
            <w:pPr>
              <w:spacing w:after="0"/>
              <w:rPr>
                <w:sz w:val="9"/>
                <w:szCs w:val="9"/>
                <w:color w:val="auto"/>
              </w:rPr>
            </w:pP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ind w:left="240"/>
              <w:spacing w:after="0"/>
              <w:rPr>
                <w:sz w:val="20"/>
                <w:szCs w:val="20"/>
                <w:color w:val="auto"/>
              </w:rPr>
            </w:pPr>
            <w:r>
              <w:rPr>
                <w:rFonts w:ascii="Arial" w:cs="Arial" w:eastAsia="Arial" w:hAnsi="Arial"/>
                <w:sz w:val="13"/>
                <w:szCs w:val="13"/>
                <w:color w:val="FFFFFF"/>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jc w:val="center"/>
              <w:ind w:right="76"/>
              <w:spacing w:after="0"/>
              <w:rPr>
                <w:sz w:val="20"/>
                <w:szCs w:val="20"/>
                <w:color w:val="auto"/>
              </w:rPr>
            </w:pPr>
            <w:r>
              <w:rPr>
                <w:rFonts w:ascii="Arial" w:cs="Arial" w:eastAsia="Arial" w:hAnsi="Arial"/>
                <w:sz w:val="13"/>
                <w:szCs w:val="13"/>
                <w:color w:val="FFFFFF"/>
                <w:w w:val="94"/>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60" w:type="dxa"/>
            <w:vAlign w:val="bottom"/>
            <w:vMerge w:val="restart"/>
            <w:shd w:val="clear" w:color="auto" w:fill="0C479D"/>
          </w:tcPr>
          <w:p>
            <w:pPr>
              <w:jc w:val="center"/>
              <w:ind w:right="76"/>
              <w:spacing w:after="0"/>
              <w:rPr>
                <w:sz w:val="20"/>
                <w:szCs w:val="20"/>
                <w:color w:val="auto"/>
              </w:rPr>
            </w:pPr>
            <w:r>
              <w:rPr>
                <w:rFonts w:ascii="Arial" w:cs="Arial" w:eastAsia="Arial" w:hAnsi="Arial"/>
                <w:sz w:val="13"/>
                <w:szCs w:val="13"/>
                <w:color w:val="FFFFFF"/>
                <w:w w:val="94"/>
              </w:rPr>
              <w:t>U.S.</w:t>
            </w:r>
          </w:p>
        </w:tc>
        <w:tc>
          <w:tcPr>
            <w:tcW w:w="680" w:type="dxa"/>
            <w:vAlign w:val="bottom"/>
            <w:tcBorders>
              <w:right w:val="single" w:sz="8" w:color="0C479D"/>
            </w:tcBorders>
            <w:vMerge w:val="restart"/>
            <w:shd w:val="clear" w:color="auto" w:fill="0C479D"/>
          </w:tcPr>
          <w:p>
            <w:pPr>
              <w:jc w:val="center"/>
              <w:ind w:right="96"/>
              <w:spacing w:after="0"/>
              <w:rPr>
                <w:sz w:val="20"/>
                <w:szCs w:val="20"/>
                <w:color w:val="auto"/>
              </w:rPr>
            </w:pPr>
            <w:r>
              <w:rPr>
                <w:rFonts w:ascii="Arial" w:cs="Arial" w:eastAsia="Arial" w:hAnsi="Arial"/>
                <w:sz w:val="13"/>
                <w:szCs w:val="13"/>
                <w:color w:val="FFFFFF"/>
                <w:w w:val="97"/>
              </w:rPr>
              <w:t>Non-U.S.</w:t>
            </w:r>
          </w:p>
        </w:tc>
        <w:tc>
          <w:tcPr>
            <w:tcW w:w="800" w:type="dxa"/>
            <w:vAlign w:val="bottom"/>
            <w:tcBorders>
              <w:right w:val="single" w:sz="8" w:color="0C479D"/>
            </w:tcBorders>
            <w:vMerge w:val="restart"/>
            <w:shd w:val="clear" w:color="auto" w:fill="0C479D"/>
          </w:tcPr>
          <w:p>
            <w:pPr>
              <w:jc w:val="center"/>
              <w:spacing w:after="0"/>
              <w:rPr>
                <w:sz w:val="20"/>
                <w:szCs w:val="20"/>
                <w:color w:val="auto"/>
              </w:rPr>
            </w:pPr>
            <w:r>
              <w:rPr>
                <w:rFonts w:ascii="Arial" w:cs="Arial" w:eastAsia="Arial" w:hAnsi="Arial"/>
                <w:sz w:val="13"/>
                <w:szCs w:val="13"/>
                <w:b w:val="1"/>
                <w:bCs w:val="1"/>
                <w:color w:val="FFFFFF"/>
                <w:w w:val="97"/>
              </w:rPr>
              <w:t>Financing</w:t>
            </w:r>
          </w:p>
        </w:tc>
        <w:tc>
          <w:tcPr>
            <w:tcW w:w="760" w:type="dxa"/>
            <w:vAlign w:val="bottom"/>
            <w:gridSpan w:val="2"/>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60" w:type="dxa"/>
            <w:vAlign w:val="bottom"/>
            <w:tcBorders>
              <w:right w:val="single" w:sz="8" w:color="0C479D"/>
            </w:tcBorders>
            <w:vMerge w:val="continue"/>
            <w:shd w:val="clear" w:color="auto" w:fill="000000"/>
          </w:tcPr>
          <w:p>
            <w:pPr>
              <w:spacing w:after="0"/>
              <w:rPr>
                <w:sz w:val="5"/>
                <w:szCs w:val="5"/>
                <w:color w:val="auto"/>
              </w:rPr>
            </w:pPr>
          </w:p>
        </w:tc>
        <w:tc>
          <w:tcPr>
            <w:tcW w:w="740" w:type="dxa"/>
            <w:vAlign w:val="bottom"/>
            <w:vMerge w:val="continue"/>
            <w:shd w:val="clear" w:color="auto" w:fill="0C479D"/>
          </w:tcPr>
          <w:p>
            <w:pPr>
              <w:spacing w:after="0"/>
              <w:rPr>
                <w:sz w:val="5"/>
                <w:szCs w:val="5"/>
                <w:color w:val="auto"/>
              </w:rPr>
            </w:pPr>
          </w:p>
        </w:tc>
        <w:tc>
          <w:tcPr>
            <w:tcW w:w="120" w:type="dxa"/>
            <w:vAlign w:val="bottom"/>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680" w:type="dxa"/>
            <w:vAlign w:val="bottom"/>
            <w:tcBorders>
              <w:right w:val="single" w:sz="8" w:color="0C479D"/>
            </w:tcBorders>
            <w:vMerge w:val="continue"/>
            <w:shd w:val="clear" w:color="auto" w:fill="0C479D"/>
          </w:tcPr>
          <w:p>
            <w:pPr>
              <w:spacing w:after="0"/>
              <w:rPr>
                <w:sz w:val="5"/>
                <w:szCs w:val="5"/>
                <w:color w:val="auto"/>
              </w:rPr>
            </w:pPr>
          </w:p>
        </w:tc>
        <w:tc>
          <w:tcPr>
            <w:tcW w:w="800" w:type="dxa"/>
            <w:vAlign w:val="bottom"/>
            <w:tcBorders>
              <w:right w:val="single" w:sz="8" w:color="0C479D"/>
            </w:tcBorders>
            <w:vMerge w:val="continue"/>
            <w:shd w:val="clear" w:color="auto" w:fill="0C479D"/>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460" w:type="dxa"/>
            <w:vAlign w:val="bottom"/>
            <w:tcBorders>
              <w:right w:val="single" w:sz="8" w:color="0C479D"/>
            </w:tcBorders>
            <w:vMerge w:val="continue"/>
            <w:shd w:val="clear" w:color="auto" w:fill="000000"/>
          </w:tcPr>
          <w:p>
            <w:pPr>
              <w:spacing w:after="0"/>
              <w:rPr>
                <w:sz w:val="7"/>
                <w:szCs w:val="7"/>
                <w:color w:val="auto"/>
              </w:rPr>
            </w:pPr>
          </w:p>
        </w:tc>
        <w:tc>
          <w:tcPr>
            <w:tcW w:w="740" w:type="dxa"/>
            <w:vAlign w:val="bottom"/>
            <w:vMerge w:val="continue"/>
            <w:shd w:val="clear" w:color="auto" w:fill="0C479D"/>
          </w:tcPr>
          <w:p>
            <w:pPr>
              <w:spacing w:after="0"/>
              <w:rPr>
                <w:sz w:val="7"/>
                <w:szCs w:val="7"/>
                <w:color w:val="auto"/>
              </w:rPr>
            </w:pPr>
          </w:p>
        </w:tc>
        <w:tc>
          <w:tcPr>
            <w:tcW w:w="120" w:type="dxa"/>
            <w:vAlign w:val="bottom"/>
            <w:shd w:val="clear" w:color="auto" w:fill="0C479D"/>
          </w:tcPr>
          <w:p>
            <w:pPr>
              <w:spacing w:after="0"/>
              <w:rPr>
                <w:sz w:val="7"/>
                <w:szCs w:val="7"/>
                <w:color w:val="auto"/>
              </w:rPr>
            </w:pPr>
          </w:p>
        </w:tc>
        <w:tc>
          <w:tcPr>
            <w:tcW w:w="680" w:type="dxa"/>
            <w:vAlign w:val="bottom"/>
            <w:tcBorders>
              <w:right w:val="single" w:sz="8" w:color="0C479D"/>
            </w:tcBorders>
            <w:vMerge w:val="continue"/>
            <w:shd w:val="clear" w:color="auto" w:fill="0C479D"/>
          </w:tcPr>
          <w:p>
            <w:pPr>
              <w:spacing w:after="0"/>
              <w:rPr>
                <w:sz w:val="7"/>
                <w:szCs w:val="7"/>
                <w:color w:val="auto"/>
              </w:rPr>
            </w:pPr>
          </w:p>
        </w:tc>
        <w:tc>
          <w:tcPr>
            <w:tcW w:w="860" w:type="dxa"/>
            <w:vAlign w:val="bottom"/>
            <w:vMerge w:val="continue"/>
            <w:shd w:val="clear" w:color="auto" w:fill="0C479D"/>
          </w:tcPr>
          <w:p>
            <w:pPr>
              <w:spacing w:after="0"/>
              <w:rPr>
                <w:sz w:val="7"/>
                <w:szCs w:val="7"/>
                <w:color w:val="auto"/>
              </w:rPr>
            </w:pPr>
          </w:p>
        </w:tc>
        <w:tc>
          <w:tcPr>
            <w:tcW w:w="680" w:type="dxa"/>
            <w:vAlign w:val="bottom"/>
            <w:tcBorders>
              <w:right w:val="single" w:sz="8" w:color="0C479D"/>
            </w:tcBorders>
            <w:vMerge w:val="continue"/>
            <w:shd w:val="clear" w:color="auto" w:fill="0C479D"/>
          </w:tcPr>
          <w:p>
            <w:pPr>
              <w:spacing w:after="0"/>
              <w:rPr>
                <w:sz w:val="7"/>
                <w:szCs w:val="7"/>
                <w:color w:val="auto"/>
              </w:rPr>
            </w:pPr>
          </w:p>
        </w:tc>
        <w:tc>
          <w:tcPr>
            <w:tcW w:w="860" w:type="dxa"/>
            <w:vAlign w:val="bottom"/>
            <w:vMerge w:val="continue"/>
            <w:shd w:val="clear" w:color="auto" w:fill="0C479D"/>
          </w:tcPr>
          <w:p>
            <w:pPr>
              <w:spacing w:after="0"/>
              <w:rPr>
                <w:sz w:val="7"/>
                <w:szCs w:val="7"/>
                <w:color w:val="auto"/>
              </w:rPr>
            </w:pPr>
          </w:p>
        </w:tc>
        <w:tc>
          <w:tcPr>
            <w:tcW w:w="680" w:type="dxa"/>
            <w:vAlign w:val="bottom"/>
            <w:tcBorders>
              <w:right w:val="single" w:sz="8" w:color="0C479D"/>
            </w:tcBorders>
            <w:vMerge w:val="continue"/>
            <w:shd w:val="clear" w:color="auto" w:fill="0C479D"/>
          </w:tcPr>
          <w:p>
            <w:pPr>
              <w:spacing w:after="0"/>
              <w:rPr>
                <w:sz w:val="7"/>
                <w:szCs w:val="7"/>
                <w:color w:val="auto"/>
              </w:rPr>
            </w:pPr>
          </w:p>
        </w:tc>
        <w:tc>
          <w:tcPr>
            <w:tcW w:w="860" w:type="dxa"/>
            <w:vAlign w:val="bottom"/>
            <w:vMerge w:val="continue"/>
            <w:shd w:val="clear" w:color="auto" w:fill="0C479D"/>
          </w:tcPr>
          <w:p>
            <w:pPr>
              <w:spacing w:after="0"/>
              <w:rPr>
                <w:sz w:val="7"/>
                <w:szCs w:val="7"/>
                <w:color w:val="auto"/>
              </w:rPr>
            </w:pPr>
          </w:p>
        </w:tc>
        <w:tc>
          <w:tcPr>
            <w:tcW w:w="680" w:type="dxa"/>
            <w:vAlign w:val="bottom"/>
            <w:tcBorders>
              <w:right w:val="single" w:sz="8" w:color="0C479D"/>
            </w:tcBorders>
            <w:vMerge w:val="continue"/>
            <w:shd w:val="clear" w:color="auto" w:fill="0C479D"/>
          </w:tcPr>
          <w:p>
            <w:pPr>
              <w:spacing w:after="0"/>
              <w:rPr>
                <w:sz w:val="7"/>
                <w:szCs w:val="7"/>
                <w:color w:val="auto"/>
              </w:rPr>
            </w:pPr>
          </w:p>
        </w:tc>
        <w:tc>
          <w:tcPr>
            <w:tcW w:w="800" w:type="dxa"/>
            <w:vAlign w:val="bottom"/>
            <w:tcBorders>
              <w:right w:val="single" w:sz="8" w:color="0C479D"/>
            </w:tcBorders>
            <w:shd w:val="clear" w:color="auto" w:fill="0C479D"/>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460" w:type="dxa"/>
            <w:vAlign w:val="bottom"/>
            <w:tcBorders>
              <w:right w:val="single" w:sz="8" w:color="0C479D"/>
            </w:tcBorders>
            <w:shd w:val="clear" w:color="auto" w:fill="000000"/>
          </w:tcPr>
          <w:p>
            <w:pPr>
              <w:spacing w:after="0"/>
              <w:rPr>
                <w:sz w:val="8"/>
                <w:szCs w:val="8"/>
                <w:color w:val="auto"/>
              </w:rPr>
            </w:pPr>
          </w:p>
        </w:tc>
        <w:tc>
          <w:tcPr>
            <w:tcW w:w="740" w:type="dxa"/>
            <w:vAlign w:val="bottom"/>
            <w:tcBorders>
              <w:bottom w:val="single" w:sz="8" w:color="0C479D"/>
            </w:tcBorders>
            <w:shd w:val="clear" w:color="auto" w:fill="0C479D"/>
          </w:tcPr>
          <w:p>
            <w:pPr>
              <w:spacing w:after="0"/>
              <w:rPr>
                <w:sz w:val="8"/>
                <w:szCs w:val="8"/>
                <w:color w:val="auto"/>
              </w:rPr>
            </w:pPr>
          </w:p>
        </w:tc>
        <w:tc>
          <w:tcPr>
            <w:tcW w:w="12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680" w:type="dxa"/>
            <w:vAlign w:val="bottom"/>
            <w:tcBorders>
              <w:bottom w:val="single" w:sz="8" w:color="0C479D"/>
              <w:right w:val="single" w:sz="8" w:color="0C479D"/>
            </w:tcBorders>
            <w:shd w:val="clear" w:color="auto" w:fill="0C479D"/>
          </w:tcPr>
          <w:p>
            <w:pPr>
              <w:spacing w:after="0"/>
              <w:rPr>
                <w:sz w:val="8"/>
                <w:szCs w:val="8"/>
                <w:color w:val="auto"/>
              </w:rPr>
            </w:pPr>
          </w:p>
        </w:tc>
        <w:tc>
          <w:tcPr>
            <w:tcW w:w="800" w:type="dxa"/>
            <w:vAlign w:val="bottom"/>
            <w:tcBorders>
              <w:bottom w:val="single" w:sz="8" w:color="0C479D"/>
              <w:right w:val="single" w:sz="8" w:color="0C479D"/>
            </w:tcBorders>
            <w:shd w:val="clear" w:color="auto" w:fill="0C479D"/>
          </w:tcPr>
          <w:p>
            <w:pPr>
              <w:spacing w:after="0"/>
              <w:rPr>
                <w:sz w:val="8"/>
                <w:szCs w:val="8"/>
                <w:color w:val="auto"/>
              </w:rPr>
            </w:pPr>
          </w:p>
        </w:tc>
        <w:tc>
          <w:tcPr>
            <w:tcW w:w="720" w:type="dxa"/>
            <w:vAlign w:val="bottom"/>
            <w:tcBorders>
              <w:bottom w:val="single" w:sz="8" w:color="DCDDDE"/>
            </w:tcBorders>
            <w:shd w:val="clear" w:color="auto" w:fill="000000"/>
          </w:tcPr>
          <w:p>
            <w:pPr>
              <w:spacing w:after="0"/>
              <w:rPr>
                <w:sz w:val="8"/>
                <w:szCs w:val="8"/>
                <w:color w:val="auto"/>
              </w:rPr>
            </w:pPr>
          </w:p>
        </w:tc>
        <w:tc>
          <w:tcPr>
            <w:tcW w:w="40" w:type="dxa"/>
            <w:vAlign w:val="bottom"/>
            <w:tcBorders>
              <w:bottom w:val="single" w:sz="8" w:color="DCDDDE"/>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(U.S. GAAP)</w:t>
            </w:r>
          </w:p>
        </w:tc>
        <w:tc>
          <w:tcPr>
            <w:tcW w:w="740" w:type="dxa"/>
            <w:vAlign w:val="bottom"/>
          </w:tcPr>
          <w:p>
            <w:pPr>
              <w:jc w:val="right"/>
              <w:ind w:right="16"/>
              <w:spacing w:after="0"/>
              <w:rPr>
                <w:sz w:val="20"/>
                <w:szCs w:val="20"/>
                <w:color w:val="auto"/>
              </w:rPr>
            </w:pPr>
            <w:r>
              <w:rPr>
                <w:rFonts w:ascii="Arial" w:cs="Arial" w:eastAsia="Arial" w:hAnsi="Arial"/>
                <w:sz w:val="13"/>
                <w:szCs w:val="13"/>
                <w:b w:val="1"/>
                <w:bCs w:val="1"/>
                <w:color w:val="auto"/>
              </w:rPr>
              <w:t>1,870</w:t>
            </w:r>
          </w:p>
        </w:tc>
        <w:tc>
          <w:tcPr>
            <w:tcW w:w="120" w:type="dxa"/>
            <w:vAlign w:val="bottom"/>
          </w:tcPr>
          <w:p>
            <w:pPr>
              <w:spacing w:after="0"/>
              <w:rPr>
                <w:sz w:val="19"/>
                <w:szCs w:val="19"/>
                <w:color w:val="auto"/>
              </w:rPr>
            </w:pP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4,886</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297</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530</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255</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18</w:t>
            </w:r>
          </w:p>
        </w:tc>
        <w:tc>
          <w:tcPr>
            <w:tcW w:w="860" w:type="dxa"/>
            <w:vAlign w:val="bottom"/>
          </w:tcPr>
          <w:p>
            <w:pPr>
              <w:jc w:val="right"/>
              <w:ind w:right="136"/>
              <w:spacing w:after="0"/>
              <w:rPr>
                <w:sz w:val="20"/>
                <w:szCs w:val="20"/>
                <w:color w:val="auto"/>
              </w:rPr>
            </w:pPr>
            <w:r>
              <w:rPr>
                <w:rFonts w:ascii="Arial" w:cs="Arial" w:eastAsia="Arial" w:hAnsi="Arial"/>
                <w:sz w:val="13"/>
                <w:szCs w:val="13"/>
                <w:b w:val="1"/>
                <w:bCs w:val="1"/>
                <w:color w:val="auto"/>
              </w:rPr>
              <w:t>322</w:t>
            </w:r>
          </w:p>
        </w:tc>
        <w:tc>
          <w:tcPr>
            <w:tcW w:w="680" w:type="dxa"/>
            <w:vAlign w:val="bottom"/>
            <w:tcBorders>
              <w:right w:val="single" w:sz="8" w:color="0C479D"/>
            </w:tcBorders>
          </w:tcPr>
          <w:p>
            <w:pPr>
              <w:jc w:val="right"/>
              <w:ind w:right="36"/>
              <w:spacing w:after="0"/>
              <w:rPr>
                <w:sz w:val="20"/>
                <w:szCs w:val="20"/>
                <w:color w:val="auto"/>
              </w:rPr>
            </w:pPr>
            <w:r>
              <w:rPr>
                <w:rFonts w:ascii="Arial" w:cs="Arial" w:eastAsia="Arial" w:hAnsi="Arial"/>
                <w:sz w:val="13"/>
                <w:szCs w:val="13"/>
                <w:b w:val="1"/>
                <w:bCs w:val="1"/>
                <w:color w:val="auto"/>
              </w:rPr>
              <w:t>333</w:t>
            </w:r>
          </w:p>
        </w:tc>
        <w:tc>
          <w:tcPr>
            <w:tcW w:w="800" w:type="dxa"/>
            <w:vAlign w:val="bottom"/>
            <w:tcBorders>
              <w:right w:val="single" w:sz="8" w:color="0C479D"/>
            </w:tcBorders>
          </w:tcPr>
          <w:p>
            <w:pPr>
              <w:jc w:val="right"/>
              <w:spacing w:after="0"/>
              <w:rPr>
                <w:sz w:val="20"/>
                <w:szCs w:val="20"/>
                <w:color w:val="auto"/>
              </w:rPr>
            </w:pPr>
            <w:r>
              <w:rPr>
                <w:rFonts w:ascii="Arial" w:cs="Arial" w:eastAsia="Arial" w:hAnsi="Arial"/>
                <w:sz w:val="13"/>
                <w:szCs w:val="13"/>
                <w:b w:val="1"/>
                <w:bCs w:val="1"/>
                <w:color w:val="auto"/>
              </w:rPr>
              <w:t>(798)</w:t>
            </w:r>
          </w:p>
        </w:tc>
        <w:tc>
          <w:tcPr>
            <w:tcW w:w="72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7,713</w:t>
            </w: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460" w:type="dxa"/>
            <w:vAlign w:val="bottom"/>
            <w:tcBorders>
              <w:bottom w:val="single" w:sz="8" w:color="0C479D"/>
              <w:right w:val="single" w:sz="8" w:color="0C479D"/>
            </w:tcBorders>
          </w:tcPr>
          <w:p>
            <w:pPr>
              <w:spacing w:after="0"/>
              <w:rPr>
                <w:sz w:val="11"/>
                <w:szCs w:val="11"/>
                <w:color w:val="auto"/>
              </w:rPr>
            </w:pPr>
          </w:p>
        </w:tc>
        <w:tc>
          <w:tcPr>
            <w:tcW w:w="860" w:type="dxa"/>
            <w:vAlign w:val="bottom"/>
            <w:tcBorders>
              <w:bottom w:val="single" w:sz="8" w:color="0C479D"/>
            </w:tcBorders>
            <w:gridSpan w:val="2"/>
          </w:tcPr>
          <w:p>
            <w:pPr>
              <w:spacing w:after="0"/>
              <w:rPr>
                <w:sz w:val="11"/>
                <w:szCs w:val="11"/>
                <w:color w:val="auto"/>
              </w:rPr>
            </w:pPr>
          </w:p>
        </w:tc>
        <w:tc>
          <w:tcPr>
            <w:tcW w:w="680" w:type="dxa"/>
            <w:vAlign w:val="bottom"/>
            <w:tcBorders>
              <w:bottom w:val="single" w:sz="8" w:color="0C479D"/>
              <w:right w:val="single" w:sz="8" w:color="0C479D"/>
            </w:tcBorders>
          </w:tcPr>
          <w:p>
            <w:pPr>
              <w:spacing w:after="0"/>
              <w:rPr>
                <w:sz w:val="11"/>
                <w:szCs w:val="11"/>
                <w:color w:val="auto"/>
              </w:rPr>
            </w:pPr>
          </w:p>
        </w:tc>
        <w:tc>
          <w:tcPr>
            <w:tcW w:w="860" w:type="dxa"/>
            <w:vAlign w:val="bottom"/>
            <w:tcBorders>
              <w:bottom w:val="single" w:sz="8" w:color="0C479D"/>
            </w:tcBorders>
          </w:tcPr>
          <w:p>
            <w:pPr>
              <w:spacing w:after="0"/>
              <w:rPr>
                <w:sz w:val="11"/>
                <w:szCs w:val="11"/>
                <w:color w:val="auto"/>
              </w:rPr>
            </w:pPr>
          </w:p>
        </w:tc>
        <w:tc>
          <w:tcPr>
            <w:tcW w:w="680" w:type="dxa"/>
            <w:vAlign w:val="bottom"/>
            <w:tcBorders>
              <w:bottom w:val="single" w:sz="8" w:color="0C479D"/>
              <w:right w:val="single" w:sz="8" w:color="0C479D"/>
            </w:tcBorders>
          </w:tcPr>
          <w:p>
            <w:pPr>
              <w:spacing w:after="0"/>
              <w:rPr>
                <w:sz w:val="11"/>
                <w:szCs w:val="11"/>
                <w:color w:val="auto"/>
              </w:rPr>
            </w:pPr>
          </w:p>
        </w:tc>
        <w:tc>
          <w:tcPr>
            <w:tcW w:w="860" w:type="dxa"/>
            <w:vAlign w:val="bottom"/>
            <w:tcBorders>
              <w:bottom w:val="single" w:sz="8" w:color="0C479D"/>
            </w:tcBorders>
          </w:tcPr>
          <w:p>
            <w:pPr>
              <w:spacing w:after="0"/>
              <w:rPr>
                <w:sz w:val="11"/>
                <w:szCs w:val="11"/>
                <w:color w:val="auto"/>
              </w:rPr>
            </w:pPr>
          </w:p>
        </w:tc>
        <w:tc>
          <w:tcPr>
            <w:tcW w:w="680" w:type="dxa"/>
            <w:vAlign w:val="bottom"/>
            <w:tcBorders>
              <w:bottom w:val="single" w:sz="8" w:color="0C479D"/>
              <w:right w:val="single" w:sz="8" w:color="0C479D"/>
            </w:tcBorders>
          </w:tcPr>
          <w:p>
            <w:pPr>
              <w:spacing w:after="0"/>
              <w:rPr>
                <w:sz w:val="11"/>
                <w:szCs w:val="11"/>
                <w:color w:val="auto"/>
              </w:rPr>
            </w:pPr>
          </w:p>
        </w:tc>
        <w:tc>
          <w:tcPr>
            <w:tcW w:w="860" w:type="dxa"/>
            <w:vAlign w:val="bottom"/>
            <w:tcBorders>
              <w:bottom w:val="single" w:sz="8" w:color="0C479D"/>
            </w:tcBorders>
          </w:tcPr>
          <w:p>
            <w:pPr>
              <w:spacing w:after="0"/>
              <w:rPr>
                <w:sz w:val="11"/>
                <w:szCs w:val="11"/>
                <w:color w:val="auto"/>
              </w:rPr>
            </w:pPr>
          </w:p>
        </w:tc>
        <w:tc>
          <w:tcPr>
            <w:tcW w:w="680" w:type="dxa"/>
            <w:vAlign w:val="bottom"/>
            <w:tcBorders>
              <w:bottom w:val="single" w:sz="8" w:color="0C479D"/>
              <w:right w:val="single" w:sz="8" w:color="0C479D"/>
            </w:tcBorders>
          </w:tcPr>
          <w:p>
            <w:pPr>
              <w:spacing w:after="0"/>
              <w:rPr>
                <w:sz w:val="11"/>
                <w:szCs w:val="11"/>
                <w:color w:val="auto"/>
              </w:rPr>
            </w:pPr>
          </w:p>
        </w:tc>
        <w:tc>
          <w:tcPr>
            <w:tcW w:w="800" w:type="dxa"/>
            <w:vAlign w:val="bottom"/>
            <w:tcBorders>
              <w:bottom w:val="single" w:sz="8" w:color="0C479D"/>
              <w:right w:val="single" w:sz="8" w:color="0C479D"/>
            </w:tcBorders>
          </w:tcPr>
          <w:p>
            <w:pPr>
              <w:spacing w:after="0"/>
              <w:rPr>
                <w:sz w:val="11"/>
                <w:szCs w:val="11"/>
                <w:color w:val="auto"/>
              </w:rPr>
            </w:pPr>
          </w:p>
        </w:tc>
        <w:tc>
          <w:tcPr>
            <w:tcW w:w="760" w:type="dxa"/>
            <w:vAlign w:val="bottom"/>
            <w:tcBorders>
              <w:bottom w:val="single" w:sz="8" w:color="0C479D"/>
            </w:tcBorders>
            <w:gridSpan w:val="2"/>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Total Identified Items</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680" w:type="dxa"/>
            <w:vAlign w:val="bottom"/>
            <w:tcBorders>
              <w:right w:val="single" w:sz="8" w:color="0C479D"/>
            </w:tcBorders>
          </w:tcPr>
          <w:p>
            <w:pPr>
              <w:jc w:val="center"/>
              <w:ind w:right="96"/>
              <w:spacing w:after="0"/>
              <w:rPr>
                <w:sz w:val="20"/>
                <w:szCs w:val="20"/>
                <w:color w:val="auto"/>
              </w:rPr>
            </w:pPr>
            <w:r>
              <w:rPr>
                <w:rFonts w:ascii="Arial" w:cs="Arial" w:eastAsia="Arial" w:hAnsi="Arial"/>
                <w:sz w:val="16"/>
                <w:szCs w:val="16"/>
                <w:color w:val="auto"/>
                <w:w w:val="99"/>
              </w:rPr>
              <w:t>—</w:t>
            </w:r>
          </w:p>
        </w:tc>
        <w:tc>
          <w:tcPr>
            <w:tcW w:w="860" w:type="dxa"/>
            <w:vAlign w:val="bottom"/>
          </w:tcPr>
          <w:p>
            <w:pPr>
              <w:jc w:val="right"/>
              <w:ind w:right="356"/>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0C479D"/>
            </w:tcBorders>
          </w:tcPr>
          <w:p>
            <w:pPr>
              <w:jc w:val="center"/>
              <w:ind w:right="96"/>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76"/>
              <w:spacing w:after="0"/>
              <w:rPr>
                <w:sz w:val="20"/>
                <w:szCs w:val="20"/>
                <w:color w:val="auto"/>
              </w:rPr>
            </w:pPr>
            <w:r>
              <w:rPr>
                <w:rFonts w:ascii="Arial" w:cs="Arial" w:eastAsia="Arial" w:hAnsi="Arial"/>
                <w:sz w:val="16"/>
                <w:szCs w:val="16"/>
                <w:color w:val="auto"/>
                <w:w w:val="99"/>
              </w:rPr>
              <w:t>—</w:t>
            </w:r>
          </w:p>
        </w:tc>
        <w:tc>
          <w:tcPr>
            <w:tcW w:w="680" w:type="dxa"/>
            <w:vAlign w:val="bottom"/>
            <w:tcBorders>
              <w:right w:val="single" w:sz="8" w:color="0C479D"/>
            </w:tcBorders>
          </w:tcPr>
          <w:p>
            <w:pPr>
              <w:jc w:val="center"/>
              <w:ind w:right="96"/>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ind w:right="76"/>
              <w:spacing w:after="0"/>
              <w:rPr>
                <w:sz w:val="20"/>
                <w:szCs w:val="20"/>
                <w:color w:val="auto"/>
              </w:rPr>
            </w:pPr>
            <w:r>
              <w:rPr>
                <w:rFonts w:ascii="Arial" w:cs="Arial" w:eastAsia="Arial" w:hAnsi="Arial"/>
                <w:sz w:val="16"/>
                <w:szCs w:val="16"/>
                <w:color w:val="auto"/>
                <w:w w:val="99"/>
              </w:rPr>
              <w:t>—</w:t>
            </w:r>
          </w:p>
        </w:tc>
        <w:tc>
          <w:tcPr>
            <w:tcW w:w="680" w:type="dxa"/>
            <w:vAlign w:val="bottom"/>
            <w:tcBorders>
              <w:right w:val="single" w:sz="8" w:color="0C479D"/>
            </w:tcBorders>
          </w:tcPr>
          <w:p>
            <w:pPr>
              <w:jc w:val="center"/>
              <w:ind w:right="96"/>
              <w:spacing w:after="0"/>
              <w:rPr>
                <w:sz w:val="20"/>
                <w:szCs w:val="20"/>
                <w:color w:val="auto"/>
              </w:rPr>
            </w:pPr>
            <w:r>
              <w:rPr>
                <w:rFonts w:ascii="Arial" w:cs="Arial" w:eastAsia="Arial" w:hAnsi="Arial"/>
                <w:sz w:val="16"/>
                <w:szCs w:val="16"/>
                <w:color w:val="auto"/>
                <w:w w:val="99"/>
              </w:rPr>
              <w:t>—</w:t>
            </w:r>
          </w:p>
        </w:tc>
        <w:tc>
          <w:tcPr>
            <w:tcW w:w="800" w:type="dxa"/>
            <w:vAlign w:val="bottom"/>
            <w:tcBorders>
              <w:right w:val="single" w:sz="8" w:color="0D469D"/>
            </w:tcBorders>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tcBorders>
              <w:bottom w:val="single" w:sz="8" w:color="DCDDDE"/>
            </w:tcBorders>
            <w:gridSpan w:val="2"/>
            <w:shd w:val="clear" w:color="auto" w:fill="DCDDDE"/>
          </w:tcPr>
          <w:p>
            <w:pPr>
              <w:jc w:val="center"/>
              <w:spacing w:after="0"/>
              <w:rPr>
                <w:sz w:val="20"/>
                <w:szCs w:val="20"/>
                <w:color w:val="auto"/>
              </w:rPr>
            </w:pPr>
            <w:r>
              <w:rPr>
                <w:rFonts w:ascii="Arial" w:cs="Arial" w:eastAsia="Arial" w:hAnsi="Arial"/>
                <w:sz w:val="16"/>
                <w:szCs w:val="16"/>
                <w:b w:val="1"/>
                <w:bCs w:val="1"/>
                <w:color w:val="auto"/>
                <w:w w:val="99"/>
              </w:rPr>
              <w:t>—</w:t>
            </w:r>
          </w:p>
        </w:tc>
        <w:tc>
          <w:tcPr>
            <w:tcW w:w="0" w:type="dxa"/>
            <w:vAlign w:val="bottom"/>
          </w:tcPr>
          <w:p>
            <w:pPr>
              <w:spacing w:after="0"/>
              <w:rPr>
                <w:sz w:val="1"/>
                <w:szCs w:val="1"/>
                <w:color w:val="auto"/>
              </w:rPr>
            </w:pPr>
          </w:p>
        </w:tc>
      </w:tr>
      <w:tr>
        <w:trPr>
          <w:trHeight w:val="185"/>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Excl. Identified Items</w:t>
            </w:r>
          </w:p>
        </w:tc>
        <w:tc>
          <w:tcPr>
            <w:tcW w:w="7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1,870</w:t>
            </w:r>
          </w:p>
        </w:tc>
        <w:tc>
          <w:tcPr>
            <w:tcW w:w="120" w:type="dxa"/>
            <w:vAlign w:val="bottom"/>
          </w:tcPr>
          <w:p>
            <w:pPr>
              <w:spacing w:after="0"/>
              <w:rPr>
                <w:sz w:val="16"/>
                <w:szCs w:val="16"/>
                <w:color w:val="auto"/>
              </w:rPr>
            </w:pP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4,886</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297</w:t>
            </w: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530</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255</w:t>
            </w: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18</w:t>
            </w:r>
          </w:p>
        </w:tc>
        <w:tc>
          <w:tcPr>
            <w:tcW w:w="86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322</w:t>
            </w:r>
          </w:p>
        </w:tc>
        <w:tc>
          <w:tcPr>
            <w:tcW w:w="680" w:type="dxa"/>
            <w:vAlign w:val="bottom"/>
            <w:tcBorders>
              <w:right w:val="single" w:sz="8" w:color="0C479D"/>
            </w:tcBorders>
            <w:vMerge w:val="restart"/>
          </w:tcPr>
          <w:p>
            <w:pPr>
              <w:jc w:val="right"/>
              <w:ind w:right="36"/>
              <w:spacing w:after="0"/>
              <w:rPr>
                <w:sz w:val="20"/>
                <w:szCs w:val="20"/>
                <w:color w:val="auto"/>
              </w:rPr>
            </w:pPr>
            <w:r>
              <w:rPr>
                <w:rFonts w:ascii="Arial" w:cs="Arial" w:eastAsia="Arial" w:hAnsi="Arial"/>
                <w:sz w:val="13"/>
                <w:szCs w:val="13"/>
                <w:b w:val="1"/>
                <w:bCs w:val="1"/>
                <w:color w:val="auto"/>
              </w:rPr>
              <w:t>333</w:t>
            </w: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(798)</w:t>
            </w:r>
          </w:p>
        </w:tc>
        <w:tc>
          <w:tcPr>
            <w:tcW w:w="72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7,713</w:t>
            </w:r>
          </w:p>
        </w:tc>
        <w:tc>
          <w:tcPr>
            <w:tcW w:w="40" w:type="dxa"/>
            <w:vAlign w:val="bottom"/>
            <w:shd w:val="clear" w:color="auto" w:fill="DCDDDE"/>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460" w:type="dxa"/>
            <w:vAlign w:val="bottom"/>
            <w:tcBorders>
              <w:right w:val="single" w:sz="8" w:color="0C479D"/>
            </w:tcBorders>
            <w:vMerge w:val="restart"/>
          </w:tcPr>
          <w:p>
            <w:pPr>
              <w:spacing w:after="0"/>
              <w:rPr>
                <w:sz w:val="20"/>
                <w:szCs w:val="20"/>
                <w:color w:val="auto"/>
              </w:rPr>
            </w:pPr>
            <w:r>
              <w:rPr>
                <w:rFonts w:ascii="Arial" w:cs="Arial" w:eastAsia="Arial" w:hAnsi="Arial"/>
                <w:sz w:val="13"/>
                <w:szCs w:val="13"/>
                <w:b w:val="1"/>
                <w:bCs w:val="1"/>
                <w:color w:val="auto"/>
              </w:rPr>
              <w:t>(non-GAAP)</w:t>
            </w: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Borders>
              <w:right w:val="single" w:sz="8" w:color="0C479D"/>
            </w:tcBorders>
            <w:vMerge w:val="continue"/>
          </w:tcPr>
          <w:p>
            <w:pPr>
              <w:spacing w:after="0"/>
              <w:rPr>
                <w:sz w:val="9"/>
                <w:szCs w:val="9"/>
                <w:color w:val="auto"/>
              </w:rPr>
            </w:pPr>
          </w:p>
        </w:tc>
        <w:tc>
          <w:tcPr>
            <w:tcW w:w="800" w:type="dxa"/>
            <w:vAlign w:val="bottom"/>
            <w:tcBorders>
              <w:right w:val="single" w:sz="8" w:color="0C479D"/>
            </w:tcBorders>
            <w:vMerge w:val="continue"/>
          </w:tcPr>
          <w:p>
            <w:pPr>
              <w:spacing w:after="0"/>
              <w:rPr>
                <w:sz w:val="9"/>
                <w:szCs w:val="9"/>
                <w:color w:val="auto"/>
              </w:rPr>
            </w:pPr>
          </w:p>
        </w:tc>
        <w:tc>
          <w:tcPr>
            <w:tcW w:w="720" w:type="dxa"/>
            <w:vAlign w:val="bottom"/>
            <w:vMerge w:val="continue"/>
            <w:shd w:val="clear" w:color="auto" w:fill="DCDDDE"/>
          </w:tcPr>
          <w:p>
            <w:pPr>
              <w:spacing w:after="0"/>
              <w:rPr>
                <w:sz w:val="9"/>
                <w:szCs w:val="9"/>
                <w:color w:val="auto"/>
              </w:rPr>
            </w:pPr>
          </w:p>
        </w:tc>
        <w:tc>
          <w:tcPr>
            <w:tcW w:w="40" w:type="dxa"/>
            <w:vAlign w:val="bottom"/>
            <w:shd w:val="clear" w:color="auto" w:fill="DCDDD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460" w:type="dxa"/>
            <w:vAlign w:val="bottom"/>
            <w:tcBorders>
              <w:right w:val="single" w:sz="8" w:color="0C479D"/>
            </w:tcBorders>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Borders>
              <w:right w:val="single" w:sz="8" w:color="0C479D"/>
            </w:tcBorders>
          </w:tcPr>
          <w:p>
            <w:pPr>
              <w:spacing w:after="0"/>
              <w:rPr>
                <w:sz w:val="7"/>
                <w:szCs w:val="7"/>
                <w:color w:val="auto"/>
              </w:rPr>
            </w:pPr>
          </w:p>
        </w:tc>
        <w:tc>
          <w:tcPr>
            <w:tcW w:w="800" w:type="dxa"/>
            <w:vAlign w:val="bottom"/>
            <w:tcBorders>
              <w:right w:val="single" w:sz="8" w:color="0C479D"/>
            </w:tcBorders>
          </w:tcPr>
          <w:p>
            <w:pPr>
              <w:spacing w:after="0"/>
              <w:rPr>
                <w:sz w:val="7"/>
                <w:szCs w:val="7"/>
                <w:color w:val="auto"/>
              </w:rPr>
            </w:pPr>
          </w:p>
        </w:tc>
        <w:tc>
          <w:tcPr>
            <w:tcW w:w="720" w:type="dxa"/>
            <w:vAlign w:val="bottom"/>
            <w:tcBorders>
              <w:bottom w:val="single" w:sz="8" w:color="DCDDDE"/>
            </w:tcBorders>
            <w:shd w:val="clear" w:color="auto" w:fill="DCDDDE"/>
          </w:tcPr>
          <w:p>
            <w:pPr>
              <w:spacing w:after="0"/>
              <w:rPr>
                <w:sz w:val="7"/>
                <w:szCs w:val="7"/>
                <w:color w:val="auto"/>
              </w:rPr>
            </w:pPr>
          </w:p>
        </w:tc>
        <w:tc>
          <w:tcPr>
            <w:tcW w:w="40" w:type="dxa"/>
            <w:vAlign w:val="bottom"/>
            <w:tcBorders>
              <w:bottom w:val="single" w:sz="8" w:color="DCDDDE"/>
            </w:tcBorders>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460" w:type="dxa"/>
            <w:vAlign w:val="bottom"/>
            <w:tcBorders>
              <w:top w:val="single" w:sz="8" w:color="0C479D"/>
              <w:right w:val="single" w:sz="8" w:color="0C479D"/>
            </w:tcBorders>
          </w:tcPr>
          <w:p>
            <w:pPr>
              <w:spacing w:after="0"/>
              <w:rPr>
                <w:sz w:val="20"/>
                <w:szCs w:val="20"/>
                <w:color w:val="auto"/>
              </w:rPr>
            </w:pPr>
            <w:r>
              <w:rPr>
                <w:rFonts w:ascii="Arial" w:cs="Arial" w:eastAsia="Arial" w:hAnsi="Arial"/>
                <w:sz w:val="13"/>
                <w:szCs w:val="13"/>
                <w:b w:val="1"/>
                <w:bCs w:val="1"/>
                <w:color w:val="auto"/>
              </w:rPr>
              <w:t>Estimated Timing Effects (Worldwide)</w:t>
            </w:r>
          </w:p>
        </w:tc>
        <w:tc>
          <w:tcPr>
            <w:tcW w:w="860" w:type="dxa"/>
            <w:vAlign w:val="bottom"/>
            <w:tcBorders>
              <w:top w:val="single" w:sz="8" w:color="0D46A1"/>
            </w:tcBorders>
            <w:gridSpan w:val="2"/>
          </w:tcPr>
          <w:p>
            <w:pPr>
              <w:jc w:val="center"/>
              <w:ind w:left="576"/>
              <w:spacing w:after="0"/>
              <w:rPr>
                <w:sz w:val="20"/>
                <w:szCs w:val="20"/>
                <w:color w:val="auto"/>
              </w:rPr>
            </w:pPr>
            <w:r>
              <w:rPr>
                <w:rFonts w:ascii="Arial" w:cs="Arial" w:eastAsia="Arial" w:hAnsi="Arial"/>
                <w:sz w:val="13"/>
                <w:szCs w:val="13"/>
                <w:color w:val="auto"/>
              </w:rPr>
              <w:t>158</w:t>
            </w:r>
          </w:p>
        </w:tc>
        <w:tc>
          <w:tcPr>
            <w:tcW w:w="680" w:type="dxa"/>
            <w:vAlign w:val="bottom"/>
            <w:tcBorders>
              <w:top w:val="single" w:sz="8" w:color="0D46A1"/>
              <w:right w:val="single" w:sz="8" w:color="0C479D"/>
            </w:tcBorders>
          </w:tcPr>
          <w:p>
            <w:pPr>
              <w:spacing w:after="0"/>
              <w:rPr>
                <w:sz w:val="23"/>
                <w:szCs w:val="23"/>
                <w:color w:val="auto"/>
              </w:rPr>
            </w:pPr>
          </w:p>
        </w:tc>
        <w:tc>
          <w:tcPr>
            <w:tcW w:w="860" w:type="dxa"/>
            <w:vAlign w:val="bottom"/>
            <w:tcBorders>
              <w:top w:val="single" w:sz="8" w:color="0D46A1"/>
            </w:tcBorders>
          </w:tcPr>
          <w:p>
            <w:pPr>
              <w:jc w:val="center"/>
              <w:ind w:left="576"/>
              <w:spacing w:after="0"/>
              <w:rPr>
                <w:sz w:val="20"/>
                <w:szCs w:val="20"/>
                <w:color w:val="auto"/>
              </w:rPr>
            </w:pPr>
            <w:r>
              <w:rPr>
                <w:rFonts w:ascii="Arial" w:cs="Arial" w:eastAsia="Arial" w:hAnsi="Arial"/>
                <w:sz w:val="13"/>
                <w:szCs w:val="13"/>
                <w:color w:val="auto"/>
                <w:w w:val="94"/>
              </w:rPr>
              <w:t>(29)</w:t>
            </w:r>
          </w:p>
        </w:tc>
        <w:tc>
          <w:tcPr>
            <w:tcW w:w="680" w:type="dxa"/>
            <w:vAlign w:val="bottom"/>
            <w:tcBorders>
              <w:top w:val="single" w:sz="8" w:color="0D46A1"/>
              <w:right w:val="single" w:sz="8" w:color="0C479D"/>
            </w:tcBorders>
          </w:tcPr>
          <w:p>
            <w:pPr>
              <w:spacing w:after="0"/>
              <w:rPr>
                <w:sz w:val="23"/>
                <w:szCs w:val="23"/>
                <w:color w:val="auto"/>
              </w:rPr>
            </w:pPr>
          </w:p>
        </w:tc>
        <w:tc>
          <w:tcPr>
            <w:tcW w:w="860" w:type="dxa"/>
            <w:vAlign w:val="bottom"/>
            <w:tcBorders>
              <w:top w:val="single" w:sz="8" w:color="0D46A1"/>
            </w:tcBorders>
          </w:tcPr>
          <w:p>
            <w:pPr>
              <w:jc w:val="center"/>
              <w:ind w:left="556"/>
              <w:spacing w:after="0"/>
              <w:rPr>
                <w:sz w:val="20"/>
                <w:szCs w:val="20"/>
                <w:color w:val="auto"/>
              </w:rPr>
            </w:pPr>
            <w:r>
              <w:rPr>
                <w:rFonts w:ascii="Arial" w:cs="Arial" w:eastAsia="Arial" w:hAnsi="Arial"/>
                <w:sz w:val="13"/>
                <w:szCs w:val="13"/>
                <w:color w:val="auto"/>
                <w:w w:val="91"/>
              </w:rPr>
              <w:t>—</w:t>
            </w:r>
          </w:p>
        </w:tc>
        <w:tc>
          <w:tcPr>
            <w:tcW w:w="680" w:type="dxa"/>
            <w:vAlign w:val="bottom"/>
            <w:tcBorders>
              <w:top w:val="single" w:sz="8" w:color="0D46A1"/>
              <w:right w:val="single" w:sz="8" w:color="0C479D"/>
            </w:tcBorders>
          </w:tcPr>
          <w:p>
            <w:pPr>
              <w:spacing w:after="0"/>
              <w:rPr>
                <w:sz w:val="23"/>
                <w:szCs w:val="23"/>
                <w:color w:val="auto"/>
              </w:rPr>
            </w:pPr>
          </w:p>
        </w:tc>
        <w:tc>
          <w:tcPr>
            <w:tcW w:w="860" w:type="dxa"/>
            <w:vAlign w:val="bottom"/>
            <w:tcBorders>
              <w:top w:val="single" w:sz="8" w:color="0D46A1"/>
            </w:tcBorders>
          </w:tcPr>
          <w:p>
            <w:pPr>
              <w:jc w:val="center"/>
              <w:ind w:left="556"/>
              <w:spacing w:after="0"/>
              <w:rPr>
                <w:sz w:val="20"/>
                <w:szCs w:val="20"/>
                <w:color w:val="auto"/>
              </w:rPr>
            </w:pPr>
            <w:r>
              <w:rPr>
                <w:rFonts w:ascii="Arial" w:cs="Arial" w:eastAsia="Arial" w:hAnsi="Arial"/>
                <w:sz w:val="13"/>
                <w:szCs w:val="13"/>
                <w:color w:val="auto"/>
                <w:w w:val="91"/>
              </w:rPr>
              <w:t>—</w:t>
            </w:r>
          </w:p>
        </w:tc>
        <w:tc>
          <w:tcPr>
            <w:tcW w:w="680" w:type="dxa"/>
            <w:vAlign w:val="bottom"/>
            <w:tcBorders>
              <w:top w:val="single" w:sz="8" w:color="0D46A1"/>
              <w:right w:val="single" w:sz="8" w:color="0C479D"/>
            </w:tcBorders>
          </w:tcPr>
          <w:p>
            <w:pPr>
              <w:spacing w:after="0"/>
              <w:rPr>
                <w:sz w:val="23"/>
                <w:szCs w:val="23"/>
                <w:color w:val="auto"/>
              </w:rPr>
            </w:pPr>
          </w:p>
        </w:tc>
        <w:tc>
          <w:tcPr>
            <w:tcW w:w="800" w:type="dxa"/>
            <w:vAlign w:val="bottom"/>
            <w:tcBorders>
              <w:top w:val="single" w:sz="8" w:color="0D46A1"/>
              <w:right w:val="single" w:sz="8" w:color="0C479D"/>
            </w:tcBorders>
          </w:tcPr>
          <w:p>
            <w:pPr>
              <w:jc w:val="right"/>
              <w:ind w:right="36"/>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0C479D"/>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129</w:t>
            </w:r>
          </w:p>
        </w:tc>
        <w:tc>
          <w:tcPr>
            <w:tcW w:w="40" w:type="dxa"/>
            <w:vAlign w:val="bottom"/>
            <w:tcBorders>
              <w:top w:val="single" w:sz="8" w:color="0C479D"/>
            </w:tcBorders>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460" w:type="dxa"/>
            <w:vAlign w:val="bottom"/>
            <w:tcBorders>
              <w:right w:val="single" w:sz="8" w:color="0C479D"/>
            </w:tcBorders>
          </w:tcPr>
          <w:p>
            <w:pPr>
              <w:spacing w:after="0"/>
              <w:rPr>
                <w:sz w:val="20"/>
                <w:szCs w:val="20"/>
                <w:color w:val="auto"/>
              </w:rPr>
            </w:pPr>
            <w:r>
              <w:rPr>
                <w:rFonts w:ascii="Arial" w:cs="Arial" w:eastAsia="Arial" w:hAnsi="Arial"/>
                <w:sz w:val="13"/>
                <w:szCs w:val="13"/>
                <w:b w:val="1"/>
                <w:bCs w:val="1"/>
                <w:color w:val="auto"/>
              </w:rPr>
              <w:t>Earnings/(Loss) Excl. Identified Items</w:t>
            </w:r>
          </w:p>
        </w:tc>
        <w:tc>
          <w:tcPr>
            <w:tcW w:w="1540" w:type="dxa"/>
            <w:vAlign w:val="bottom"/>
            <w:tcBorders>
              <w:right w:val="single" w:sz="8" w:color="0C479D"/>
            </w:tcBorders>
            <w:gridSpan w:val="3"/>
            <w:vMerge w:val="restart"/>
          </w:tcPr>
          <w:p>
            <w:pPr>
              <w:jc w:val="center"/>
              <w:spacing w:after="0"/>
              <w:rPr>
                <w:sz w:val="20"/>
                <w:szCs w:val="20"/>
                <w:color w:val="auto"/>
              </w:rPr>
            </w:pPr>
            <w:r>
              <w:rPr>
                <w:rFonts w:ascii="Arial" w:cs="Arial" w:eastAsia="Arial" w:hAnsi="Arial"/>
                <w:sz w:val="13"/>
                <w:szCs w:val="13"/>
                <w:b w:val="1"/>
                <w:bCs w:val="1"/>
                <w:color w:val="auto"/>
                <w:w w:val="92"/>
              </w:rPr>
              <w:t>6,598</w:t>
            </w:r>
          </w:p>
        </w:tc>
        <w:tc>
          <w:tcPr>
            <w:tcW w:w="860" w:type="dxa"/>
            <w:vAlign w:val="bottom"/>
            <w:vMerge w:val="restart"/>
          </w:tcPr>
          <w:p>
            <w:pPr>
              <w:jc w:val="center"/>
              <w:ind w:left="576"/>
              <w:spacing w:after="0"/>
              <w:rPr>
                <w:sz w:val="20"/>
                <w:szCs w:val="20"/>
                <w:color w:val="auto"/>
              </w:rPr>
            </w:pPr>
            <w:r>
              <w:rPr>
                <w:rFonts w:ascii="Arial" w:cs="Arial" w:eastAsia="Arial" w:hAnsi="Arial"/>
                <w:sz w:val="13"/>
                <w:szCs w:val="13"/>
                <w:b w:val="1"/>
                <w:bCs w:val="1"/>
                <w:color w:val="auto"/>
              </w:rPr>
              <w:t>856</w:t>
            </w:r>
          </w:p>
        </w:tc>
        <w:tc>
          <w:tcPr>
            <w:tcW w:w="680" w:type="dxa"/>
            <w:vAlign w:val="bottom"/>
            <w:tcBorders>
              <w:right w:val="single" w:sz="8" w:color="0C479D"/>
            </w:tcBorders>
          </w:tcPr>
          <w:p>
            <w:pPr>
              <w:spacing w:after="0"/>
              <w:rPr>
                <w:sz w:val="23"/>
                <w:szCs w:val="23"/>
                <w:color w:val="auto"/>
              </w:rPr>
            </w:pPr>
          </w:p>
        </w:tc>
        <w:tc>
          <w:tcPr>
            <w:tcW w:w="860" w:type="dxa"/>
            <w:vAlign w:val="bottom"/>
            <w:vMerge w:val="restart"/>
          </w:tcPr>
          <w:p>
            <w:pPr>
              <w:jc w:val="center"/>
              <w:ind w:left="576"/>
              <w:spacing w:after="0"/>
              <w:rPr>
                <w:sz w:val="20"/>
                <w:szCs w:val="20"/>
                <w:color w:val="auto"/>
              </w:rPr>
            </w:pPr>
            <w:r>
              <w:rPr>
                <w:rFonts w:ascii="Arial" w:cs="Arial" w:eastAsia="Arial" w:hAnsi="Arial"/>
                <w:sz w:val="13"/>
                <w:szCs w:val="13"/>
                <w:b w:val="1"/>
                <w:bCs w:val="1"/>
                <w:color w:val="auto"/>
              </w:rPr>
              <w:t>273</w:t>
            </w:r>
          </w:p>
        </w:tc>
        <w:tc>
          <w:tcPr>
            <w:tcW w:w="680" w:type="dxa"/>
            <w:vAlign w:val="bottom"/>
            <w:tcBorders>
              <w:right w:val="single" w:sz="8" w:color="0C479D"/>
            </w:tcBorders>
          </w:tcPr>
          <w:p>
            <w:pPr>
              <w:spacing w:after="0"/>
              <w:rPr>
                <w:sz w:val="23"/>
                <w:szCs w:val="23"/>
                <w:color w:val="auto"/>
              </w:rPr>
            </w:pPr>
          </w:p>
        </w:tc>
        <w:tc>
          <w:tcPr>
            <w:tcW w:w="860" w:type="dxa"/>
            <w:vAlign w:val="bottom"/>
            <w:vMerge w:val="restart"/>
          </w:tcPr>
          <w:p>
            <w:pPr>
              <w:jc w:val="center"/>
              <w:ind w:left="556"/>
              <w:spacing w:after="0"/>
              <w:rPr>
                <w:sz w:val="20"/>
                <w:szCs w:val="20"/>
                <w:color w:val="auto"/>
              </w:rPr>
            </w:pPr>
            <w:r>
              <w:rPr>
                <w:rFonts w:ascii="Arial" w:cs="Arial" w:eastAsia="Arial" w:hAnsi="Arial"/>
                <w:sz w:val="13"/>
                <w:szCs w:val="13"/>
                <w:b w:val="1"/>
                <w:bCs w:val="1"/>
                <w:color w:val="auto"/>
                <w:w w:val="92"/>
              </w:rPr>
              <w:t>655</w:t>
            </w:r>
          </w:p>
        </w:tc>
        <w:tc>
          <w:tcPr>
            <w:tcW w:w="680" w:type="dxa"/>
            <w:vAlign w:val="bottom"/>
            <w:tcBorders>
              <w:right w:val="single" w:sz="8" w:color="0C479D"/>
            </w:tcBorders>
          </w:tcPr>
          <w:p>
            <w:pPr>
              <w:spacing w:after="0"/>
              <w:rPr>
                <w:sz w:val="23"/>
                <w:szCs w:val="23"/>
                <w:color w:val="auto"/>
              </w:rPr>
            </w:pPr>
          </w:p>
        </w:tc>
        <w:tc>
          <w:tcPr>
            <w:tcW w:w="800" w:type="dxa"/>
            <w:vAlign w:val="bottom"/>
            <w:tcBorders>
              <w:right w:val="single" w:sz="8" w:color="0C479D"/>
            </w:tcBorders>
            <w:vMerge w:val="restart"/>
          </w:tcPr>
          <w:p>
            <w:pPr>
              <w:jc w:val="right"/>
              <w:spacing w:after="0"/>
              <w:rPr>
                <w:sz w:val="20"/>
                <w:szCs w:val="20"/>
                <w:color w:val="auto"/>
              </w:rPr>
            </w:pPr>
            <w:r>
              <w:rPr>
                <w:rFonts w:ascii="Arial" w:cs="Arial" w:eastAsia="Arial" w:hAnsi="Arial"/>
                <w:sz w:val="13"/>
                <w:szCs w:val="13"/>
                <w:b w:val="1"/>
                <w:bCs w:val="1"/>
                <w:color w:val="auto"/>
              </w:rPr>
              <w:t>(798)</w:t>
            </w:r>
          </w:p>
        </w:tc>
        <w:tc>
          <w:tcPr>
            <w:tcW w:w="720" w:type="dxa"/>
            <w:vAlign w:val="bottom"/>
            <w:vMerge w:val="restart"/>
            <w:shd w:val="clear" w:color="auto" w:fill="DCDDDE"/>
          </w:tcPr>
          <w:p>
            <w:pPr>
              <w:jc w:val="right"/>
              <w:spacing w:after="0"/>
              <w:rPr>
                <w:sz w:val="20"/>
                <w:szCs w:val="20"/>
                <w:color w:val="auto"/>
              </w:rPr>
            </w:pPr>
            <w:r>
              <w:rPr>
                <w:rFonts w:ascii="Arial" w:cs="Arial" w:eastAsia="Arial" w:hAnsi="Arial"/>
                <w:sz w:val="13"/>
                <w:szCs w:val="13"/>
                <w:b w:val="1"/>
                <w:bCs w:val="1"/>
                <w:color w:val="auto"/>
              </w:rPr>
              <w:t>7,584</w:t>
            </w:r>
          </w:p>
        </w:tc>
        <w:tc>
          <w:tcPr>
            <w:tcW w:w="40" w:type="dxa"/>
            <w:vAlign w:val="bottom"/>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460" w:type="dxa"/>
            <w:vAlign w:val="bottom"/>
            <w:tcBorders>
              <w:right w:val="single" w:sz="8" w:color="0C479D"/>
            </w:tcBorders>
          </w:tcPr>
          <w:p>
            <w:pPr>
              <w:spacing w:after="0" w:line="126" w:lineRule="exact"/>
              <w:rPr>
                <w:sz w:val="20"/>
                <w:szCs w:val="20"/>
                <w:color w:val="auto"/>
              </w:rPr>
            </w:pPr>
            <w:r>
              <w:rPr>
                <w:rFonts w:ascii="Arial" w:cs="Arial" w:eastAsia="Arial" w:hAnsi="Arial"/>
                <w:sz w:val="13"/>
                <w:szCs w:val="13"/>
                <w:b w:val="1"/>
                <w:bCs w:val="1"/>
                <w:color w:val="auto"/>
              </w:rPr>
              <w:t>and Estimated Timing Effects (non-</w:t>
            </w:r>
          </w:p>
        </w:tc>
        <w:tc>
          <w:tcPr>
            <w:tcW w:w="1540" w:type="dxa"/>
            <w:vAlign w:val="bottom"/>
            <w:tcBorders>
              <w:right w:val="single" w:sz="8" w:color="0C479D"/>
            </w:tcBorders>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80" w:type="dxa"/>
            <w:vAlign w:val="bottom"/>
            <w:tcBorders>
              <w:right w:val="single" w:sz="8" w:color="0C479D"/>
            </w:tcBorders>
          </w:tcPr>
          <w:p>
            <w:pPr>
              <w:spacing w:after="0"/>
              <w:rPr>
                <w:sz w:val="10"/>
                <w:szCs w:val="10"/>
                <w:color w:val="auto"/>
              </w:rPr>
            </w:pPr>
          </w:p>
        </w:tc>
        <w:tc>
          <w:tcPr>
            <w:tcW w:w="860" w:type="dxa"/>
            <w:vAlign w:val="bottom"/>
            <w:vMerge w:val="continue"/>
          </w:tcPr>
          <w:p>
            <w:pPr>
              <w:spacing w:after="0"/>
              <w:rPr>
                <w:sz w:val="10"/>
                <w:szCs w:val="10"/>
                <w:color w:val="auto"/>
              </w:rPr>
            </w:pPr>
          </w:p>
        </w:tc>
        <w:tc>
          <w:tcPr>
            <w:tcW w:w="680" w:type="dxa"/>
            <w:vAlign w:val="bottom"/>
            <w:tcBorders>
              <w:right w:val="single" w:sz="8" w:color="0C479D"/>
            </w:tcBorders>
          </w:tcPr>
          <w:p>
            <w:pPr>
              <w:spacing w:after="0"/>
              <w:rPr>
                <w:sz w:val="10"/>
                <w:szCs w:val="10"/>
                <w:color w:val="auto"/>
              </w:rPr>
            </w:pPr>
          </w:p>
        </w:tc>
        <w:tc>
          <w:tcPr>
            <w:tcW w:w="860" w:type="dxa"/>
            <w:vAlign w:val="bottom"/>
            <w:vMerge w:val="continue"/>
          </w:tcPr>
          <w:p>
            <w:pPr>
              <w:spacing w:after="0"/>
              <w:rPr>
                <w:sz w:val="10"/>
                <w:szCs w:val="10"/>
                <w:color w:val="auto"/>
              </w:rPr>
            </w:pPr>
          </w:p>
        </w:tc>
        <w:tc>
          <w:tcPr>
            <w:tcW w:w="680" w:type="dxa"/>
            <w:vAlign w:val="bottom"/>
            <w:tcBorders>
              <w:right w:val="single" w:sz="8" w:color="0C479D"/>
            </w:tcBorders>
          </w:tcPr>
          <w:p>
            <w:pPr>
              <w:spacing w:after="0"/>
              <w:rPr>
                <w:sz w:val="10"/>
                <w:szCs w:val="10"/>
                <w:color w:val="auto"/>
              </w:rPr>
            </w:pPr>
          </w:p>
        </w:tc>
        <w:tc>
          <w:tcPr>
            <w:tcW w:w="800" w:type="dxa"/>
            <w:vAlign w:val="bottom"/>
            <w:tcBorders>
              <w:right w:val="single" w:sz="8" w:color="0C479D"/>
            </w:tcBorders>
            <w:vMerge w:val="continue"/>
          </w:tcPr>
          <w:p>
            <w:pPr>
              <w:spacing w:after="0"/>
              <w:rPr>
                <w:sz w:val="10"/>
                <w:szCs w:val="10"/>
                <w:color w:val="auto"/>
              </w:rPr>
            </w:pPr>
          </w:p>
        </w:tc>
        <w:tc>
          <w:tcPr>
            <w:tcW w:w="720" w:type="dxa"/>
            <w:vAlign w:val="bottom"/>
            <w:vMerge w:val="continue"/>
            <w:shd w:val="clear" w:color="auto" w:fill="DCDDDE"/>
          </w:tcPr>
          <w:p>
            <w:pPr>
              <w:spacing w:after="0"/>
              <w:rPr>
                <w:sz w:val="10"/>
                <w:szCs w:val="10"/>
                <w:color w:val="auto"/>
              </w:rPr>
            </w:pPr>
          </w:p>
        </w:tc>
        <w:tc>
          <w:tcPr>
            <w:tcW w:w="40" w:type="dxa"/>
            <w:vAlign w:val="bottom"/>
            <w:shd w:val="clear" w:color="auto" w:fill="DCDDD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460" w:type="dxa"/>
            <w:vAlign w:val="bottom"/>
            <w:tcBorders>
              <w:bottom w:val="single" w:sz="8" w:color="0C479D"/>
              <w:right w:val="single" w:sz="8" w:color="0C479D"/>
            </w:tcBorders>
          </w:tcPr>
          <w:p>
            <w:pPr>
              <w:spacing w:after="0"/>
              <w:rPr>
                <w:sz w:val="20"/>
                <w:szCs w:val="20"/>
                <w:color w:val="auto"/>
              </w:rPr>
            </w:pPr>
            <w:r>
              <w:rPr>
                <w:rFonts w:ascii="Arial" w:cs="Arial" w:eastAsia="Arial" w:hAnsi="Arial"/>
                <w:sz w:val="13"/>
                <w:szCs w:val="13"/>
                <w:b w:val="1"/>
                <w:bCs w:val="1"/>
                <w:color w:val="auto"/>
              </w:rPr>
              <w:t>GAAP)</w:t>
            </w:r>
          </w:p>
        </w:tc>
        <w:tc>
          <w:tcPr>
            <w:tcW w:w="740" w:type="dxa"/>
            <w:vAlign w:val="bottom"/>
            <w:tcBorders>
              <w:bottom w:val="single" w:sz="8" w:color="0C479D"/>
            </w:tcBorders>
          </w:tcPr>
          <w:p>
            <w:pPr>
              <w:spacing w:after="0"/>
              <w:rPr>
                <w:sz w:val="15"/>
                <w:szCs w:val="15"/>
                <w:color w:val="auto"/>
              </w:rPr>
            </w:pPr>
          </w:p>
        </w:tc>
        <w:tc>
          <w:tcPr>
            <w:tcW w:w="12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60" w:type="dxa"/>
            <w:vAlign w:val="bottom"/>
            <w:tcBorders>
              <w:bottom w:val="single" w:sz="8" w:color="0C479D"/>
            </w:tcBorders>
          </w:tcPr>
          <w:p>
            <w:pPr>
              <w:spacing w:after="0"/>
              <w:rPr>
                <w:sz w:val="15"/>
                <w:szCs w:val="15"/>
                <w:color w:val="auto"/>
              </w:rPr>
            </w:pPr>
          </w:p>
        </w:tc>
        <w:tc>
          <w:tcPr>
            <w:tcW w:w="680" w:type="dxa"/>
            <w:vAlign w:val="bottom"/>
            <w:tcBorders>
              <w:bottom w:val="single" w:sz="8" w:color="0C479D"/>
              <w:right w:val="single" w:sz="8" w:color="0C479D"/>
            </w:tcBorders>
          </w:tcPr>
          <w:p>
            <w:pPr>
              <w:spacing w:after="0"/>
              <w:rPr>
                <w:sz w:val="15"/>
                <w:szCs w:val="15"/>
                <w:color w:val="auto"/>
              </w:rPr>
            </w:pPr>
          </w:p>
        </w:tc>
        <w:tc>
          <w:tcPr>
            <w:tcW w:w="800" w:type="dxa"/>
            <w:vAlign w:val="bottom"/>
            <w:tcBorders>
              <w:bottom w:val="single" w:sz="8" w:color="0C479D"/>
              <w:right w:val="single" w:sz="8" w:color="0C479D"/>
            </w:tcBorders>
          </w:tcPr>
          <w:p>
            <w:pPr>
              <w:spacing w:after="0"/>
              <w:rPr>
                <w:sz w:val="15"/>
                <w:szCs w:val="15"/>
                <w:color w:val="auto"/>
              </w:rPr>
            </w:pPr>
          </w:p>
        </w:tc>
        <w:tc>
          <w:tcPr>
            <w:tcW w:w="720" w:type="dxa"/>
            <w:vAlign w:val="bottom"/>
            <w:tcBorders>
              <w:bottom w:val="single" w:sz="8" w:color="0C479D"/>
            </w:tcBorders>
            <w:shd w:val="clear" w:color="auto" w:fill="DCDDDE"/>
          </w:tcPr>
          <w:p>
            <w:pPr>
              <w:spacing w:after="0"/>
              <w:rPr>
                <w:sz w:val="15"/>
                <w:szCs w:val="15"/>
                <w:color w:val="auto"/>
              </w:rPr>
            </w:pPr>
          </w:p>
        </w:tc>
        <w:tc>
          <w:tcPr>
            <w:tcW w:w="40" w:type="dxa"/>
            <w:vAlign w:val="bottom"/>
            <w:tcBorders>
              <w:bottom w:val="single" w:sz="8" w:color="0C479D"/>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-6436995</wp:posOffset>
            </wp:positionV>
            <wp:extent cx="34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-6436995</wp:posOffset>
            </wp:positionV>
            <wp:extent cx="342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-6436995</wp:posOffset>
            </wp:positionV>
            <wp:extent cx="342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-6436995</wp:posOffset>
            </wp:positionV>
            <wp:extent cx="34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-6436995</wp:posOffset>
            </wp:positionV>
            <wp:extent cx="34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-4182745</wp:posOffset>
            </wp:positionV>
            <wp:extent cx="34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-4182745</wp:posOffset>
            </wp:positionV>
            <wp:extent cx="34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-4182745</wp:posOffset>
            </wp:positionV>
            <wp:extent cx="3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-4182745</wp:posOffset>
            </wp:positionV>
            <wp:extent cx="34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-4182745</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0180"/>
          </w:cols>
          <w:pgMar w:left="860" w:top="733"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0180"/>
          </w:cols>
          <w:pgMar w:left="860" w:top="733" w:right="859" w:bottom="1440" w:gutter="0" w:footer="0" w:header="0"/>
          <w:type w:val="continuous"/>
        </w:sectPr>
      </w:pPr>
    </w:p>
    <w:bookmarkStart w:id="20" w:name="page21"/>
    <w:bookmarkEnd w:id="20"/>
    <w:p>
      <w:pPr>
        <w:ind w:left="8900"/>
        <w:spacing w:after="0"/>
        <w:rPr>
          <w:sz w:val="20"/>
          <w:szCs w:val="20"/>
          <w:color w:val="auto"/>
        </w:rPr>
      </w:pPr>
      <w:r>
        <w:rPr>
          <w:rFonts w:ascii="Arial" w:cs="Arial" w:eastAsia="Arial" w:hAnsi="Arial"/>
          <w:sz w:val="16"/>
          <w:szCs w:val="16"/>
          <w:b w:val="1"/>
          <w:bCs w:val="1"/>
          <w:color w:val="auto"/>
        </w:rPr>
        <w:t>ATTACHMENT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-115570</wp:posOffset>
            </wp:positionV>
            <wp:extent cx="128587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UPSTREAM VOLUMES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color w:val="FFFFFF"/>
              </w:rPr>
              <w:t>Net production of crude oil, natural gas liquids, bitumen and synthetic oil, thousand</w:t>
            </w:r>
          </w:p>
        </w:tc>
        <w:tc>
          <w:tcPr>
            <w:tcW w:w="880" w:type="dxa"/>
            <w:vAlign w:val="bottom"/>
            <w:vMerge w:val="restart"/>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vMerge w:val="restart"/>
            <w:shd w:val="clear" w:color="auto" w:fill="0C479D"/>
          </w:tcPr>
          <w:p>
            <w:pPr>
              <w:jc w:val="right"/>
              <w:ind w:right="69"/>
              <w:spacing w:after="0"/>
              <w:rPr>
                <w:sz w:val="20"/>
                <w:szCs w:val="20"/>
                <w:color w:val="auto"/>
              </w:rPr>
            </w:pPr>
            <w:r>
              <w:rPr>
                <w:rFonts w:ascii="Arial" w:cs="Arial" w:eastAsia="Arial" w:hAnsi="Arial"/>
                <w:sz w:val="20"/>
                <w:szCs w:val="20"/>
                <w:color w:val="FFFFFF"/>
              </w:rPr>
              <w:t>4Q25</w:t>
            </w:r>
          </w:p>
        </w:tc>
        <w:tc>
          <w:tcPr>
            <w:tcW w:w="720" w:type="dxa"/>
            <w:vAlign w:val="bottom"/>
            <w:vMerge w:val="restart"/>
            <w:shd w:val="clear" w:color="auto" w:fill="0C479D"/>
          </w:tcPr>
          <w:p>
            <w:pPr>
              <w:jc w:val="right"/>
              <w:spacing w:after="0"/>
              <w:rPr>
                <w:sz w:val="20"/>
                <w:szCs w:val="20"/>
                <w:color w:val="auto"/>
              </w:rPr>
            </w:pPr>
            <w:r>
              <w:rPr>
                <w:rFonts w:ascii="Arial" w:cs="Arial" w:eastAsia="Arial" w:hAnsi="Arial"/>
                <w:sz w:val="20"/>
                <w:szCs w:val="20"/>
                <w:color w:val="FFFFFF"/>
              </w:rPr>
              <w:t>1Q25</w:t>
            </w:r>
          </w:p>
        </w:tc>
        <w:tc>
          <w:tcPr>
            <w:tcW w:w="0" w:type="dxa"/>
            <w:vAlign w:val="bottom"/>
          </w:tcPr>
          <w:p>
            <w:pPr>
              <w:spacing w:after="0"/>
              <w:rPr>
                <w:sz w:val="1"/>
                <w:szCs w:val="1"/>
                <w:color w:val="auto"/>
              </w:rPr>
            </w:pPr>
          </w:p>
        </w:tc>
      </w:tr>
      <w:tr>
        <w:trPr>
          <w:trHeight w:val="159"/>
        </w:trPr>
        <w:tc>
          <w:tcPr>
            <w:tcW w:w="7580" w:type="dxa"/>
            <w:vAlign w:val="bottom"/>
            <w:vMerge w:val="restart"/>
            <w:shd w:val="clear" w:color="auto" w:fill="0C479D"/>
          </w:tcPr>
          <w:p>
            <w:pPr>
              <w:ind w:left="20"/>
              <w:spacing w:after="0"/>
              <w:rPr>
                <w:sz w:val="20"/>
                <w:szCs w:val="20"/>
                <w:color w:val="auto"/>
              </w:rPr>
            </w:pPr>
            <w:r>
              <w:rPr>
                <w:rFonts w:ascii="Arial" w:cs="Arial" w:eastAsia="Arial" w:hAnsi="Arial"/>
                <w:sz w:val="20"/>
                <w:szCs w:val="20"/>
                <w:color w:val="FFFFFF"/>
              </w:rPr>
              <w:t>barrels per day (kbd)</w:t>
            </w:r>
          </w:p>
        </w:tc>
        <w:tc>
          <w:tcPr>
            <w:tcW w:w="880" w:type="dxa"/>
            <w:vAlign w:val="bottom"/>
            <w:vMerge w:val="continue"/>
            <w:shd w:val="clear" w:color="auto" w:fill="000000"/>
          </w:tcPr>
          <w:p>
            <w:pPr>
              <w:spacing w:after="0"/>
              <w:rPr>
                <w:sz w:val="13"/>
                <w:szCs w:val="13"/>
                <w:color w:val="auto"/>
              </w:rPr>
            </w:pPr>
          </w:p>
        </w:tc>
        <w:tc>
          <w:tcPr>
            <w:tcW w:w="1020" w:type="dxa"/>
            <w:vAlign w:val="bottom"/>
            <w:vMerge w:val="continue"/>
            <w:shd w:val="clear" w:color="auto" w:fill="0C479D"/>
          </w:tcPr>
          <w:p>
            <w:pPr>
              <w:spacing w:after="0"/>
              <w:rPr>
                <w:sz w:val="13"/>
                <w:szCs w:val="13"/>
                <w:color w:val="auto"/>
              </w:rPr>
            </w:pPr>
          </w:p>
        </w:tc>
        <w:tc>
          <w:tcPr>
            <w:tcW w:w="720" w:type="dxa"/>
            <w:vAlign w:val="bottom"/>
            <w:vMerge w:val="continue"/>
            <w:shd w:val="clear" w:color="auto" w:fill="0C479D"/>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7580" w:type="dxa"/>
            <w:vAlign w:val="bottom"/>
            <w:tcBorders>
              <w:bottom w:val="single" w:sz="8" w:color="0C479D"/>
            </w:tcBorders>
            <w:vMerge w:val="continue"/>
            <w:shd w:val="clear" w:color="auto" w:fill="0C479D"/>
          </w:tcPr>
          <w:p>
            <w:pPr>
              <w:spacing w:after="0"/>
              <w:rPr>
                <w:sz w:val="9"/>
                <w:szCs w:val="9"/>
                <w:color w:val="auto"/>
              </w:rPr>
            </w:pPr>
          </w:p>
        </w:tc>
        <w:tc>
          <w:tcPr>
            <w:tcW w:w="880" w:type="dxa"/>
            <w:vAlign w:val="bottom"/>
            <w:tcBorders>
              <w:bottom w:val="single" w:sz="8" w:color="auto"/>
            </w:tcBorders>
            <w:shd w:val="clear" w:color="auto" w:fill="000000"/>
          </w:tcPr>
          <w:p>
            <w:pPr>
              <w:spacing w:after="0"/>
              <w:rPr>
                <w:sz w:val="9"/>
                <w:szCs w:val="9"/>
                <w:color w:val="auto"/>
              </w:rPr>
            </w:pPr>
          </w:p>
        </w:tc>
        <w:tc>
          <w:tcPr>
            <w:tcW w:w="1020" w:type="dxa"/>
            <w:vAlign w:val="bottom"/>
            <w:tcBorders>
              <w:bottom w:val="single" w:sz="8" w:color="0C479D"/>
            </w:tcBorders>
            <w:shd w:val="clear" w:color="auto" w:fill="0C479D"/>
          </w:tcPr>
          <w:p>
            <w:pPr>
              <w:spacing w:after="0"/>
              <w:rPr>
                <w:sz w:val="9"/>
                <w:szCs w:val="9"/>
                <w:color w:val="auto"/>
              </w:rPr>
            </w:pPr>
          </w:p>
        </w:tc>
        <w:tc>
          <w:tcPr>
            <w:tcW w:w="720" w:type="dxa"/>
            <w:vAlign w:val="bottom"/>
            <w:tcBorders>
              <w:bottom w:val="single" w:sz="8" w:color="0C479D"/>
            </w:tcBorders>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75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1,586</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1,663</w:t>
            </w:r>
          </w:p>
        </w:tc>
        <w:tc>
          <w:tcPr>
            <w:tcW w:w="72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Canada/Other Americas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936</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919</w:t>
            </w:r>
          </w:p>
        </w:tc>
        <w:tc>
          <w:tcPr>
            <w:tcW w:w="72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Africa</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138</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148</w:t>
            </w: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Asia</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611</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774</w:t>
            </w:r>
          </w:p>
        </w:tc>
        <w:tc>
          <w:tcPr>
            <w:tcW w:w="72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Australia/Oceania</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23</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24</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3"/>
        </w:trPr>
        <w:tc>
          <w:tcPr>
            <w:tcW w:w="7580" w:type="dxa"/>
            <w:vAlign w:val="bottom"/>
          </w:tcPr>
          <w:p>
            <w:pPr>
              <w:ind w:left="220"/>
              <w:spacing w:after="0"/>
              <w:rPr>
                <w:sz w:val="20"/>
                <w:szCs w:val="20"/>
                <w:color w:val="auto"/>
              </w:rPr>
            </w:pPr>
            <w:r>
              <w:rPr>
                <w:rFonts w:ascii="Arial" w:cs="Arial" w:eastAsia="Arial" w:hAnsi="Arial"/>
                <w:sz w:val="18"/>
                <w:szCs w:val="18"/>
                <w:b w:val="1"/>
                <w:bCs w:val="1"/>
                <w:color w:val="auto"/>
              </w:rPr>
              <w:t>Worldwide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3,297</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3,531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3,139</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color w:val="FFFFFF"/>
              </w:rPr>
              <w:t>Net natural gas production available for sale, million cubic feet per day (mcfd)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shd w:val="clear" w:color="auto" w:fill="0C479D"/>
          </w:tcPr>
          <w:p>
            <w:pPr>
              <w:jc w:val="right"/>
              <w:ind w:right="69"/>
              <w:spacing w:after="0"/>
              <w:rPr>
                <w:sz w:val="20"/>
                <w:szCs w:val="20"/>
                <w:color w:val="auto"/>
              </w:rPr>
            </w:pPr>
            <w:r>
              <w:rPr>
                <w:rFonts w:ascii="Arial" w:cs="Arial" w:eastAsia="Arial" w:hAnsi="Arial"/>
                <w:sz w:val="20"/>
                <w:szCs w:val="20"/>
                <w:color w:val="FFFFFF"/>
              </w:rPr>
              <w:t>4Q25</w:t>
            </w:r>
          </w:p>
        </w:tc>
        <w:tc>
          <w:tcPr>
            <w:tcW w:w="72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20" w:type="dxa"/>
            <w:vAlign w:val="bottom"/>
            <w:shd w:val="clear" w:color="auto" w:fill="0C479D"/>
          </w:tcPr>
          <w:p>
            <w:pPr>
              <w:spacing w:after="0"/>
              <w:rPr>
                <w:sz w:val="10"/>
                <w:szCs w:val="10"/>
                <w:color w:val="auto"/>
              </w:rPr>
            </w:pPr>
          </w:p>
        </w:tc>
        <w:tc>
          <w:tcPr>
            <w:tcW w:w="720" w:type="dxa"/>
            <w:vAlign w:val="bottom"/>
            <w:shd w:val="clear" w:color="auto" w:fill="0C479D"/>
          </w:tcPr>
          <w:p>
            <w:pPr>
              <w:spacing w:after="0"/>
              <w:rPr>
                <w:sz w:val="10"/>
                <w:szCs w:val="10"/>
                <w:color w:val="auto"/>
              </w:rPr>
            </w:pPr>
          </w:p>
        </w:tc>
      </w:tr>
      <w:tr>
        <w:trPr>
          <w:trHeight w:val="247"/>
        </w:trPr>
        <w:tc>
          <w:tcPr>
            <w:tcW w:w="75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3,589</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3,435</w:t>
            </w:r>
          </w:p>
        </w:tc>
        <w:tc>
          <w:tcPr>
            <w:tcW w:w="720" w:type="dxa"/>
            <w:vAlign w:val="bottom"/>
          </w:tcPr>
          <w:p>
            <w:pPr>
              <w:jc w:val="right"/>
              <w:spacing w:after="0"/>
              <w:rPr>
                <w:sz w:val="20"/>
                <w:szCs w:val="20"/>
                <w:color w:val="auto"/>
              </w:rPr>
            </w:pPr>
            <w:r>
              <w:rPr>
                <w:rFonts w:ascii="Arial" w:cs="Arial" w:eastAsia="Arial" w:hAnsi="Arial"/>
                <w:sz w:val="18"/>
                <w:szCs w:val="18"/>
                <w:color w:val="auto"/>
              </w:rPr>
              <w:t>3,266</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Canada/Other Americas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28</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21</w:t>
            </w: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313</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289</w:t>
            </w: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Africa</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114</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113</w:t>
            </w: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Asia</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2,500</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3,598</w:t>
            </w:r>
          </w:p>
        </w:tc>
        <w:tc>
          <w:tcPr>
            <w:tcW w:w="720" w:type="dxa"/>
            <w:vAlign w:val="bottom"/>
          </w:tcPr>
          <w:p>
            <w:pPr>
              <w:jc w:val="right"/>
              <w:spacing w:after="0"/>
              <w:rPr>
                <w:sz w:val="20"/>
                <w:szCs w:val="20"/>
                <w:color w:val="auto"/>
              </w:rPr>
            </w:pPr>
            <w:r>
              <w:rPr>
                <w:rFonts w:ascii="Arial" w:cs="Arial" w:eastAsia="Arial" w:hAnsi="Arial"/>
                <w:sz w:val="18"/>
                <w:szCs w:val="18"/>
                <w:color w:val="auto"/>
              </w:rPr>
              <w:t>3,457</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Australia/Oceania</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1,236</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1,286</w:t>
            </w:r>
          </w:p>
        </w:tc>
        <w:tc>
          <w:tcPr>
            <w:tcW w:w="72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93"/>
        </w:trPr>
        <w:tc>
          <w:tcPr>
            <w:tcW w:w="7580" w:type="dxa"/>
            <w:vAlign w:val="bottom"/>
          </w:tcPr>
          <w:p>
            <w:pPr>
              <w:ind w:left="220"/>
              <w:spacing w:after="0"/>
              <w:rPr>
                <w:sz w:val="20"/>
                <w:szCs w:val="20"/>
                <w:color w:val="auto"/>
              </w:rPr>
            </w:pPr>
            <w:r>
              <w:rPr>
                <w:rFonts w:ascii="Arial" w:cs="Arial" w:eastAsia="Arial" w:hAnsi="Arial"/>
                <w:sz w:val="18"/>
                <w:szCs w:val="18"/>
                <w:b w:val="1"/>
                <w:bCs w:val="1"/>
                <w:color w:val="auto"/>
              </w:rPr>
              <w:t>Worldwide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7,779</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8,743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8,470</w:t>
            </w:r>
          </w:p>
        </w:tc>
      </w:tr>
      <w:tr>
        <w:trPr>
          <w:trHeight w:val="270"/>
        </w:trPr>
        <w:tc>
          <w:tcPr>
            <w:tcW w:w="7580" w:type="dxa"/>
            <w:vAlign w:val="bottom"/>
            <w:tcBorders>
              <w:bottom w:val="single" w:sz="8" w:color="0C479D"/>
            </w:tcBorders>
          </w:tcPr>
          <w:p>
            <w:pPr>
              <w:spacing w:after="0"/>
              <w:rPr>
                <w:sz w:val="23"/>
                <w:szCs w:val="23"/>
                <w:color w:val="auto"/>
              </w:rPr>
            </w:pPr>
          </w:p>
        </w:tc>
        <w:tc>
          <w:tcPr>
            <w:tcW w:w="880" w:type="dxa"/>
            <w:vAlign w:val="bottom"/>
            <w:tcBorders>
              <w:bottom w:val="single" w:sz="8" w:color="0C479D"/>
            </w:tcBorders>
          </w:tcPr>
          <w:p>
            <w:pPr>
              <w:spacing w:after="0"/>
              <w:rPr>
                <w:sz w:val="23"/>
                <w:szCs w:val="23"/>
                <w:color w:val="auto"/>
              </w:rPr>
            </w:pPr>
          </w:p>
        </w:tc>
        <w:tc>
          <w:tcPr>
            <w:tcW w:w="1020" w:type="dxa"/>
            <w:vAlign w:val="bottom"/>
            <w:tcBorders>
              <w:bottom w:val="single" w:sz="8" w:color="0C479D"/>
            </w:tcBorders>
          </w:tcPr>
          <w:p>
            <w:pPr>
              <w:spacing w:after="0"/>
              <w:rPr>
                <w:sz w:val="23"/>
                <w:szCs w:val="23"/>
                <w:color w:val="auto"/>
              </w:rPr>
            </w:pPr>
          </w:p>
        </w:tc>
        <w:tc>
          <w:tcPr>
            <w:tcW w:w="720" w:type="dxa"/>
            <w:vAlign w:val="bottom"/>
            <w:tcBorders>
              <w:bottom w:val="single" w:sz="8" w:color="0C479D"/>
            </w:tcBorders>
          </w:tcPr>
          <w:p>
            <w:pPr>
              <w:spacing w:after="0"/>
              <w:rPr>
                <w:sz w:val="23"/>
                <w:szCs w:val="23"/>
                <w:color w:val="auto"/>
              </w:rPr>
            </w:pPr>
          </w:p>
        </w:tc>
      </w:tr>
      <w:tr>
        <w:trPr>
          <w:trHeight w:val="245"/>
        </w:trPr>
        <w:tc>
          <w:tcPr>
            <w:tcW w:w="7580" w:type="dxa"/>
            <w:vAlign w:val="bottom"/>
            <w:tcBorders>
              <w:bottom w:val="single" w:sz="8" w:color="0C479D"/>
            </w:tcBorders>
          </w:tcPr>
          <w:p>
            <w:pPr>
              <w:ind w:left="20"/>
              <w:spacing w:after="0"/>
              <w:rPr>
                <w:sz w:val="20"/>
                <w:szCs w:val="20"/>
                <w:color w:val="auto"/>
              </w:rPr>
            </w:pPr>
            <w:r>
              <w:rPr>
                <w:rFonts w:ascii="Arial" w:cs="Arial" w:eastAsia="Arial" w:hAnsi="Arial"/>
                <w:sz w:val="18"/>
                <w:szCs w:val="18"/>
                <w:color w:val="auto"/>
              </w:rPr>
              <w:t>Oil-equivalent production (koebd) ¹</w:t>
            </w:r>
          </w:p>
        </w:tc>
        <w:tc>
          <w:tcPr>
            <w:tcW w:w="880" w:type="dxa"/>
            <w:vAlign w:val="bottom"/>
            <w:tcBorders>
              <w:bottom w:val="single" w:sz="8" w:color="0C479D"/>
            </w:tcBorders>
            <w:shd w:val="clear" w:color="auto" w:fill="DCDDDE"/>
          </w:tcPr>
          <w:p>
            <w:pPr>
              <w:jc w:val="right"/>
              <w:ind w:right="9"/>
              <w:spacing w:after="0"/>
              <w:rPr>
                <w:sz w:val="20"/>
                <w:szCs w:val="20"/>
                <w:color w:val="auto"/>
              </w:rPr>
            </w:pPr>
            <w:r>
              <w:rPr>
                <w:rFonts w:ascii="Arial" w:cs="Arial" w:eastAsia="Arial" w:hAnsi="Arial"/>
                <w:sz w:val="18"/>
                <w:szCs w:val="18"/>
                <w:color w:val="auto"/>
              </w:rPr>
              <w:t>4,594</w:t>
            </w:r>
          </w:p>
        </w:tc>
        <w:tc>
          <w:tcPr>
            <w:tcW w:w="1020" w:type="dxa"/>
            <w:vAlign w:val="bottom"/>
            <w:tcBorders>
              <w:bottom w:val="single" w:sz="8" w:color="0C479D"/>
            </w:tcBorders>
          </w:tcPr>
          <w:p>
            <w:pPr>
              <w:jc w:val="right"/>
              <w:ind w:right="149"/>
              <w:spacing w:after="0"/>
              <w:rPr>
                <w:sz w:val="20"/>
                <w:szCs w:val="20"/>
                <w:color w:val="auto"/>
              </w:rPr>
            </w:pPr>
            <w:r>
              <w:rPr>
                <w:rFonts w:ascii="Arial" w:cs="Arial" w:eastAsia="Arial" w:hAnsi="Arial"/>
                <w:sz w:val="18"/>
                <w:szCs w:val="18"/>
                <w:color w:val="auto"/>
              </w:rPr>
              <w:t>4,988</w:t>
            </w:r>
          </w:p>
        </w:tc>
        <w:tc>
          <w:tcPr>
            <w:tcW w:w="720" w:type="dxa"/>
            <w:vAlign w:val="bottom"/>
            <w:tcBorders>
              <w:bottom w:val="single" w:sz="8" w:color="0C479D"/>
            </w:tcBorders>
          </w:tcPr>
          <w:p>
            <w:pPr>
              <w:jc w:val="right"/>
              <w:spacing w:after="0"/>
              <w:rPr>
                <w:sz w:val="20"/>
                <w:szCs w:val="20"/>
                <w:color w:val="auto"/>
              </w:rPr>
            </w:pPr>
            <w:r>
              <w:rPr>
                <w:rFonts w:ascii="Arial" w:cs="Arial" w:eastAsia="Arial" w:hAnsi="Arial"/>
                <w:sz w:val="18"/>
                <w:szCs w:val="18"/>
                <w:color w:val="auto"/>
              </w:rPr>
              <w:t>4,551</w:t>
            </w:r>
          </w:p>
        </w:tc>
      </w:tr>
    </w:tbl>
    <w:p>
      <w:pPr>
        <w:spacing w:after="0" w:line="125" w:lineRule="exact"/>
        <w:rPr>
          <w:sz w:val="20"/>
          <w:szCs w:val="20"/>
          <w:color w:val="auto"/>
        </w:rPr>
      </w:pPr>
    </w:p>
    <w:p>
      <w:pPr>
        <w:ind w:left="100" w:hanging="81"/>
        <w:spacing w:after="0"/>
        <w:tabs>
          <w:tab w:leader="none" w:pos="100"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Natural gas is converted to an oil-equivalent basis at six million cubic feet per one thousand barrels.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200"/>
          </w:cols>
          <w:pgMar w:left="840" w:top="733" w:right="859" w:bottom="1440" w:gutter="0" w:footer="0" w:header="0"/>
        </w:sectPr>
      </w:pPr>
    </w:p>
    <w:bookmarkStart w:id="21" w:name="page22"/>
    <w:bookmarkEnd w:id="21"/>
    <w:p>
      <w:pPr>
        <w:ind w:left="8900"/>
        <w:spacing w:after="0"/>
        <w:rPr>
          <w:sz w:val="20"/>
          <w:szCs w:val="20"/>
          <w:color w:val="auto"/>
        </w:rPr>
      </w:pPr>
      <w:r>
        <w:rPr>
          <w:rFonts w:ascii="Arial" w:cs="Arial" w:eastAsia="Arial" w:hAnsi="Arial"/>
          <w:sz w:val="15"/>
          <w:szCs w:val="15"/>
          <w:b w:val="1"/>
          <w:bCs w:val="1"/>
          <w:color w:val="auto"/>
        </w:rPr>
        <w:t>ATTACHMENT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-108585</wp:posOffset>
            </wp:positionV>
            <wp:extent cx="1285875"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5"/>
          <w:szCs w:val="25"/>
          <w:color w:val="0C479D"/>
        </w:rPr>
        <w:t xml:space="preserve">KEY FIGURES: </w:t>
      </w:r>
      <w:r>
        <w:rPr>
          <w:rFonts w:ascii="Arial" w:cs="Arial" w:eastAsia="Arial" w:hAnsi="Arial"/>
          <w:sz w:val="25"/>
          <w:szCs w:val="25"/>
          <w:b w:val="1"/>
          <w:bCs w:val="1"/>
          <w:color w:val="0C479D"/>
        </w:rPr>
        <w:t>MANUFACTURING THROUGHPUT AND SALES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color w:val="FFFFFF"/>
              </w:rPr>
              <w:t>Refinery throughput, thousand barrels per day (kbd)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shd w:val="clear" w:color="auto" w:fill="0C479D"/>
          </w:tcPr>
          <w:p>
            <w:pPr>
              <w:jc w:val="right"/>
              <w:ind w:right="69"/>
              <w:spacing w:after="0"/>
              <w:rPr>
                <w:sz w:val="20"/>
                <w:szCs w:val="20"/>
                <w:color w:val="auto"/>
              </w:rPr>
            </w:pPr>
            <w:r>
              <w:rPr>
                <w:rFonts w:ascii="Arial" w:cs="Arial" w:eastAsia="Arial" w:hAnsi="Arial"/>
                <w:sz w:val="20"/>
                <w:szCs w:val="20"/>
                <w:color w:val="FFFFFF"/>
              </w:rPr>
              <w:t>4Q25</w:t>
            </w:r>
          </w:p>
        </w:tc>
        <w:tc>
          <w:tcPr>
            <w:tcW w:w="72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20" w:type="dxa"/>
            <w:vAlign w:val="bottom"/>
            <w:shd w:val="clear" w:color="auto" w:fill="0C479D"/>
          </w:tcPr>
          <w:p>
            <w:pPr>
              <w:spacing w:after="0"/>
              <w:rPr>
                <w:sz w:val="10"/>
                <w:szCs w:val="10"/>
                <w:color w:val="auto"/>
              </w:rPr>
            </w:pPr>
          </w:p>
        </w:tc>
        <w:tc>
          <w:tcPr>
            <w:tcW w:w="720" w:type="dxa"/>
            <w:vAlign w:val="bottom"/>
            <w:shd w:val="clear" w:color="auto" w:fill="0C479D"/>
          </w:tcPr>
          <w:p>
            <w:pPr>
              <w:spacing w:after="0"/>
              <w:rPr>
                <w:sz w:val="10"/>
                <w:szCs w:val="10"/>
                <w:color w:val="auto"/>
              </w:rPr>
            </w:pPr>
          </w:p>
        </w:tc>
      </w:tr>
      <w:tr>
        <w:trPr>
          <w:trHeight w:val="247"/>
        </w:trPr>
        <w:tc>
          <w:tcPr>
            <w:tcW w:w="75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1,795</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1,983</w:t>
            </w:r>
          </w:p>
        </w:tc>
        <w:tc>
          <w:tcPr>
            <w:tcW w:w="720" w:type="dxa"/>
            <w:vAlign w:val="bottom"/>
          </w:tcPr>
          <w:p>
            <w:pPr>
              <w:jc w:val="right"/>
              <w:spacing w:after="0"/>
              <w:rPr>
                <w:sz w:val="20"/>
                <w:szCs w:val="20"/>
                <w:color w:val="auto"/>
              </w:rPr>
            </w:pPr>
            <w:r>
              <w:rPr>
                <w:rFonts w:ascii="Arial" w:cs="Arial" w:eastAsia="Arial" w:hAnsi="Arial"/>
                <w:sz w:val="18"/>
                <w:szCs w:val="18"/>
                <w:color w:val="auto"/>
              </w:rPr>
              <w:t>1,789</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Canada</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384</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408</w:t>
            </w: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733</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1,000</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Asia Pacific</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386</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480</w:t>
            </w:r>
          </w:p>
        </w:tc>
        <w:tc>
          <w:tcPr>
            <w:tcW w:w="7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195</w:t>
            </w:r>
          </w:p>
        </w:tc>
        <w:tc>
          <w:tcPr>
            <w:tcW w:w="1020" w:type="dxa"/>
            <w:vAlign w:val="bottom"/>
          </w:tcPr>
          <w:p>
            <w:pPr>
              <w:jc w:val="right"/>
              <w:ind w:right="149"/>
              <w:spacing w:after="0"/>
              <w:rPr>
                <w:sz w:val="20"/>
                <w:szCs w:val="20"/>
                <w:color w:val="auto"/>
              </w:rPr>
            </w:pPr>
            <w:r>
              <w:rPr>
                <w:rFonts w:ascii="Arial" w:cs="Arial" w:eastAsia="Arial" w:hAnsi="Arial"/>
                <w:sz w:val="18"/>
                <w:szCs w:val="18"/>
                <w:color w:val="auto"/>
              </w:rPr>
              <w:t>189</w:t>
            </w: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93"/>
        </w:trPr>
        <w:tc>
          <w:tcPr>
            <w:tcW w:w="7580" w:type="dxa"/>
            <w:vAlign w:val="bottom"/>
          </w:tcPr>
          <w:p>
            <w:pPr>
              <w:ind w:left="220"/>
              <w:spacing w:after="0"/>
              <w:rPr>
                <w:sz w:val="20"/>
                <w:szCs w:val="20"/>
                <w:color w:val="auto"/>
              </w:rPr>
            </w:pPr>
            <w:r>
              <w:rPr>
                <w:rFonts w:ascii="Arial" w:cs="Arial" w:eastAsia="Arial" w:hAnsi="Arial"/>
                <w:sz w:val="18"/>
                <w:szCs w:val="18"/>
                <w:b w:val="1"/>
                <w:bCs w:val="1"/>
                <w:color w:val="auto"/>
              </w:rPr>
              <w:t>Worldwide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3,494</w:t>
            </w:r>
          </w:p>
        </w:tc>
        <w:tc>
          <w:tcPr>
            <w:tcW w:w="1020" w:type="dxa"/>
            <w:vAlign w:val="bottom"/>
          </w:tcPr>
          <w:p>
            <w:pPr>
              <w:jc w:val="right"/>
              <w:ind w:right="149"/>
              <w:spacing w:after="0"/>
              <w:rPr>
                <w:sz w:val="20"/>
                <w:szCs w:val="20"/>
                <w:color w:val="auto"/>
              </w:rPr>
            </w:pPr>
            <w:r>
              <w:rPr>
                <w:rFonts w:ascii="Arial" w:cs="Arial" w:eastAsia="Arial" w:hAnsi="Arial"/>
                <w:sz w:val="18"/>
                <w:szCs w:val="18"/>
                <w:b w:val="1"/>
                <w:bCs w:val="1"/>
                <w:color w:val="auto"/>
              </w:rPr>
              <w:t>4,060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3,810</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color w:val="FFFFFF"/>
              </w:rPr>
              <w:t>Energy Products sales, thousand barrels per day (kbd)</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86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4Q25</w:t>
            </w:r>
          </w:p>
        </w:tc>
        <w:tc>
          <w:tcPr>
            <w:tcW w:w="88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860" w:type="dxa"/>
            <w:vAlign w:val="bottom"/>
            <w:shd w:val="clear" w:color="auto" w:fill="0C479D"/>
          </w:tcPr>
          <w:p>
            <w:pPr>
              <w:spacing w:after="0"/>
              <w:rPr>
                <w:sz w:val="10"/>
                <w:szCs w:val="10"/>
                <w:color w:val="auto"/>
              </w:rPr>
            </w:pPr>
          </w:p>
        </w:tc>
        <w:tc>
          <w:tcPr>
            <w:tcW w:w="880" w:type="dxa"/>
            <w:vAlign w:val="bottom"/>
            <w:shd w:val="clear" w:color="auto" w:fill="0C479D"/>
          </w:tcPr>
          <w:p>
            <w:pPr>
              <w:spacing w:after="0"/>
              <w:rPr>
                <w:sz w:val="10"/>
                <w:szCs w:val="10"/>
                <w:color w:val="auto"/>
              </w:rPr>
            </w:pPr>
          </w:p>
        </w:tc>
      </w:tr>
      <w:tr>
        <w:trPr>
          <w:trHeight w:val="247"/>
        </w:trPr>
        <w:tc>
          <w:tcPr>
            <w:tcW w:w="75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3,214</w:t>
            </w:r>
          </w:p>
        </w:tc>
        <w:tc>
          <w:tcPr>
            <w:tcW w:w="860" w:type="dxa"/>
            <w:vAlign w:val="bottom"/>
          </w:tcPr>
          <w:p>
            <w:pPr>
              <w:jc w:val="right"/>
              <w:spacing w:after="0"/>
              <w:rPr>
                <w:sz w:val="20"/>
                <w:szCs w:val="20"/>
                <w:color w:val="auto"/>
              </w:rPr>
            </w:pPr>
            <w:r>
              <w:rPr>
                <w:rFonts w:ascii="Arial" w:cs="Arial" w:eastAsia="Arial" w:hAnsi="Arial"/>
                <w:sz w:val="18"/>
                <w:szCs w:val="18"/>
                <w:color w:val="auto"/>
              </w:rPr>
              <w:t>2,899</w:t>
            </w:r>
          </w:p>
        </w:tc>
        <w:tc>
          <w:tcPr>
            <w:tcW w:w="880" w:type="dxa"/>
            <w:vAlign w:val="bottom"/>
          </w:tcPr>
          <w:p>
            <w:pPr>
              <w:jc w:val="right"/>
              <w:spacing w:after="0"/>
              <w:rPr>
                <w:sz w:val="20"/>
                <w:szCs w:val="20"/>
                <w:color w:val="auto"/>
              </w:rPr>
            </w:pPr>
            <w:r>
              <w:rPr>
                <w:rFonts w:ascii="Arial" w:cs="Arial" w:eastAsia="Arial" w:hAnsi="Arial"/>
                <w:sz w:val="18"/>
                <w:szCs w:val="18"/>
                <w:color w:val="auto"/>
              </w:rPr>
              <w:t>2,728</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Non-U.S.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2,416</w:t>
            </w:r>
          </w:p>
        </w:tc>
        <w:tc>
          <w:tcPr>
            <w:tcW w:w="860" w:type="dxa"/>
            <w:vAlign w:val="bottom"/>
          </w:tcPr>
          <w:p>
            <w:pPr>
              <w:jc w:val="right"/>
              <w:spacing w:after="0"/>
              <w:rPr>
                <w:sz w:val="20"/>
                <w:szCs w:val="20"/>
                <w:color w:val="auto"/>
              </w:rPr>
            </w:pPr>
            <w:r>
              <w:rPr>
                <w:rFonts w:ascii="Arial" w:cs="Arial" w:eastAsia="Arial" w:hAnsi="Arial"/>
                <w:sz w:val="18"/>
                <w:szCs w:val="18"/>
                <w:color w:val="auto"/>
              </w:rPr>
              <w:t>2,905</w:t>
            </w:r>
          </w:p>
        </w:tc>
        <w:tc>
          <w:tcPr>
            <w:tcW w:w="880" w:type="dxa"/>
            <w:vAlign w:val="bottom"/>
          </w:tcPr>
          <w:p>
            <w:pPr>
              <w:jc w:val="right"/>
              <w:spacing w:after="0"/>
              <w:rPr>
                <w:sz w:val="20"/>
                <w:szCs w:val="20"/>
                <w:color w:val="auto"/>
              </w:rPr>
            </w:pPr>
            <w:r>
              <w:rPr>
                <w:rFonts w:ascii="Arial" w:cs="Arial" w:eastAsia="Arial" w:hAnsi="Arial"/>
                <w:sz w:val="18"/>
                <w:szCs w:val="18"/>
                <w:color w:val="auto"/>
              </w:rPr>
              <w:t>2,555</w:t>
            </w:r>
          </w:p>
        </w:tc>
      </w:tr>
      <w:tr>
        <w:trPr>
          <w:trHeight w:val="293"/>
        </w:trPr>
        <w:tc>
          <w:tcPr>
            <w:tcW w:w="7580" w:type="dxa"/>
            <w:vAlign w:val="bottom"/>
          </w:tcPr>
          <w:p>
            <w:pPr>
              <w:ind w:left="220"/>
              <w:spacing w:after="0"/>
              <w:rPr>
                <w:sz w:val="20"/>
                <w:szCs w:val="20"/>
                <w:color w:val="auto"/>
              </w:rPr>
            </w:pPr>
            <w:r>
              <w:rPr>
                <w:rFonts w:ascii="Arial" w:cs="Arial" w:eastAsia="Arial" w:hAnsi="Arial"/>
                <w:sz w:val="18"/>
                <w:szCs w:val="18"/>
                <w:b w:val="1"/>
                <w:bCs w:val="1"/>
                <w:color w:val="auto"/>
              </w:rPr>
              <w:t>Worldwide</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5,630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5,804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5,283</w:t>
            </w:r>
          </w:p>
        </w:tc>
      </w:tr>
      <w:tr>
        <w:trPr>
          <w:trHeight w:val="270"/>
        </w:trPr>
        <w:tc>
          <w:tcPr>
            <w:tcW w:w="7580" w:type="dxa"/>
            <w:vAlign w:val="bottom"/>
            <w:tcBorders>
              <w:bottom w:val="single" w:sz="8" w:color="0C479D"/>
            </w:tcBorders>
          </w:tcPr>
          <w:p>
            <w:pPr>
              <w:spacing w:after="0"/>
              <w:rPr>
                <w:sz w:val="23"/>
                <w:szCs w:val="23"/>
                <w:color w:val="auto"/>
              </w:rPr>
            </w:pPr>
          </w:p>
        </w:tc>
        <w:tc>
          <w:tcPr>
            <w:tcW w:w="880" w:type="dxa"/>
            <w:vAlign w:val="bottom"/>
            <w:tcBorders>
              <w:bottom w:val="single" w:sz="8" w:color="0C479D"/>
            </w:tcBorders>
          </w:tcPr>
          <w:p>
            <w:pPr>
              <w:spacing w:after="0"/>
              <w:rPr>
                <w:sz w:val="23"/>
                <w:szCs w:val="23"/>
                <w:color w:val="auto"/>
              </w:rPr>
            </w:pPr>
          </w:p>
        </w:tc>
        <w:tc>
          <w:tcPr>
            <w:tcW w:w="860" w:type="dxa"/>
            <w:vAlign w:val="bottom"/>
            <w:tcBorders>
              <w:bottom w:val="single" w:sz="8" w:color="0C479D"/>
            </w:tcBorders>
          </w:tcPr>
          <w:p>
            <w:pPr>
              <w:spacing w:after="0"/>
              <w:rPr>
                <w:sz w:val="23"/>
                <w:szCs w:val="23"/>
                <w:color w:val="auto"/>
              </w:rPr>
            </w:pPr>
          </w:p>
        </w:tc>
        <w:tc>
          <w:tcPr>
            <w:tcW w:w="880" w:type="dxa"/>
            <w:vAlign w:val="bottom"/>
            <w:tcBorders>
              <w:bottom w:val="single" w:sz="8" w:color="0C479D"/>
            </w:tcBorders>
          </w:tcPr>
          <w:p>
            <w:pPr>
              <w:spacing w:after="0"/>
              <w:rPr>
                <w:sz w:val="23"/>
                <w:szCs w:val="23"/>
                <w:color w:val="auto"/>
              </w:rPr>
            </w:pPr>
          </w:p>
        </w:tc>
      </w:tr>
      <w:tr>
        <w:trPr>
          <w:trHeight w:val="241"/>
        </w:trPr>
        <w:tc>
          <w:tcPr>
            <w:tcW w:w="7580" w:type="dxa"/>
            <w:vAlign w:val="bottom"/>
            <w:shd w:val="clear" w:color="auto" w:fill="F0F0F0"/>
          </w:tcPr>
          <w:p>
            <w:pPr>
              <w:ind w:left="240"/>
              <w:spacing w:after="0"/>
              <w:rPr>
                <w:sz w:val="20"/>
                <w:szCs w:val="20"/>
                <w:color w:val="auto"/>
              </w:rPr>
            </w:pPr>
            <w:r>
              <w:rPr>
                <w:rFonts w:ascii="Arial" w:cs="Arial" w:eastAsia="Arial" w:hAnsi="Arial"/>
                <w:sz w:val="18"/>
                <w:szCs w:val="18"/>
                <w:color w:val="auto"/>
              </w:rPr>
              <w:t>Gasolines, naphthas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2,214</w:t>
            </w:r>
          </w:p>
        </w:tc>
        <w:tc>
          <w:tcPr>
            <w:tcW w:w="860" w:type="dxa"/>
            <w:vAlign w:val="bottom"/>
            <w:shd w:val="clear" w:color="auto" w:fill="F0F0F0"/>
          </w:tcPr>
          <w:p>
            <w:pPr>
              <w:jc w:val="right"/>
              <w:spacing w:after="0"/>
              <w:rPr>
                <w:sz w:val="20"/>
                <w:szCs w:val="20"/>
                <w:color w:val="auto"/>
              </w:rPr>
            </w:pPr>
            <w:r>
              <w:rPr>
                <w:rFonts w:ascii="Arial" w:cs="Arial" w:eastAsia="Arial" w:hAnsi="Arial"/>
                <w:sz w:val="18"/>
                <w:szCs w:val="18"/>
                <w:color w:val="auto"/>
              </w:rPr>
              <w:t>2,369</w:t>
            </w:r>
          </w:p>
        </w:tc>
        <w:tc>
          <w:tcPr>
            <w:tcW w:w="880" w:type="dxa"/>
            <w:vAlign w:val="bottom"/>
            <w:shd w:val="clear" w:color="auto" w:fill="F0F0F0"/>
          </w:tcPr>
          <w:p>
            <w:pPr>
              <w:jc w:val="right"/>
              <w:spacing w:after="0"/>
              <w:rPr>
                <w:sz w:val="20"/>
                <w:szCs w:val="20"/>
                <w:color w:val="auto"/>
              </w:rPr>
            </w:pPr>
            <w:r>
              <w:rPr>
                <w:rFonts w:ascii="Arial" w:cs="Arial" w:eastAsia="Arial" w:hAnsi="Arial"/>
                <w:sz w:val="18"/>
                <w:szCs w:val="18"/>
                <w:color w:val="auto"/>
              </w:rPr>
              <w:t>2,162</w:t>
            </w:r>
          </w:p>
        </w:tc>
      </w:tr>
      <w:tr>
        <w:trPr>
          <w:trHeight w:val="257"/>
        </w:trPr>
        <w:tc>
          <w:tcPr>
            <w:tcW w:w="7580" w:type="dxa"/>
            <w:vAlign w:val="bottom"/>
            <w:shd w:val="clear" w:color="auto" w:fill="F0F0F0"/>
          </w:tcPr>
          <w:p>
            <w:pPr>
              <w:ind w:left="240"/>
              <w:spacing w:after="0"/>
              <w:rPr>
                <w:sz w:val="20"/>
                <w:szCs w:val="20"/>
                <w:color w:val="auto"/>
              </w:rPr>
            </w:pPr>
            <w:r>
              <w:rPr>
                <w:rFonts w:ascii="Arial" w:cs="Arial" w:eastAsia="Arial" w:hAnsi="Arial"/>
                <w:sz w:val="18"/>
                <w:szCs w:val="18"/>
                <w:color w:val="auto"/>
              </w:rPr>
              <w:t>Heating oils, kerosene, diesel</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1,672</w:t>
            </w:r>
          </w:p>
        </w:tc>
        <w:tc>
          <w:tcPr>
            <w:tcW w:w="860" w:type="dxa"/>
            <w:vAlign w:val="bottom"/>
            <w:shd w:val="clear" w:color="auto" w:fill="F0F0F0"/>
          </w:tcPr>
          <w:p>
            <w:pPr>
              <w:jc w:val="right"/>
              <w:spacing w:after="0"/>
              <w:rPr>
                <w:sz w:val="20"/>
                <w:szCs w:val="20"/>
                <w:color w:val="auto"/>
              </w:rPr>
            </w:pPr>
            <w:r>
              <w:rPr>
                <w:rFonts w:ascii="Arial" w:cs="Arial" w:eastAsia="Arial" w:hAnsi="Arial"/>
                <w:sz w:val="18"/>
                <w:szCs w:val="18"/>
                <w:color w:val="auto"/>
              </w:rPr>
              <w:t>1,838</w:t>
            </w:r>
          </w:p>
        </w:tc>
        <w:tc>
          <w:tcPr>
            <w:tcW w:w="880" w:type="dxa"/>
            <w:vAlign w:val="bottom"/>
            <w:shd w:val="clear" w:color="auto" w:fill="F0F0F0"/>
          </w:tcPr>
          <w:p>
            <w:pPr>
              <w:jc w:val="right"/>
              <w:spacing w:after="0"/>
              <w:rPr>
                <w:sz w:val="20"/>
                <w:szCs w:val="20"/>
                <w:color w:val="auto"/>
              </w:rPr>
            </w:pPr>
            <w:r>
              <w:rPr>
                <w:rFonts w:ascii="Arial" w:cs="Arial" w:eastAsia="Arial" w:hAnsi="Arial"/>
                <w:sz w:val="18"/>
                <w:szCs w:val="18"/>
                <w:color w:val="auto"/>
              </w:rPr>
              <w:t>1,724</w:t>
            </w:r>
          </w:p>
        </w:tc>
      </w:tr>
      <w:tr>
        <w:trPr>
          <w:trHeight w:val="270"/>
        </w:trPr>
        <w:tc>
          <w:tcPr>
            <w:tcW w:w="7580" w:type="dxa"/>
            <w:vAlign w:val="bottom"/>
            <w:shd w:val="clear" w:color="auto" w:fill="F0F0F0"/>
          </w:tcPr>
          <w:p>
            <w:pPr>
              <w:ind w:left="240"/>
              <w:spacing w:after="0"/>
              <w:rPr>
                <w:sz w:val="20"/>
                <w:szCs w:val="20"/>
                <w:color w:val="auto"/>
              </w:rPr>
            </w:pPr>
            <w:r>
              <w:rPr>
                <w:rFonts w:ascii="Arial" w:cs="Arial" w:eastAsia="Arial" w:hAnsi="Arial"/>
                <w:sz w:val="18"/>
                <w:szCs w:val="18"/>
                <w:color w:val="auto"/>
              </w:rPr>
              <w:t>Aviation fuels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399</w:t>
            </w:r>
          </w:p>
        </w:tc>
        <w:tc>
          <w:tcPr>
            <w:tcW w:w="860" w:type="dxa"/>
            <w:vAlign w:val="bottom"/>
            <w:shd w:val="clear" w:color="auto" w:fill="F0F0F0"/>
          </w:tcPr>
          <w:p>
            <w:pPr>
              <w:jc w:val="right"/>
              <w:spacing w:after="0"/>
              <w:rPr>
                <w:sz w:val="20"/>
                <w:szCs w:val="20"/>
                <w:color w:val="auto"/>
              </w:rPr>
            </w:pPr>
            <w:r>
              <w:rPr>
                <w:rFonts w:ascii="Arial" w:cs="Arial" w:eastAsia="Arial" w:hAnsi="Arial"/>
                <w:sz w:val="18"/>
                <w:szCs w:val="18"/>
                <w:color w:val="auto"/>
              </w:rPr>
              <w:t>386</w:t>
            </w:r>
          </w:p>
        </w:tc>
        <w:tc>
          <w:tcPr>
            <w:tcW w:w="880" w:type="dxa"/>
            <w:vAlign w:val="bottom"/>
            <w:shd w:val="clear" w:color="auto" w:fill="F0F0F0"/>
          </w:tcPr>
          <w:p>
            <w:pPr>
              <w:jc w:val="right"/>
              <w:spacing w:after="0"/>
              <w:rPr>
                <w:sz w:val="20"/>
                <w:szCs w:val="20"/>
                <w:color w:val="auto"/>
              </w:rPr>
            </w:pPr>
            <w:r>
              <w:rPr>
                <w:rFonts w:ascii="Arial" w:cs="Arial" w:eastAsia="Arial" w:hAnsi="Arial"/>
                <w:sz w:val="18"/>
                <w:szCs w:val="18"/>
                <w:color w:val="auto"/>
              </w:rPr>
              <w:t>366</w:t>
            </w:r>
          </w:p>
        </w:tc>
      </w:tr>
      <w:tr>
        <w:trPr>
          <w:trHeight w:val="270"/>
        </w:trPr>
        <w:tc>
          <w:tcPr>
            <w:tcW w:w="7580" w:type="dxa"/>
            <w:vAlign w:val="bottom"/>
            <w:shd w:val="clear" w:color="auto" w:fill="F0F0F0"/>
          </w:tcPr>
          <w:p>
            <w:pPr>
              <w:ind w:left="240"/>
              <w:spacing w:after="0"/>
              <w:rPr>
                <w:sz w:val="20"/>
                <w:szCs w:val="20"/>
                <w:color w:val="auto"/>
              </w:rPr>
            </w:pPr>
            <w:r>
              <w:rPr>
                <w:rFonts w:ascii="Arial" w:cs="Arial" w:eastAsia="Arial" w:hAnsi="Arial"/>
                <w:sz w:val="18"/>
                <w:szCs w:val="18"/>
                <w:color w:val="auto"/>
              </w:rPr>
              <w:t>Heavy fuels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187</w:t>
            </w:r>
          </w:p>
        </w:tc>
        <w:tc>
          <w:tcPr>
            <w:tcW w:w="860" w:type="dxa"/>
            <w:vAlign w:val="bottom"/>
            <w:shd w:val="clear" w:color="auto" w:fill="F0F0F0"/>
          </w:tcPr>
          <w:p>
            <w:pPr>
              <w:jc w:val="right"/>
              <w:spacing w:after="0"/>
              <w:rPr>
                <w:sz w:val="20"/>
                <w:szCs w:val="20"/>
                <w:color w:val="auto"/>
              </w:rPr>
            </w:pPr>
            <w:r>
              <w:rPr>
                <w:rFonts w:ascii="Arial" w:cs="Arial" w:eastAsia="Arial" w:hAnsi="Arial"/>
                <w:sz w:val="18"/>
                <w:szCs w:val="18"/>
                <w:color w:val="auto"/>
              </w:rPr>
              <w:t>233</w:t>
            </w:r>
          </w:p>
        </w:tc>
        <w:tc>
          <w:tcPr>
            <w:tcW w:w="880" w:type="dxa"/>
            <w:vAlign w:val="bottom"/>
            <w:shd w:val="clear" w:color="auto" w:fill="F0F0F0"/>
          </w:tcPr>
          <w:p>
            <w:pPr>
              <w:jc w:val="right"/>
              <w:spacing w:after="0"/>
              <w:rPr>
                <w:sz w:val="20"/>
                <w:szCs w:val="20"/>
                <w:color w:val="auto"/>
              </w:rPr>
            </w:pPr>
            <w:r>
              <w:rPr>
                <w:rFonts w:ascii="Arial" w:cs="Arial" w:eastAsia="Arial" w:hAnsi="Arial"/>
                <w:sz w:val="18"/>
                <w:szCs w:val="18"/>
                <w:color w:val="auto"/>
              </w:rPr>
              <w:t>158</w:t>
            </w:r>
          </w:p>
        </w:tc>
      </w:tr>
      <w:tr>
        <w:trPr>
          <w:trHeight w:val="270"/>
        </w:trPr>
        <w:tc>
          <w:tcPr>
            <w:tcW w:w="7580" w:type="dxa"/>
            <w:vAlign w:val="bottom"/>
            <w:shd w:val="clear" w:color="auto" w:fill="F0F0F0"/>
          </w:tcPr>
          <w:p>
            <w:pPr>
              <w:ind w:left="240"/>
              <w:spacing w:after="0"/>
              <w:rPr>
                <w:sz w:val="20"/>
                <w:szCs w:val="20"/>
                <w:color w:val="auto"/>
              </w:rPr>
            </w:pPr>
            <w:r>
              <w:rPr>
                <w:rFonts w:ascii="Arial" w:cs="Arial" w:eastAsia="Arial" w:hAnsi="Arial"/>
                <w:sz w:val="18"/>
                <w:szCs w:val="18"/>
                <w:color w:val="auto"/>
              </w:rPr>
              <w:t>Other energy products</w:t>
            </w:r>
          </w:p>
        </w:tc>
        <w:tc>
          <w:tcPr>
            <w:tcW w:w="88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1,158</w:t>
            </w:r>
          </w:p>
        </w:tc>
        <w:tc>
          <w:tcPr>
            <w:tcW w:w="860" w:type="dxa"/>
            <w:vAlign w:val="bottom"/>
            <w:shd w:val="clear" w:color="auto" w:fill="F0F0F0"/>
          </w:tcPr>
          <w:p>
            <w:pPr>
              <w:jc w:val="right"/>
              <w:spacing w:after="0"/>
              <w:rPr>
                <w:sz w:val="20"/>
                <w:szCs w:val="20"/>
                <w:color w:val="auto"/>
              </w:rPr>
            </w:pPr>
            <w:r>
              <w:rPr>
                <w:rFonts w:ascii="Arial" w:cs="Arial" w:eastAsia="Arial" w:hAnsi="Arial"/>
                <w:sz w:val="18"/>
                <w:szCs w:val="18"/>
                <w:color w:val="auto"/>
              </w:rPr>
              <w:t>978</w:t>
            </w:r>
          </w:p>
        </w:tc>
        <w:tc>
          <w:tcPr>
            <w:tcW w:w="880" w:type="dxa"/>
            <w:vAlign w:val="bottom"/>
            <w:shd w:val="clear" w:color="auto" w:fill="F0F0F0"/>
          </w:tcPr>
          <w:p>
            <w:pPr>
              <w:jc w:val="right"/>
              <w:spacing w:after="0"/>
              <w:rPr>
                <w:sz w:val="20"/>
                <w:szCs w:val="20"/>
                <w:color w:val="auto"/>
              </w:rPr>
            </w:pPr>
            <w:r>
              <w:rPr>
                <w:rFonts w:ascii="Arial" w:cs="Arial" w:eastAsia="Arial" w:hAnsi="Arial"/>
                <w:sz w:val="18"/>
                <w:szCs w:val="18"/>
                <w:color w:val="auto"/>
              </w:rPr>
              <w:t>873</w:t>
            </w:r>
          </w:p>
        </w:tc>
      </w:tr>
      <w:tr>
        <w:trPr>
          <w:trHeight w:val="287"/>
        </w:trPr>
        <w:tc>
          <w:tcPr>
            <w:tcW w:w="7580" w:type="dxa"/>
            <w:vAlign w:val="bottom"/>
            <w:tcBorders>
              <w:bottom w:val="single" w:sz="8" w:color="0D46A1"/>
            </w:tcBorders>
            <w:shd w:val="clear" w:color="auto" w:fill="F0F0F0"/>
          </w:tcPr>
          <w:p>
            <w:pPr>
              <w:ind w:left="240"/>
              <w:spacing w:after="0"/>
              <w:rPr>
                <w:sz w:val="20"/>
                <w:szCs w:val="20"/>
                <w:color w:val="auto"/>
              </w:rPr>
            </w:pPr>
            <w:r>
              <w:rPr>
                <w:rFonts w:ascii="Arial" w:cs="Arial" w:eastAsia="Arial" w:hAnsi="Arial"/>
                <w:sz w:val="18"/>
                <w:szCs w:val="18"/>
                <w:b w:val="1"/>
                <w:bCs w:val="1"/>
                <w:color w:val="auto"/>
              </w:rPr>
              <w:t>Worldwide</w:t>
            </w:r>
          </w:p>
        </w:tc>
        <w:tc>
          <w:tcPr>
            <w:tcW w:w="880" w:type="dxa"/>
            <w:vAlign w:val="bottom"/>
            <w:tcBorders>
              <w:bottom w:val="single" w:sz="8" w:color="0D46A1"/>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5,630</w:t>
            </w:r>
          </w:p>
        </w:tc>
        <w:tc>
          <w:tcPr>
            <w:tcW w:w="860" w:type="dxa"/>
            <w:vAlign w:val="bottom"/>
            <w:tcBorders>
              <w:bottom w:val="single" w:sz="8" w:color="0D46A1"/>
            </w:tcBorders>
            <w:shd w:val="clear" w:color="auto" w:fill="F0F0F0"/>
          </w:tcPr>
          <w:p>
            <w:pPr>
              <w:jc w:val="right"/>
              <w:spacing w:after="0"/>
              <w:rPr>
                <w:sz w:val="20"/>
                <w:szCs w:val="20"/>
                <w:color w:val="auto"/>
              </w:rPr>
            </w:pPr>
            <w:r>
              <w:rPr>
                <w:rFonts w:ascii="Arial" w:cs="Arial" w:eastAsia="Arial" w:hAnsi="Arial"/>
                <w:sz w:val="18"/>
                <w:szCs w:val="18"/>
                <w:b w:val="1"/>
                <w:bCs w:val="1"/>
                <w:color w:val="auto"/>
              </w:rPr>
              <w:t>5,804</w:t>
            </w:r>
          </w:p>
        </w:tc>
        <w:tc>
          <w:tcPr>
            <w:tcW w:w="880" w:type="dxa"/>
            <w:vAlign w:val="bottom"/>
            <w:tcBorders>
              <w:bottom w:val="single" w:sz="8" w:color="0D46A1"/>
            </w:tcBorders>
            <w:shd w:val="clear" w:color="auto" w:fill="F0F0F0"/>
          </w:tcPr>
          <w:p>
            <w:pPr>
              <w:jc w:val="right"/>
              <w:spacing w:after="0"/>
              <w:rPr>
                <w:sz w:val="20"/>
                <w:szCs w:val="20"/>
                <w:color w:val="auto"/>
              </w:rPr>
            </w:pPr>
            <w:r>
              <w:rPr>
                <w:rFonts w:ascii="Arial" w:cs="Arial" w:eastAsia="Arial" w:hAnsi="Arial"/>
                <w:sz w:val="18"/>
                <w:szCs w:val="18"/>
                <w:b w:val="1"/>
                <w:bCs w:val="1"/>
                <w:color w:val="auto"/>
              </w:rPr>
              <w:t>5,283</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7580" w:type="dxa"/>
            <w:vAlign w:val="bottom"/>
            <w:shd w:val="clear" w:color="auto" w:fill="0C479D"/>
          </w:tcPr>
          <w:p>
            <w:pPr>
              <w:ind w:left="20"/>
              <w:spacing w:after="0"/>
              <w:rPr>
                <w:sz w:val="20"/>
                <w:szCs w:val="20"/>
                <w:color w:val="auto"/>
              </w:rPr>
            </w:pPr>
            <w:r>
              <w:rPr>
                <w:rFonts w:ascii="Arial" w:cs="Arial" w:eastAsia="Arial" w:hAnsi="Arial"/>
                <w:sz w:val="20"/>
                <w:szCs w:val="20"/>
                <w:color w:val="FFFFFF"/>
              </w:rPr>
              <w:t>Chemical Products sales, thousand metric tons (kt)</w:t>
            </w: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shd w:val="clear" w:color="auto" w:fill="0C479D"/>
          </w:tcPr>
          <w:p>
            <w:pPr>
              <w:jc w:val="right"/>
              <w:ind w:right="68"/>
              <w:spacing w:after="0"/>
              <w:rPr>
                <w:sz w:val="20"/>
                <w:szCs w:val="20"/>
                <w:color w:val="auto"/>
              </w:rPr>
            </w:pPr>
            <w:r>
              <w:rPr>
                <w:rFonts w:ascii="Arial" w:cs="Arial" w:eastAsia="Arial" w:hAnsi="Arial"/>
                <w:sz w:val="20"/>
                <w:szCs w:val="20"/>
                <w:color w:val="FFFFFF"/>
              </w:rPr>
              <w:t>4Q25</w:t>
            </w:r>
          </w:p>
        </w:tc>
        <w:tc>
          <w:tcPr>
            <w:tcW w:w="72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758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20" w:type="dxa"/>
            <w:vAlign w:val="bottom"/>
            <w:shd w:val="clear" w:color="auto" w:fill="0C479D"/>
          </w:tcPr>
          <w:p>
            <w:pPr>
              <w:spacing w:after="0"/>
              <w:rPr>
                <w:sz w:val="10"/>
                <w:szCs w:val="10"/>
                <w:color w:val="auto"/>
              </w:rPr>
            </w:pPr>
          </w:p>
        </w:tc>
        <w:tc>
          <w:tcPr>
            <w:tcW w:w="720" w:type="dxa"/>
            <w:vAlign w:val="bottom"/>
            <w:shd w:val="clear" w:color="auto" w:fill="0C479D"/>
          </w:tcPr>
          <w:p>
            <w:pPr>
              <w:spacing w:after="0"/>
              <w:rPr>
                <w:sz w:val="10"/>
                <w:szCs w:val="10"/>
                <w:color w:val="auto"/>
              </w:rPr>
            </w:pPr>
          </w:p>
        </w:tc>
      </w:tr>
      <w:tr>
        <w:trPr>
          <w:trHeight w:val="247"/>
        </w:trPr>
        <w:tc>
          <w:tcPr>
            <w:tcW w:w="75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1,904</w:t>
            </w:r>
          </w:p>
        </w:tc>
        <w:tc>
          <w:tcPr>
            <w:tcW w:w="1020" w:type="dxa"/>
            <w:vAlign w:val="bottom"/>
          </w:tcPr>
          <w:p>
            <w:pPr>
              <w:jc w:val="right"/>
              <w:ind w:right="148"/>
              <w:spacing w:after="0"/>
              <w:rPr>
                <w:sz w:val="20"/>
                <w:szCs w:val="20"/>
                <w:color w:val="auto"/>
              </w:rPr>
            </w:pPr>
            <w:r>
              <w:rPr>
                <w:rFonts w:ascii="Arial" w:cs="Arial" w:eastAsia="Arial" w:hAnsi="Arial"/>
                <w:sz w:val="18"/>
                <w:szCs w:val="18"/>
                <w:color w:val="auto"/>
              </w:rPr>
              <w:t>1,805</w:t>
            </w:r>
          </w:p>
        </w:tc>
        <w:tc>
          <w:tcPr>
            <w:tcW w:w="72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Non-U.S.</w:t>
            </w:r>
          </w:p>
        </w:tc>
        <w:tc>
          <w:tcPr>
            <w:tcW w:w="88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3,455</w:t>
            </w:r>
          </w:p>
        </w:tc>
        <w:tc>
          <w:tcPr>
            <w:tcW w:w="1020" w:type="dxa"/>
            <w:vAlign w:val="bottom"/>
          </w:tcPr>
          <w:p>
            <w:pPr>
              <w:jc w:val="right"/>
              <w:ind w:right="148"/>
              <w:spacing w:after="0"/>
              <w:rPr>
                <w:sz w:val="20"/>
                <w:szCs w:val="20"/>
                <w:color w:val="auto"/>
              </w:rPr>
            </w:pPr>
            <w:r>
              <w:rPr>
                <w:rFonts w:ascii="Arial" w:cs="Arial" w:eastAsia="Arial" w:hAnsi="Arial"/>
                <w:sz w:val="18"/>
                <w:szCs w:val="18"/>
                <w:color w:val="auto"/>
              </w:rPr>
              <w:t>3,938</w:t>
            </w:r>
          </w:p>
        </w:tc>
        <w:tc>
          <w:tcPr>
            <w:tcW w:w="720" w:type="dxa"/>
            <w:vAlign w:val="bottom"/>
          </w:tcPr>
          <w:p>
            <w:pPr>
              <w:jc w:val="right"/>
              <w:spacing w:after="0"/>
              <w:rPr>
                <w:sz w:val="20"/>
                <w:szCs w:val="20"/>
                <w:color w:val="auto"/>
              </w:rPr>
            </w:pPr>
            <w:r>
              <w:rPr>
                <w:rFonts w:ascii="Arial" w:cs="Arial" w:eastAsia="Arial" w:hAnsi="Arial"/>
                <w:sz w:val="18"/>
                <w:szCs w:val="18"/>
                <w:color w:val="auto"/>
              </w:rPr>
              <w:t>3,070</w:t>
            </w:r>
          </w:p>
        </w:tc>
      </w:tr>
      <w:tr>
        <w:trPr>
          <w:trHeight w:val="293"/>
        </w:trPr>
        <w:tc>
          <w:tcPr>
            <w:tcW w:w="7580" w:type="dxa"/>
            <w:vAlign w:val="bottom"/>
          </w:tcPr>
          <w:p>
            <w:pPr>
              <w:ind w:left="220"/>
              <w:spacing w:after="0"/>
              <w:rPr>
                <w:sz w:val="20"/>
                <w:szCs w:val="20"/>
                <w:color w:val="auto"/>
              </w:rPr>
            </w:pPr>
            <w:r>
              <w:rPr>
                <w:rFonts w:ascii="Arial" w:cs="Arial" w:eastAsia="Arial" w:hAnsi="Arial"/>
                <w:sz w:val="18"/>
                <w:szCs w:val="18"/>
                <w:b w:val="1"/>
                <w:bCs w:val="1"/>
                <w:color w:val="auto"/>
              </w:rPr>
              <w:t>Worldwide</w:t>
            </w:r>
          </w:p>
        </w:tc>
        <w:tc>
          <w:tcPr>
            <w:tcW w:w="88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5,358</w:t>
            </w:r>
          </w:p>
        </w:tc>
        <w:tc>
          <w:tcPr>
            <w:tcW w:w="1020" w:type="dxa"/>
            <w:vAlign w:val="bottom"/>
          </w:tcPr>
          <w:p>
            <w:pPr>
              <w:jc w:val="right"/>
              <w:ind w:right="148"/>
              <w:spacing w:after="0"/>
              <w:rPr>
                <w:sz w:val="20"/>
                <w:szCs w:val="20"/>
                <w:color w:val="auto"/>
              </w:rPr>
            </w:pPr>
            <w:r>
              <w:rPr>
                <w:rFonts w:ascii="Arial" w:cs="Arial" w:eastAsia="Arial" w:hAnsi="Arial"/>
                <w:sz w:val="18"/>
                <w:szCs w:val="18"/>
                <w:b w:val="1"/>
                <w:bCs w:val="1"/>
                <w:color w:val="auto"/>
              </w:rPr>
              <w:t>5,743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4,776</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4720" w:type="dxa"/>
            <w:vAlign w:val="bottom"/>
            <w:shd w:val="clear" w:color="auto" w:fill="0C479D"/>
          </w:tcPr>
          <w:p>
            <w:pPr>
              <w:ind w:left="20"/>
              <w:spacing w:after="0"/>
              <w:rPr>
                <w:sz w:val="20"/>
                <w:szCs w:val="20"/>
                <w:color w:val="auto"/>
              </w:rPr>
            </w:pPr>
            <w:r>
              <w:rPr>
                <w:rFonts w:ascii="Arial" w:cs="Arial" w:eastAsia="Arial" w:hAnsi="Arial"/>
                <w:sz w:val="20"/>
                <w:szCs w:val="20"/>
                <w:color w:val="FFFFFF"/>
              </w:rPr>
              <w:t>Specialty Products sales, thousand metric tons (kt)</w:t>
            </w:r>
          </w:p>
        </w:tc>
        <w:tc>
          <w:tcPr>
            <w:tcW w:w="2860" w:type="dxa"/>
            <w:vAlign w:val="bottom"/>
            <w:shd w:val="clear" w:color="auto" w:fill="0C479D"/>
          </w:tcPr>
          <w:p>
            <w:pPr>
              <w:spacing w:after="0"/>
              <w:rPr>
                <w:sz w:val="24"/>
                <w:szCs w:val="24"/>
                <w:color w:val="auto"/>
              </w:rPr>
            </w:pPr>
          </w:p>
        </w:tc>
        <w:tc>
          <w:tcPr>
            <w:tcW w:w="88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1Q26</w:t>
            </w:r>
          </w:p>
        </w:tc>
        <w:tc>
          <w:tcPr>
            <w:tcW w:w="1020" w:type="dxa"/>
            <w:vAlign w:val="bottom"/>
            <w:shd w:val="clear" w:color="auto" w:fill="0C479D"/>
          </w:tcPr>
          <w:p>
            <w:pPr>
              <w:jc w:val="right"/>
              <w:ind w:right="68"/>
              <w:spacing w:after="0"/>
              <w:rPr>
                <w:sz w:val="20"/>
                <w:szCs w:val="20"/>
                <w:color w:val="auto"/>
              </w:rPr>
            </w:pPr>
            <w:r>
              <w:rPr>
                <w:rFonts w:ascii="Arial" w:cs="Arial" w:eastAsia="Arial" w:hAnsi="Arial"/>
                <w:sz w:val="20"/>
                <w:szCs w:val="20"/>
                <w:color w:val="FFFFFF"/>
              </w:rPr>
              <w:t>4Q25</w:t>
            </w:r>
          </w:p>
        </w:tc>
        <w:tc>
          <w:tcPr>
            <w:tcW w:w="72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1Q25</w:t>
            </w:r>
          </w:p>
        </w:tc>
      </w:tr>
      <w:tr>
        <w:trPr>
          <w:trHeight w:val="125"/>
        </w:trPr>
        <w:tc>
          <w:tcPr>
            <w:tcW w:w="4720" w:type="dxa"/>
            <w:vAlign w:val="bottom"/>
            <w:shd w:val="clear" w:color="auto" w:fill="0C479D"/>
          </w:tcPr>
          <w:p>
            <w:pPr>
              <w:spacing w:after="0"/>
              <w:rPr>
                <w:sz w:val="10"/>
                <w:szCs w:val="10"/>
                <w:color w:val="auto"/>
              </w:rPr>
            </w:pPr>
          </w:p>
        </w:tc>
        <w:tc>
          <w:tcPr>
            <w:tcW w:w="2860" w:type="dxa"/>
            <w:vAlign w:val="bottom"/>
            <w:shd w:val="clear" w:color="auto" w:fill="0C479D"/>
          </w:tcPr>
          <w:p>
            <w:pPr>
              <w:spacing w:after="0"/>
              <w:rPr>
                <w:sz w:val="10"/>
                <w:szCs w:val="10"/>
                <w:color w:val="auto"/>
              </w:rPr>
            </w:pPr>
          </w:p>
        </w:tc>
        <w:tc>
          <w:tcPr>
            <w:tcW w:w="880" w:type="dxa"/>
            <w:vAlign w:val="bottom"/>
            <w:shd w:val="clear" w:color="auto" w:fill="000000"/>
          </w:tcPr>
          <w:p>
            <w:pPr>
              <w:spacing w:after="0"/>
              <w:rPr>
                <w:sz w:val="10"/>
                <w:szCs w:val="10"/>
                <w:color w:val="auto"/>
              </w:rPr>
            </w:pPr>
          </w:p>
        </w:tc>
        <w:tc>
          <w:tcPr>
            <w:tcW w:w="1020" w:type="dxa"/>
            <w:vAlign w:val="bottom"/>
            <w:shd w:val="clear" w:color="auto" w:fill="0C479D"/>
          </w:tcPr>
          <w:p>
            <w:pPr>
              <w:spacing w:after="0"/>
              <w:rPr>
                <w:sz w:val="10"/>
                <w:szCs w:val="10"/>
                <w:color w:val="auto"/>
              </w:rPr>
            </w:pPr>
          </w:p>
        </w:tc>
        <w:tc>
          <w:tcPr>
            <w:tcW w:w="720" w:type="dxa"/>
            <w:vAlign w:val="bottom"/>
            <w:shd w:val="clear" w:color="auto" w:fill="0C479D"/>
          </w:tcPr>
          <w:p>
            <w:pPr>
              <w:spacing w:after="0"/>
              <w:rPr>
                <w:sz w:val="10"/>
                <w:szCs w:val="10"/>
                <w:color w:val="auto"/>
              </w:rPr>
            </w:pPr>
          </w:p>
        </w:tc>
      </w:tr>
      <w:tr>
        <w:trPr>
          <w:trHeight w:val="247"/>
        </w:trPr>
        <w:tc>
          <w:tcPr>
            <w:tcW w:w="47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860" w:type="dxa"/>
            <w:vAlign w:val="bottom"/>
          </w:tcPr>
          <w:p>
            <w:pPr>
              <w:spacing w:after="0"/>
              <w:rPr>
                <w:sz w:val="21"/>
                <w:szCs w:val="21"/>
                <w:color w:val="auto"/>
              </w:rPr>
            </w:pPr>
          </w:p>
        </w:tc>
        <w:tc>
          <w:tcPr>
            <w:tcW w:w="88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536</w:t>
            </w:r>
          </w:p>
        </w:tc>
        <w:tc>
          <w:tcPr>
            <w:tcW w:w="1020" w:type="dxa"/>
            <w:vAlign w:val="bottom"/>
          </w:tcPr>
          <w:p>
            <w:pPr>
              <w:jc w:val="right"/>
              <w:ind w:right="148"/>
              <w:spacing w:after="0"/>
              <w:rPr>
                <w:sz w:val="20"/>
                <w:szCs w:val="20"/>
                <w:color w:val="auto"/>
              </w:rPr>
            </w:pPr>
            <w:r>
              <w:rPr>
                <w:rFonts w:ascii="Arial" w:cs="Arial" w:eastAsia="Arial" w:hAnsi="Arial"/>
                <w:sz w:val="18"/>
                <w:szCs w:val="18"/>
                <w:color w:val="auto"/>
              </w:rPr>
              <w:t>443</w:t>
            </w: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0"/>
        </w:trPr>
        <w:tc>
          <w:tcPr>
            <w:tcW w:w="4720" w:type="dxa"/>
            <w:vAlign w:val="bottom"/>
          </w:tcPr>
          <w:p>
            <w:pPr>
              <w:ind w:left="220"/>
              <w:spacing w:after="0"/>
              <w:rPr>
                <w:sz w:val="20"/>
                <w:szCs w:val="20"/>
                <w:color w:val="auto"/>
              </w:rPr>
            </w:pPr>
            <w:r>
              <w:rPr>
                <w:rFonts w:ascii="Arial" w:cs="Arial" w:eastAsia="Arial" w:hAnsi="Arial"/>
                <w:sz w:val="18"/>
                <w:szCs w:val="18"/>
                <w:color w:val="auto"/>
              </w:rPr>
              <w:t>Non-U.S.</w:t>
            </w:r>
          </w:p>
        </w:tc>
        <w:tc>
          <w:tcPr>
            <w:tcW w:w="2860" w:type="dxa"/>
            <w:vAlign w:val="bottom"/>
          </w:tcPr>
          <w:p>
            <w:pPr>
              <w:spacing w:after="0"/>
              <w:rPr>
                <w:sz w:val="23"/>
                <w:szCs w:val="23"/>
                <w:color w:val="auto"/>
              </w:rPr>
            </w:pPr>
          </w:p>
        </w:tc>
        <w:tc>
          <w:tcPr>
            <w:tcW w:w="880" w:type="dxa"/>
            <w:vAlign w:val="bottom"/>
            <w:shd w:val="clear" w:color="auto" w:fill="DCDDDE"/>
          </w:tcPr>
          <w:p>
            <w:pPr>
              <w:jc w:val="right"/>
              <w:ind w:right="8"/>
              <w:spacing w:after="0"/>
              <w:rPr>
                <w:sz w:val="20"/>
                <w:szCs w:val="20"/>
                <w:color w:val="auto"/>
              </w:rPr>
            </w:pPr>
            <w:r>
              <w:rPr>
                <w:rFonts w:ascii="Arial" w:cs="Arial" w:eastAsia="Arial" w:hAnsi="Arial"/>
                <w:sz w:val="18"/>
                <w:szCs w:val="18"/>
                <w:color w:val="auto"/>
              </w:rPr>
              <w:t>1,439</w:t>
            </w:r>
          </w:p>
        </w:tc>
        <w:tc>
          <w:tcPr>
            <w:tcW w:w="1020" w:type="dxa"/>
            <w:vAlign w:val="bottom"/>
          </w:tcPr>
          <w:p>
            <w:pPr>
              <w:jc w:val="right"/>
              <w:ind w:right="148"/>
              <w:spacing w:after="0"/>
              <w:rPr>
                <w:sz w:val="20"/>
                <w:szCs w:val="20"/>
                <w:color w:val="auto"/>
              </w:rPr>
            </w:pPr>
            <w:r>
              <w:rPr>
                <w:rFonts w:ascii="Arial" w:cs="Arial" w:eastAsia="Arial" w:hAnsi="Arial"/>
                <w:sz w:val="18"/>
                <w:szCs w:val="18"/>
                <w:color w:val="auto"/>
              </w:rPr>
              <w:t>1,476</w:t>
            </w:r>
          </w:p>
        </w:tc>
        <w:tc>
          <w:tcPr>
            <w:tcW w:w="72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93"/>
        </w:trPr>
        <w:tc>
          <w:tcPr>
            <w:tcW w:w="4720" w:type="dxa"/>
            <w:vAlign w:val="bottom"/>
          </w:tcPr>
          <w:p>
            <w:pPr>
              <w:ind w:left="220"/>
              <w:spacing w:after="0"/>
              <w:rPr>
                <w:sz w:val="20"/>
                <w:szCs w:val="20"/>
                <w:color w:val="auto"/>
              </w:rPr>
            </w:pPr>
            <w:r>
              <w:rPr>
                <w:rFonts w:ascii="Arial" w:cs="Arial" w:eastAsia="Arial" w:hAnsi="Arial"/>
                <w:sz w:val="18"/>
                <w:szCs w:val="18"/>
                <w:b w:val="1"/>
                <w:bCs w:val="1"/>
                <w:color w:val="auto"/>
              </w:rPr>
              <w:t>Worldwide</w:t>
            </w:r>
          </w:p>
        </w:tc>
        <w:tc>
          <w:tcPr>
            <w:tcW w:w="2860" w:type="dxa"/>
            <w:vAlign w:val="bottom"/>
          </w:tcPr>
          <w:p>
            <w:pPr>
              <w:spacing w:after="0"/>
              <w:rPr>
                <w:sz w:val="24"/>
                <w:szCs w:val="24"/>
                <w:color w:val="auto"/>
              </w:rPr>
            </w:pPr>
          </w:p>
        </w:tc>
        <w:tc>
          <w:tcPr>
            <w:tcW w:w="880" w:type="dxa"/>
            <w:vAlign w:val="bottom"/>
            <w:shd w:val="clear" w:color="auto" w:fill="DCDDDE"/>
          </w:tcPr>
          <w:p>
            <w:pPr>
              <w:jc w:val="right"/>
              <w:ind w:right="8"/>
              <w:spacing w:after="0"/>
              <w:rPr>
                <w:sz w:val="20"/>
                <w:szCs w:val="20"/>
                <w:color w:val="auto"/>
              </w:rPr>
            </w:pPr>
            <w:r>
              <w:rPr>
                <w:rFonts w:ascii="Arial" w:cs="Arial" w:eastAsia="Arial" w:hAnsi="Arial"/>
                <w:sz w:val="18"/>
                <w:szCs w:val="18"/>
                <w:b w:val="1"/>
                <w:bCs w:val="1"/>
                <w:color w:val="auto"/>
              </w:rPr>
              <w:t>1,976</w:t>
            </w:r>
          </w:p>
        </w:tc>
        <w:tc>
          <w:tcPr>
            <w:tcW w:w="1020" w:type="dxa"/>
            <w:vAlign w:val="bottom"/>
          </w:tcPr>
          <w:p>
            <w:pPr>
              <w:jc w:val="right"/>
              <w:ind w:right="148"/>
              <w:spacing w:after="0"/>
              <w:rPr>
                <w:sz w:val="20"/>
                <w:szCs w:val="20"/>
                <w:color w:val="auto"/>
              </w:rPr>
            </w:pPr>
            <w:r>
              <w:rPr>
                <w:rFonts w:ascii="Arial" w:cs="Arial" w:eastAsia="Arial" w:hAnsi="Arial"/>
                <w:sz w:val="18"/>
                <w:szCs w:val="18"/>
                <w:b w:val="1"/>
                <w:bCs w:val="1"/>
                <w:color w:val="auto"/>
              </w:rPr>
              <w:t>1,919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1,936</w:t>
            </w:r>
          </w:p>
        </w:tc>
      </w:tr>
      <w:tr>
        <w:trPr>
          <w:trHeight w:val="888"/>
        </w:trPr>
        <w:tc>
          <w:tcPr>
            <w:tcW w:w="4720" w:type="dxa"/>
            <w:vAlign w:val="bottom"/>
          </w:tcPr>
          <w:p>
            <w:pPr>
              <w:spacing w:after="0"/>
              <w:rPr>
                <w:sz w:val="24"/>
                <w:szCs w:val="24"/>
                <w:color w:val="auto"/>
              </w:rPr>
            </w:pPr>
          </w:p>
        </w:tc>
        <w:tc>
          <w:tcPr>
            <w:tcW w:w="2860" w:type="dxa"/>
            <w:vAlign w:val="bottom"/>
          </w:tcPr>
          <w:p>
            <w:pPr>
              <w:jc w:val="right"/>
              <w:ind w:right="2261"/>
              <w:spacing w:after="0"/>
              <w:rPr>
                <w:sz w:val="20"/>
                <w:szCs w:val="20"/>
                <w:color w:val="auto"/>
              </w:rPr>
            </w:pPr>
            <w:r>
              <w:rPr>
                <w:rFonts w:ascii="Arial" w:cs="Arial" w:eastAsia="Arial" w:hAnsi="Arial"/>
                <w:sz w:val="20"/>
                <w:szCs w:val="20"/>
                <w:color w:val="auto"/>
              </w:rPr>
              <w:t>18</w:t>
            </w: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00"/>
          </w:cols>
          <w:pgMar w:left="840" w:top="733" w:right="859" w:bottom="1440" w:gutter="0" w:footer="0" w:header="0"/>
        </w:sectPr>
      </w:pPr>
    </w:p>
    <w:bookmarkStart w:id="22" w:name="page23"/>
    <w:bookmarkEnd w:id="22"/>
    <w:p>
      <w:pPr>
        <w:jc w:val="right"/>
        <w:ind w:right="20"/>
        <w:spacing w:after="0"/>
        <w:rPr>
          <w:sz w:val="20"/>
          <w:szCs w:val="20"/>
          <w:color w:val="auto"/>
        </w:rPr>
      </w:pPr>
      <w:r>
        <w:rPr>
          <w:rFonts w:ascii="Arial" w:cs="Arial" w:eastAsia="Arial" w:hAnsi="Arial"/>
          <w:sz w:val="16"/>
          <w:szCs w:val="16"/>
          <w:b w:val="1"/>
          <w:bCs w:val="1"/>
          <w:color w:val="auto"/>
        </w:rPr>
        <w:t>ATTACHMENT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-115570</wp:posOffset>
            </wp:positionV>
            <wp:extent cx="1285875"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C479D"/>
        </w:rPr>
        <w:t>KEY FIGURES: EARNINGS/(LOSS)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C479D"/>
        </w:rPr>
        <w:t>Results Summary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vMerge w:val="restart"/>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(except per share data)</w:t>
            </w:r>
          </w:p>
        </w:tc>
        <w:tc>
          <w:tcPr>
            <w:tcW w:w="880" w:type="dxa"/>
            <w:vAlign w:val="bottom"/>
            <w:vMerge w:val="restart"/>
            <w:shd w:val="clear" w:color="auto" w:fill="242424"/>
          </w:tcPr>
          <w:p>
            <w:pPr>
              <w:jc w:val="right"/>
              <w:ind w:right="116"/>
              <w:spacing w:after="0"/>
              <w:rPr>
                <w:sz w:val="20"/>
                <w:szCs w:val="20"/>
                <w:color w:val="auto"/>
              </w:rPr>
            </w:pPr>
            <w:r>
              <w:rPr>
                <w:rFonts w:ascii="Arial" w:cs="Arial" w:eastAsia="Arial" w:hAnsi="Arial"/>
                <w:sz w:val="20"/>
                <w:szCs w:val="20"/>
                <w:color w:val="FFFFFF"/>
              </w:rPr>
              <w:t>1Q26</w:t>
            </w:r>
          </w:p>
        </w:tc>
        <w:tc>
          <w:tcPr>
            <w:tcW w:w="880" w:type="dxa"/>
            <w:vAlign w:val="bottom"/>
            <w:vMerge w:val="restart"/>
            <w:shd w:val="clear" w:color="auto" w:fill="0C479D"/>
          </w:tcPr>
          <w:p>
            <w:pPr>
              <w:jc w:val="right"/>
              <w:ind w:right="136"/>
              <w:spacing w:after="0"/>
              <w:rPr>
                <w:sz w:val="20"/>
                <w:szCs w:val="20"/>
                <w:color w:val="auto"/>
              </w:rPr>
            </w:pPr>
            <w:r>
              <w:rPr>
                <w:rFonts w:ascii="Arial" w:cs="Arial" w:eastAsia="Arial" w:hAnsi="Arial"/>
                <w:sz w:val="20"/>
                <w:szCs w:val="20"/>
                <w:color w:val="FFFFFF"/>
              </w:rPr>
              <w:t>4Q25</w:t>
            </w:r>
          </w:p>
        </w:tc>
        <w:tc>
          <w:tcPr>
            <w:tcW w:w="860" w:type="dxa"/>
            <w:vAlign w:val="bottom"/>
            <w:shd w:val="clear" w:color="auto" w:fill="0C479D"/>
          </w:tcPr>
          <w:p>
            <w:pPr>
              <w:jc w:val="center"/>
              <w:spacing w:after="0"/>
              <w:rPr>
                <w:sz w:val="20"/>
                <w:szCs w:val="20"/>
                <w:color w:val="auto"/>
              </w:rPr>
            </w:pPr>
            <w:r>
              <w:rPr>
                <w:rFonts w:ascii="Arial" w:cs="Arial" w:eastAsia="Arial" w:hAnsi="Arial"/>
                <w:sz w:val="16"/>
                <w:szCs w:val="16"/>
                <w:color w:val="FFFFFF"/>
              </w:rPr>
              <w:t>Change</w:t>
            </w:r>
          </w:p>
        </w:tc>
        <w:tc>
          <w:tcPr>
            <w:tcW w:w="860" w:type="dxa"/>
            <w:vAlign w:val="bottom"/>
            <w:vMerge w:val="restart"/>
            <w:shd w:val="clear" w:color="auto" w:fill="0C479D"/>
          </w:tcPr>
          <w:p>
            <w:pPr>
              <w:jc w:val="right"/>
              <w:ind w:right="116"/>
              <w:spacing w:after="0"/>
              <w:rPr>
                <w:sz w:val="20"/>
                <w:szCs w:val="20"/>
                <w:color w:val="auto"/>
              </w:rPr>
            </w:pPr>
            <w:r>
              <w:rPr>
                <w:rFonts w:ascii="Arial" w:cs="Arial" w:eastAsia="Arial" w:hAnsi="Arial"/>
                <w:sz w:val="20"/>
                <w:szCs w:val="20"/>
                <w:color w:val="FFFFFF"/>
              </w:rPr>
              <w:t>1Q25</w:t>
            </w:r>
          </w:p>
        </w:tc>
        <w:tc>
          <w:tcPr>
            <w:tcW w:w="840" w:type="dxa"/>
            <w:vAlign w:val="bottom"/>
            <w:shd w:val="clear" w:color="auto" w:fill="0C479D"/>
          </w:tcPr>
          <w:p>
            <w:pPr>
              <w:jc w:val="center"/>
              <w:spacing w:after="0"/>
              <w:rPr>
                <w:sz w:val="20"/>
                <w:szCs w:val="20"/>
                <w:color w:val="auto"/>
              </w:rPr>
            </w:pPr>
            <w:r>
              <w:rPr>
                <w:rFonts w:ascii="Arial" w:cs="Arial" w:eastAsia="Arial" w:hAnsi="Arial"/>
                <w:sz w:val="16"/>
                <w:szCs w:val="16"/>
                <w:color w:val="FFFFFF"/>
                <w:w w:val="99"/>
              </w:rPr>
              <w:t>Change</w:t>
            </w:r>
          </w:p>
        </w:tc>
        <w:tc>
          <w:tcPr>
            <w:tcW w:w="0" w:type="dxa"/>
            <w:vAlign w:val="bottom"/>
          </w:tcPr>
          <w:p>
            <w:pPr>
              <w:spacing w:after="0"/>
              <w:rPr>
                <w:sz w:val="1"/>
                <w:szCs w:val="1"/>
                <w:color w:val="auto"/>
              </w:rPr>
            </w:pPr>
          </w:p>
        </w:tc>
      </w:tr>
      <w:tr>
        <w:trPr>
          <w:trHeight w:val="176"/>
        </w:trPr>
        <w:tc>
          <w:tcPr>
            <w:tcW w:w="5880" w:type="dxa"/>
            <w:vAlign w:val="bottom"/>
            <w:vMerge w:val="continue"/>
            <w:shd w:val="clear" w:color="auto" w:fill="0C479D"/>
          </w:tcPr>
          <w:p>
            <w:pPr>
              <w:spacing w:after="0"/>
              <w:rPr>
                <w:sz w:val="15"/>
                <w:szCs w:val="15"/>
                <w:color w:val="auto"/>
              </w:rPr>
            </w:pPr>
          </w:p>
        </w:tc>
        <w:tc>
          <w:tcPr>
            <w:tcW w:w="880" w:type="dxa"/>
            <w:vAlign w:val="bottom"/>
            <w:vMerge w:val="continue"/>
            <w:shd w:val="clear" w:color="auto" w:fill="242424"/>
          </w:tcPr>
          <w:p>
            <w:pPr>
              <w:spacing w:after="0"/>
              <w:rPr>
                <w:sz w:val="15"/>
                <w:szCs w:val="15"/>
                <w:color w:val="auto"/>
              </w:rPr>
            </w:pPr>
          </w:p>
        </w:tc>
        <w:tc>
          <w:tcPr>
            <w:tcW w:w="880" w:type="dxa"/>
            <w:vAlign w:val="bottom"/>
            <w:vMerge w:val="continue"/>
            <w:shd w:val="clear" w:color="auto" w:fill="0C479D"/>
          </w:tcPr>
          <w:p>
            <w:pPr>
              <w:spacing w:after="0"/>
              <w:rPr>
                <w:sz w:val="15"/>
                <w:szCs w:val="15"/>
                <w:color w:val="auto"/>
              </w:rPr>
            </w:pPr>
          </w:p>
        </w:tc>
        <w:tc>
          <w:tcPr>
            <w:tcW w:w="860" w:type="dxa"/>
            <w:vAlign w:val="bottom"/>
            <w:shd w:val="clear" w:color="auto" w:fill="0C479D"/>
          </w:tcPr>
          <w:p>
            <w:pPr>
              <w:jc w:val="center"/>
              <w:spacing w:after="0" w:line="175" w:lineRule="exact"/>
              <w:rPr>
                <w:sz w:val="20"/>
                <w:szCs w:val="20"/>
                <w:color w:val="auto"/>
              </w:rPr>
            </w:pPr>
            <w:r>
              <w:rPr>
                <w:rFonts w:ascii="Arial" w:cs="Arial" w:eastAsia="Arial" w:hAnsi="Arial"/>
                <w:sz w:val="16"/>
                <w:szCs w:val="16"/>
                <w:color w:val="FFFFFF"/>
                <w:w w:val="99"/>
              </w:rPr>
              <w:t>vs</w:t>
            </w:r>
          </w:p>
        </w:tc>
        <w:tc>
          <w:tcPr>
            <w:tcW w:w="860" w:type="dxa"/>
            <w:vAlign w:val="bottom"/>
            <w:vMerge w:val="continue"/>
            <w:shd w:val="clear" w:color="auto" w:fill="0C479D"/>
          </w:tcPr>
          <w:p>
            <w:pPr>
              <w:spacing w:after="0"/>
              <w:rPr>
                <w:sz w:val="15"/>
                <w:szCs w:val="15"/>
                <w:color w:val="auto"/>
              </w:rPr>
            </w:pPr>
          </w:p>
        </w:tc>
        <w:tc>
          <w:tcPr>
            <w:tcW w:w="840" w:type="dxa"/>
            <w:vAlign w:val="bottom"/>
            <w:shd w:val="clear" w:color="auto" w:fill="0C479D"/>
          </w:tcPr>
          <w:p>
            <w:pPr>
              <w:jc w:val="center"/>
              <w:spacing w:after="0" w:line="175" w:lineRule="exact"/>
              <w:rPr>
                <w:sz w:val="20"/>
                <w:szCs w:val="20"/>
                <w:color w:val="auto"/>
              </w:rPr>
            </w:pPr>
            <w:r>
              <w:rPr>
                <w:rFonts w:ascii="Arial" w:cs="Arial" w:eastAsia="Arial" w:hAnsi="Arial"/>
                <w:sz w:val="16"/>
                <w:szCs w:val="16"/>
                <w:color w:val="FFFFFF"/>
                <w:w w:val="99"/>
              </w:rPr>
              <w:t>vs</w:t>
            </w:r>
          </w:p>
        </w:tc>
        <w:tc>
          <w:tcPr>
            <w:tcW w:w="0" w:type="dxa"/>
            <w:vAlign w:val="bottom"/>
          </w:tcPr>
          <w:p>
            <w:pPr>
              <w:spacing w:after="0"/>
              <w:rPr>
                <w:sz w:val="1"/>
                <w:szCs w:val="1"/>
                <w:color w:val="auto"/>
              </w:rPr>
            </w:pPr>
          </w:p>
        </w:tc>
      </w:tr>
      <w:tr>
        <w:trPr>
          <w:trHeight w:val="229"/>
        </w:trPr>
        <w:tc>
          <w:tcPr>
            <w:tcW w:w="5880" w:type="dxa"/>
            <w:vAlign w:val="bottom"/>
            <w:shd w:val="clear" w:color="auto" w:fill="0C479D"/>
          </w:tcPr>
          <w:p>
            <w:pPr>
              <w:spacing w:after="0"/>
              <w:rPr>
                <w:sz w:val="19"/>
                <w:szCs w:val="19"/>
                <w:color w:val="auto"/>
              </w:rPr>
            </w:pPr>
          </w:p>
        </w:tc>
        <w:tc>
          <w:tcPr>
            <w:tcW w:w="880" w:type="dxa"/>
            <w:vAlign w:val="bottom"/>
            <w:shd w:val="clear" w:color="auto" w:fill="242424"/>
          </w:tcPr>
          <w:p>
            <w:pPr>
              <w:spacing w:after="0"/>
              <w:rPr>
                <w:sz w:val="19"/>
                <w:szCs w:val="19"/>
                <w:color w:val="auto"/>
              </w:rPr>
            </w:pPr>
          </w:p>
        </w:tc>
        <w:tc>
          <w:tcPr>
            <w:tcW w:w="880" w:type="dxa"/>
            <w:vAlign w:val="bottom"/>
            <w:shd w:val="clear" w:color="auto" w:fill="0C479D"/>
          </w:tcPr>
          <w:p>
            <w:pPr>
              <w:spacing w:after="0"/>
              <w:rPr>
                <w:sz w:val="19"/>
                <w:szCs w:val="19"/>
                <w:color w:val="auto"/>
              </w:rPr>
            </w:pPr>
          </w:p>
        </w:tc>
        <w:tc>
          <w:tcPr>
            <w:tcW w:w="860" w:type="dxa"/>
            <w:vAlign w:val="bottom"/>
            <w:shd w:val="clear" w:color="auto" w:fill="0C479D"/>
          </w:tcPr>
          <w:p>
            <w:pPr>
              <w:jc w:val="center"/>
              <w:spacing w:after="0"/>
              <w:rPr>
                <w:sz w:val="20"/>
                <w:szCs w:val="20"/>
                <w:color w:val="auto"/>
              </w:rPr>
            </w:pPr>
            <w:r>
              <w:rPr>
                <w:rFonts w:ascii="Arial" w:cs="Arial" w:eastAsia="Arial" w:hAnsi="Arial"/>
                <w:sz w:val="16"/>
                <w:szCs w:val="16"/>
                <w:color w:val="FFFFFF"/>
              </w:rPr>
              <w:t>4Q25</w:t>
            </w:r>
          </w:p>
        </w:tc>
        <w:tc>
          <w:tcPr>
            <w:tcW w:w="860" w:type="dxa"/>
            <w:vAlign w:val="bottom"/>
            <w:shd w:val="clear" w:color="auto" w:fill="0C479D"/>
          </w:tcPr>
          <w:p>
            <w:pPr>
              <w:spacing w:after="0"/>
              <w:rPr>
                <w:sz w:val="19"/>
                <w:szCs w:val="19"/>
                <w:color w:val="auto"/>
              </w:rPr>
            </w:pPr>
          </w:p>
        </w:tc>
        <w:tc>
          <w:tcPr>
            <w:tcW w:w="840" w:type="dxa"/>
            <w:vAlign w:val="bottom"/>
            <w:shd w:val="clear" w:color="auto" w:fill="0C479D"/>
          </w:tcPr>
          <w:p>
            <w:pPr>
              <w:jc w:val="center"/>
              <w:spacing w:after="0"/>
              <w:rPr>
                <w:sz w:val="20"/>
                <w:szCs w:val="20"/>
                <w:color w:val="auto"/>
              </w:rPr>
            </w:pPr>
            <w:r>
              <w:rPr>
                <w:rFonts w:ascii="Arial" w:cs="Arial" w:eastAsia="Arial" w:hAnsi="Arial"/>
                <w:sz w:val="16"/>
                <w:szCs w:val="16"/>
                <w:color w:val="FFFFFF"/>
              </w:rPr>
              <w:t>1Q25</w:t>
            </w:r>
          </w:p>
        </w:tc>
        <w:tc>
          <w:tcPr>
            <w:tcW w:w="0" w:type="dxa"/>
            <w:vAlign w:val="bottom"/>
          </w:tcPr>
          <w:p>
            <w:pPr>
              <w:spacing w:after="0"/>
              <w:rPr>
                <w:sz w:val="1"/>
                <w:szCs w:val="1"/>
                <w:color w:val="auto"/>
              </w:rPr>
            </w:pPr>
          </w:p>
        </w:tc>
      </w:tr>
      <w:tr>
        <w:trPr>
          <w:trHeight w:val="241"/>
        </w:trPr>
        <w:tc>
          <w:tcPr>
            <w:tcW w:w="5880" w:type="dxa"/>
            <w:vAlign w:val="bottom"/>
          </w:tcPr>
          <w:p>
            <w:pPr>
              <w:ind w:left="20"/>
              <w:spacing w:after="0"/>
              <w:rPr>
                <w:sz w:val="20"/>
                <w:szCs w:val="20"/>
                <w:color w:val="auto"/>
              </w:rPr>
            </w:pPr>
            <w:r>
              <w:rPr>
                <w:rFonts w:ascii="Arial" w:cs="Arial" w:eastAsia="Arial" w:hAnsi="Arial"/>
                <w:sz w:val="16"/>
                <w:szCs w:val="16"/>
                <w:color w:val="auto"/>
              </w:rPr>
              <w:t>Earnings (U.S. GAAP)</w:t>
            </w:r>
          </w:p>
        </w:tc>
        <w:tc>
          <w:tcPr>
            <w:tcW w:w="880" w:type="dxa"/>
            <w:vAlign w:val="bottom"/>
            <w:shd w:val="clear" w:color="auto" w:fill="DCDDDE"/>
          </w:tcPr>
          <w:p>
            <w:pPr>
              <w:jc w:val="right"/>
              <w:ind w:right="16"/>
              <w:spacing w:after="0"/>
              <w:rPr>
                <w:sz w:val="20"/>
                <w:szCs w:val="20"/>
                <w:color w:val="auto"/>
              </w:rPr>
            </w:pPr>
            <w:r>
              <w:rPr>
                <w:rFonts w:ascii="Arial" w:cs="Arial" w:eastAsia="Arial" w:hAnsi="Arial"/>
                <w:sz w:val="16"/>
                <w:szCs w:val="16"/>
                <w:color w:val="auto"/>
              </w:rPr>
              <w:t>4,183</w:t>
            </w:r>
          </w:p>
        </w:tc>
        <w:tc>
          <w:tcPr>
            <w:tcW w:w="880" w:type="dxa"/>
            <w:vAlign w:val="bottom"/>
          </w:tcPr>
          <w:p>
            <w:pPr>
              <w:jc w:val="right"/>
              <w:ind w:right="36"/>
              <w:spacing w:after="0"/>
              <w:rPr>
                <w:sz w:val="20"/>
                <w:szCs w:val="20"/>
                <w:color w:val="auto"/>
              </w:rPr>
            </w:pPr>
            <w:r>
              <w:rPr>
                <w:rFonts w:ascii="Arial" w:cs="Arial" w:eastAsia="Arial" w:hAnsi="Arial"/>
                <w:sz w:val="16"/>
                <w:szCs w:val="16"/>
                <w:color w:val="auto"/>
              </w:rPr>
              <w:t>6,501</w:t>
            </w:r>
          </w:p>
        </w:tc>
        <w:tc>
          <w:tcPr>
            <w:tcW w:w="860" w:type="dxa"/>
            <w:vAlign w:val="bottom"/>
          </w:tcPr>
          <w:p>
            <w:pPr>
              <w:jc w:val="center"/>
              <w:spacing w:after="0"/>
              <w:rPr>
                <w:sz w:val="20"/>
                <w:szCs w:val="20"/>
                <w:color w:val="auto"/>
              </w:rPr>
            </w:pPr>
            <w:r>
              <w:rPr>
                <w:rFonts w:ascii="Arial" w:cs="Arial" w:eastAsia="Arial" w:hAnsi="Arial"/>
                <w:sz w:val="16"/>
                <w:szCs w:val="16"/>
                <w:color w:val="auto"/>
              </w:rPr>
              <w:t>-2,318</w:t>
            </w:r>
          </w:p>
        </w:tc>
        <w:tc>
          <w:tcPr>
            <w:tcW w:w="860" w:type="dxa"/>
            <w:vAlign w:val="bottom"/>
          </w:tcPr>
          <w:p>
            <w:pPr>
              <w:jc w:val="right"/>
              <w:ind w:right="56"/>
              <w:spacing w:after="0"/>
              <w:rPr>
                <w:sz w:val="20"/>
                <w:szCs w:val="20"/>
                <w:color w:val="auto"/>
              </w:rPr>
            </w:pPr>
            <w:r>
              <w:rPr>
                <w:rFonts w:ascii="Arial" w:cs="Arial" w:eastAsia="Arial" w:hAnsi="Arial"/>
                <w:sz w:val="16"/>
                <w:szCs w:val="16"/>
                <w:color w:val="auto"/>
              </w:rPr>
              <w:t>7,713</w:t>
            </w:r>
          </w:p>
        </w:tc>
        <w:tc>
          <w:tcPr>
            <w:tcW w:w="840" w:type="dxa"/>
            <w:vAlign w:val="bottom"/>
          </w:tcPr>
          <w:p>
            <w:pPr>
              <w:jc w:val="center"/>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324"/>
        </w:trPr>
        <w:tc>
          <w:tcPr>
            <w:tcW w:w="5880" w:type="dxa"/>
            <w:vAlign w:val="bottom"/>
          </w:tcPr>
          <w:p>
            <w:pPr>
              <w:ind w:left="20"/>
              <w:spacing w:after="0"/>
              <w:rPr>
                <w:sz w:val="20"/>
                <w:szCs w:val="20"/>
                <w:color w:val="auto"/>
              </w:rPr>
            </w:pPr>
            <w:r>
              <w:rPr>
                <w:rFonts w:ascii="Arial" w:cs="Arial" w:eastAsia="Arial" w:hAnsi="Arial"/>
                <w:sz w:val="16"/>
                <w:szCs w:val="16"/>
                <w:color w:val="auto"/>
              </w:rPr>
              <w:t>Earnings Excluding Identified Items (non-GAAP)</w:t>
            </w:r>
          </w:p>
        </w:tc>
        <w:tc>
          <w:tcPr>
            <w:tcW w:w="880" w:type="dxa"/>
            <w:vAlign w:val="bottom"/>
            <w:shd w:val="clear" w:color="auto" w:fill="DCDDDE"/>
          </w:tcPr>
          <w:p>
            <w:pPr>
              <w:jc w:val="right"/>
              <w:ind w:right="16"/>
              <w:spacing w:after="0"/>
              <w:rPr>
                <w:sz w:val="20"/>
                <w:szCs w:val="20"/>
                <w:color w:val="auto"/>
              </w:rPr>
            </w:pPr>
            <w:r>
              <w:rPr>
                <w:rFonts w:ascii="Arial" w:cs="Arial" w:eastAsia="Arial" w:hAnsi="Arial"/>
                <w:sz w:val="16"/>
                <w:szCs w:val="16"/>
                <w:color w:val="auto"/>
              </w:rPr>
              <w:t>4,889</w:t>
            </w:r>
          </w:p>
        </w:tc>
        <w:tc>
          <w:tcPr>
            <w:tcW w:w="880" w:type="dxa"/>
            <w:vAlign w:val="bottom"/>
          </w:tcPr>
          <w:p>
            <w:pPr>
              <w:jc w:val="right"/>
              <w:ind w:right="36"/>
              <w:spacing w:after="0"/>
              <w:rPr>
                <w:sz w:val="20"/>
                <w:szCs w:val="20"/>
                <w:color w:val="auto"/>
              </w:rPr>
            </w:pPr>
            <w:r>
              <w:rPr>
                <w:rFonts w:ascii="Arial" w:cs="Arial" w:eastAsia="Arial" w:hAnsi="Arial"/>
                <w:sz w:val="16"/>
                <w:szCs w:val="16"/>
                <w:color w:val="auto"/>
              </w:rPr>
              <w:t>7,256</w:t>
            </w:r>
          </w:p>
        </w:tc>
        <w:tc>
          <w:tcPr>
            <w:tcW w:w="860" w:type="dxa"/>
            <w:vAlign w:val="bottom"/>
          </w:tcPr>
          <w:p>
            <w:pPr>
              <w:jc w:val="center"/>
              <w:spacing w:after="0"/>
              <w:rPr>
                <w:sz w:val="20"/>
                <w:szCs w:val="20"/>
                <w:color w:val="auto"/>
              </w:rPr>
            </w:pPr>
            <w:r>
              <w:rPr>
                <w:rFonts w:ascii="Arial" w:cs="Arial" w:eastAsia="Arial" w:hAnsi="Arial"/>
                <w:sz w:val="16"/>
                <w:szCs w:val="16"/>
                <w:color w:val="auto"/>
              </w:rPr>
              <w:t>-2,367</w:t>
            </w:r>
          </w:p>
        </w:tc>
        <w:tc>
          <w:tcPr>
            <w:tcW w:w="860" w:type="dxa"/>
            <w:vAlign w:val="bottom"/>
          </w:tcPr>
          <w:p>
            <w:pPr>
              <w:jc w:val="right"/>
              <w:ind w:right="56"/>
              <w:spacing w:after="0"/>
              <w:rPr>
                <w:sz w:val="20"/>
                <w:szCs w:val="20"/>
                <w:color w:val="auto"/>
              </w:rPr>
            </w:pPr>
            <w:r>
              <w:rPr>
                <w:rFonts w:ascii="Arial" w:cs="Arial" w:eastAsia="Arial" w:hAnsi="Arial"/>
                <w:sz w:val="16"/>
                <w:szCs w:val="16"/>
                <w:color w:val="auto"/>
              </w:rPr>
              <w:t>7,713</w:t>
            </w:r>
          </w:p>
        </w:tc>
        <w:tc>
          <w:tcPr>
            <w:tcW w:w="840" w:type="dxa"/>
            <w:vAlign w:val="bottom"/>
          </w:tcPr>
          <w:p>
            <w:pPr>
              <w:jc w:val="center"/>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97"/>
        </w:trPr>
        <w:tc>
          <w:tcPr>
            <w:tcW w:w="5880" w:type="dxa"/>
            <w:vAlign w:val="bottom"/>
          </w:tcPr>
          <w:p>
            <w:pPr>
              <w:ind w:left="20"/>
              <w:spacing w:after="0"/>
              <w:rPr>
                <w:sz w:val="20"/>
                <w:szCs w:val="20"/>
                <w:color w:val="auto"/>
              </w:rPr>
            </w:pPr>
            <w:r>
              <w:rPr>
                <w:rFonts w:ascii="Arial" w:cs="Arial" w:eastAsia="Arial" w:hAnsi="Arial"/>
                <w:sz w:val="16"/>
                <w:szCs w:val="16"/>
                <w:color w:val="auto"/>
              </w:rPr>
              <w:t>Earnings Excluding Identified Items and Estimated Timing Effects (non-GAAP)</w:t>
            </w:r>
          </w:p>
        </w:tc>
        <w:tc>
          <w:tcPr>
            <w:tcW w:w="880" w:type="dxa"/>
            <w:vAlign w:val="bottom"/>
            <w:shd w:val="clear" w:color="auto" w:fill="DCDDDE"/>
          </w:tcPr>
          <w:p>
            <w:pPr>
              <w:jc w:val="right"/>
              <w:ind w:right="16"/>
              <w:spacing w:after="0"/>
              <w:rPr>
                <w:sz w:val="20"/>
                <w:szCs w:val="20"/>
                <w:color w:val="auto"/>
              </w:rPr>
            </w:pPr>
            <w:r>
              <w:rPr>
                <w:rFonts w:ascii="Arial" w:cs="Arial" w:eastAsia="Arial" w:hAnsi="Arial"/>
                <w:sz w:val="16"/>
                <w:szCs w:val="16"/>
                <w:color w:val="auto"/>
              </w:rPr>
              <w:t>8,772</w:t>
            </w:r>
          </w:p>
        </w:tc>
        <w:tc>
          <w:tcPr>
            <w:tcW w:w="880" w:type="dxa"/>
            <w:vAlign w:val="bottom"/>
          </w:tcPr>
          <w:p>
            <w:pPr>
              <w:jc w:val="right"/>
              <w:ind w:right="36"/>
              <w:spacing w:after="0"/>
              <w:rPr>
                <w:sz w:val="20"/>
                <w:szCs w:val="20"/>
                <w:color w:val="auto"/>
              </w:rPr>
            </w:pPr>
            <w:r>
              <w:rPr>
                <w:rFonts w:ascii="Arial" w:cs="Arial" w:eastAsia="Arial" w:hAnsi="Arial"/>
                <w:sz w:val="16"/>
                <w:szCs w:val="16"/>
                <w:color w:val="auto"/>
              </w:rPr>
              <w:t>6,920</w:t>
            </w:r>
          </w:p>
        </w:tc>
        <w:tc>
          <w:tcPr>
            <w:tcW w:w="860" w:type="dxa"/>
            <w:vAlign w:val="bottom"/>
          </w:tcPr>
          <w:p>
            <w:pPr>
              <w:jc w:val="center"/>
              <w:spacing w:after="0"/>
              <w:rPr>
                <w:sz w:val="20"/>
                <w:szCs w:val="20"/>
                <w:color w:val="auto"/>
              </w:rPr>
            </w:pPr>
            <w:r>
              <w:rPr>
                <w:rFonts w:ascii="Arial" w:cs="Arial" w:eastAsia="Arial" w:hAnsi="Arial"/>
                <w:sz w:val="16"/>
                <w:szCs w:val="16"/>
                <w:color w:val="auto"/>
              </w:rPr>
              <w:t>+1,852</w:t>
            </w:r>
          </w:p>
        </w:tc>
        <w:tc>
          <w:tcPr>
            <w:tcW w:w="860" w:type="dxa"/>
            <w:vAlign w:val="bottom"/>
          </w:tcPr>
          <w:p>
            <w:pPr>
              <w:jc w:val="right"/>
              <w:ind w:right="56"/>
              <w:spacing w:after="0"/>
              <w:rPr>
                <w:sz w:val="20"/>
                <w:szCs w:val="20"/>
                <w:color w:val="auto"/>
              </w:rPr>
            </w:pPr>
            <w:r>
              <w:rPr>
                <w:rFonts w:ascii="Arial" w:cs="Arial" w:eastAsia="Arial" w:hAnsi="Arial"/>
                <w:sz w:val="16"/>
                <w:szCs w:val="16"/>
                <w:color w:val="auto"/>
              </w:rPr>
              <w:t>7,584</w:t>
            </w:r>
          </w:p>
        </w:tc>
        <w:tc>
          <w:tcPr>
            <w:tcW w:w="840" w:type="dxa"/>
            <w:vAlign w:val="bottom"/>
          </w:tcPr>
          <w:p>
            <w:pPr>
              <w:jc w:val="center"/>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97"/>
        </w:trPr>
        <w:tc>
          <w:tcPr>
            <w:tcW w:w="5880" w:type="dxa"/>
            <w:vAlign w:val="bottom"/>
          </w:tcPr>
          <w:p>
            <w:pPr>
              <w:ind w:left="20"/>
              <w:spacing w:after="0"/>
              <w:rPr>
                <w:sz w:val="20"/>
                <w:szCs w:val="20"/>
                <w:color w:val="auto"/>
              </w:rPr>
            </w:pPr>
            <w:r>
              <w:rPr>
                <w:rFonts w:ascii="Arial" w:cs="Arial" w:eastAsia="Arial" w:hAnsi="Arial"/>
                <w:sz w:val="16"/>
                <w:szCs w:val="16"/>
                <w:color w:val="auto"/>
              </w:rPr>
              <w:t>Earnings Per Common Share ¹</w:t>
            </w:r>
          </w:p>
        </w:tc>
        <w:tc>
          <w:tcPr>
            <w:tcW w:w="880" w:type="dxa"/>
            <w:vAlign w:val="bottom"/>
            <w:shd w:val="clear" w:color="auto" w:fill="DCDDDE"/>
          </w:tcPr>
          <w:p>
            <w:pPr>
              <w:jc w:val="right"/>
              <w:ind w:right="16"/>
              <w:spacing w:after="0"/>
              <w:rPr>
                <w:sz w:val="20"/>
                <w:szCs w:val="20"/>
                <w:color w:val="auto"/>
              </w:rPr>
            </w:pPr>
            <w:r>
              <w:rPr>
                <w:rFonts w:ascii="Arial" w:cs="Arial" w:eastAsia="Arial" w:hAnsi="Arial"/>
                <w:sz w:val="16"/>
                <w:szCs w:val="16"/>
                <w:color w:val="auto"/>
              </w:rPr>
              <w:t>1.00</w:t>
            </w:r>
          </w:p>
        </w:tc>
        <w:tc>
          <w:tcPr>
            <w:tcW w:w="880" w:type="dxa"/>
            <w:vAlign w:val="bottom"/>
          </w:tcPr>
          <w:p>
            <w:pPr>
              <w:jc w:val="right"/>
              <w:ind w:right="36"/>
              <w:spacing w:after="0"/>
              <w:rPr>
                <w:sz w:val="20"/>
                <w:szCs w:val="20"/>
                <w:color w:val="auto"/>
              </w:rPr>
            </w:pPr>
            <w:r>
              <w:rPr>
                <w:rFonts w:ascii="Arial" w:cs="Arial" w:eastAsia="Arial" w:hAnsi="Arial"/>
                <w:sz w:val="16"/>
                <w:szCs w:val="16"/>
                <w:color w:val="auto"/>
              </w:rPr>
              <w:t>1.53</w:t>
            </w:r>
          </w:p>
        </w:tc>
        <w:tc>
          <w:tcPr>
            <w:tcW w:w="860" w:type="dxa"/>
            <w:vAlign w:val="bottom"/>
          </w:tcPr>
          <w:p>
            <w:pPr>
              <w:jc w:val="center"/>
              <w:spacing w:after="0"/>
              <w:rPr>
                <w:sz w:val="20"/>
                <w:szCs w:val="20"/>
                <w:color w:val="auto"/>
              </w:rPr>
            </w:pPr>
            <w:r>
              <w:rPr>
                <w:rFonts w:ascii="Arial" w:cs="Arial" w:eastAsia="Arial" w:hAnsi="Arial"/>
                <w:sz w:val="16"/>
                <w:szCs w:val="16"/>
                <w:color w:val="auto"/>
              </w:rPr>
              <w:t>-0.53</w:t>
            </w:r>
          </w:p>
        </w:tc>
        <w:tc>
          <w:tcPr>
            <w:tcW w:w="860" w:type="dxa"/>
            <w:vAlign w:val="bottom"/>
          </w:tcPr>
          <w:p>
            <w:pPr>
              <w:jc w:val="right"/>
              <w:ind w:right="56"/>
              <w:spacing w:after="0"/>
              <w:rPr>
                <w:sz w:val="20"/>
                <w:szCs w:val="20"/>
                <w:color w:val="auto"/>
              </w:rPr>
            </w:pPr>
            <w:r>
              <w:rPr>
                <w:rFonts w:ascii="Arial" w:cs="Arial" w:eastAsia="Arial" w:hAnsi="Arial"/>
                <w:sz w:val="16"/>
                <w:szCs w:val="16"/>
                <w:color w:val="auto"/>
              </w:rPr>
              <w:t>1.76</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-0.76</w:t>
            </w:r>
          </w:p>
        </w:tc>
        <w:tc>
          <w:tcPr>
            <w:tcW w:w="0" w:type="dxa"/>
            <w:vAlign w:val="bottom"/>
          </w:tcPr>
          <w:p>
            <w:pPr>
              <w:spacing w:after="0"/>
              <w:rPr>
                <w:sz w:val="1"/>
                <w:szCs w:val="1"/>
                <w:color w:val="auto"/>
              </w:rPr>
            </w:pPr>
          </w:p>
        </w:tc>
      </w:tr>
      <w:tr>
        <w:trPr>
          <w:trHeight w:val="324"/>
        </w:trPr>
        <w:tc>
          <w:tcPr>
            <w:tcW w:w="5880" w:type="dxa"/>
            <w:vAlign w:val="bottom"/>
          </w:tcPr>
          <w:p>
            <w:pPr>
              <w:ind w:left="20"/>
              <w:spacing w:after="0"/>
              <w:rPr>
                <w:sz w:val="20"/>
                <w:szCs w:val="20"/>
                <w:color w:val="auto"/>
              </w:rPr>
            </w:pPr>
            <w:r>
              <w:rPr>
                <w:rFonts w:ascii="Arial" w:cs="Arial" w:eastAsia="Arial" w:hAnsi="Arial"/>
                <w:sz w:val="16"/>
                <w:szCs w:val="16"/>
                <w:color w:val="auto"/>
              </w:rPr>
              <w:t>Earnings Excluding Identified Items Per Common Share (non-GAAP) ¹</w:t>
            </w:r>
          </w:p>
        </w:tc>
        <w:tc>
          <w:tcPr>
            <w:tcW w:w="880" w:type="dxa"/>
            <w:vAlign w:val="bottom"/>
            <w:shd w:val="clear" w:color="auto" w:fill="DCDDDE"/>
          </w:tcPr>
          <w:p>
            <w:pPr>
              <w:jc w:val="right"/>
              <w:ind w:right="16"/>
              <w:spacing w:after="0"/>
              <w:rPr>
                <w:sz w:val="20"/>
                <w:szCs w:val="20"/>
                <w:color w:val="auto"/>
              </w:rPr>
            </w:pPr>
            <w:r>
              <w:rPr>
                <w:rFonts w:ascii="Arial" w:cs="Arial" w:eastAsia="Arial" w:hAnsi="Arial"/>
                <w:sz w:val="16"/>
                <w:szCs w:val="16"/>
                <w:color w:val="auto"/>
              </w:rPr>
              <w:t>1.16</w:t>
            </w:r>
          </w:p>
        </w:tc>
        <w:tc>
          <w:tcPr>
            <w:tcW w:w="880" w:type="dxa"/>
            <w:vAlign w:val="bottom"/>
          </w:tcPr>
          <w:p>
            <w:pPr>
              <w:jc w:val="right"/>
              <w:ind w:right="36"/>
              <w:spacing w:after="0"/>
              <w:rPr>
                <w:sz w:val="20"/>
                <w:szCs w:val="20"/>
                <w:color w:val="auto"/>
              </w:rPr>
            </w:pPr>
            <w:r>
              <w:rPr>
                <w:rFonts w:ascii="Arial" w:cs="Arial" w:eastAsia="Arial" w:hAnsi="Arial"/>
                <w:sz w:val="16"/>
                <w:szCs w:val="16"/>
                <w:color w:val="auto"/>
              </w:rPr>
              <w:t>1.71</w:t>
            </w:r>
          </w:p>
        </w:tc>
        <w:tc>
          <w:tcPr>
            <w:tcW w:w="860" w:type="dxa"/>
            <w:vAlign w:val="bottom"/>
          </w:tcPr>
          <w:p>
            <w:pPr>
              <w:jc w:val="center"/>
              <w:spacing w:after="0"/>
              <w:rPr>
                <w:sz w:val="20"/>
                <w:szCs w:val="20"/>
                <w:color w:val="auto"/>
              </w:rPr>
            </w:pPr>
            <w:r>
              <w:rPr>
                <w:rFonts w:ascii="Arial" w:cs="Arial" w:eastAsia="Arial" w:hAnsi="Arial"/>
                <w:sz w:val="16"/>
                <w:szCs w:val="16"/>
                <w:color w:val="auto"/>
              </w:rPr>
              <w:t>-0.55</w:t>
            </w:r>
          </w:p>
        </w:tc>
        <w:tc>
          <w:tcPr>
            <w:tcW w:w="860" w:type="dxa"/>
            <w:vAlign w:val="bottom"/>
          </w:tcPr>
          <w:p>
            <w:pPr>
              <w:jc w:val="right"/>
              <w:ind w:right="56"/>
              <w:spacing w:after="0"/>
              <w:rPr>
                <w:sz w:val="20"/>
                <w:szCs w:val="20"/>
                <w:color w:val="auto"/>
              </w:rPr>
            </w:pPr>
            <w:r>
              <w:rPr>
                <w:rFonts w:ascii="Arial" w:cs="Arial" w:eastAsia="Arial" w:hAnsi="Arial"/>
                <w:sz w:val="16"/>
                <w:szCs w:val="16"/>
                <w:color w:val="auto"/>
              </w:rPr>
              <w:t>1.76</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-0.60</w:t>
            </w:r>
          </w:p>
        </w:tc>
        <w:tc>
          <w:tcPr>
            <w:tcW w:w="0" w:type="dxa"/>
            <w:vAlign w:val="bottom"/>
          </w:tcPr>
          <w:p>
            <w:pPr>
              <w:spacing w:after="0"/>
              <w:rPr>
                <w:sz w:val="1"/>
                <w:szCs w:val="1"/>
                <w:color w:val="auto"/>
              </w:rPr>
            </w:pPr>
          </w:p>
        </w:tc>
      </w:tr>
      <w:tr>
        <w:trPr>
          <w:trHeight w:val="245"/>
        </w:trPr>
        <w:tc>
          <w:tcPr>
            <w:tcW w:w="5880" w:type="dxa"/>
            <w:vAlign w:val="bottom"/>
          </w:tcPr>
          <w:p>
            <w:pPr>
              <w:ind w:left="20"/>
              <w:spacing w:after="0"/>
              <w:rPr>
                <w:sz w:val="20"/>
                <w:szCs w:val="20"/>
                <w:color w:val="auto"/>
              </w:rPr>
            </w:pPr>
            <w:r>
              <w:rPr>
                <w:rFonts w:ascii="Arial" w:cs="Arial" w:eastAsia="Arial" w:hAnsi="Arial"/>
                <w:sz w:val="16"/>
                <w:szCs w:val="16"/>
                <w:color w:val="auto"/>
              </w:rPr>
              <w:t>Earnings Excluding Identified Items and Estimated Timing Effects Per Common</w:t>
            </w:r>
          </w:p>
        </w:tc>
        <w:tc>
          <w:tcPr>
            <w:tcW w:w="880" w:type="dxa"/>
            <w:vAlign w:val="bottom"/>
            <w:vMerge w:val="restart"/>
            <w:shd w:val="clear" w:color="auto" w:fill="DCDDDE"/>
          </w:tcPr>
          <w:p>
            <w:pPr>
              <w:jc w:val="right"/>
              <w:ind w:right="16"/>
              <w:spacing w:after="0"/>
              <w:rPr>
                <w:sz w:val="20"/>
                <w:szCs w:val="20"/>
                <w:color w:val="auto"/>
              </w:rPr>
            </w:pPr>
            <w:r>
              <w:rPr>
                <w:rFonts w:ascii="Arial" w:cs="Arial" w:eastAsia="Arial" w:hAnsi="Arial"/>
                <w:sz w:val="16"/>
                <w:szCs w:val="16"/>
                <w:color w:val="auto"/>
              </w:rPr>
              <w:t>2.09</w:t>
            </w:r>
          </w:p>
        </w:tc>
        <w:tc>
          <w:tcPr>
            <w:tcW w:w="880" w:type="dxa"/>
            <w:vAlign w:val="bottom"/>
            <w:vMerge w:val="restart"/>
          </w:tcPr>
          <w:p>
            <w:pPr>
              <w:jc w:val="right"/>
              <w:ind w:right="36"/>
              <w:spacing w:after="0"/>
              <w:rPr>
                <w:sz w:val="20"/>
                <w:szCs w:val="20"/>
                <w:color w:val="auto"/>
              </w:rPr>
            </w:pPr>
            <w:r>
              <w:rPr>
                <w:rFonts w:ascii="Arial" w:cs="Arial" w:eastAsia="Arial" w:hAnsi="Arial"/>
                <w:sz w:val="16"/>
                <w:szCs w:val="16"/>
                <w:color w:val="auto"/>
              </w:rPr>
              <w:t>1.63</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+0.46</w:t>
            </w:r>
          </w:p>
        </w:tc>
        <w:tc>
          <w:tcPr>
            <w:tcW w:w="860" w:type="dxa"/>
            <w:vAlign w:val="bottom"/>
            <w:vMerge w:val="restart"/>
          </w:tcPr>
          <w:p>
            <w:pPr>
              <w:jc w:val="right"/>
              <w:ind w:right="56"/>
              <w:spacing w:after="0"/>
              <w:rPr>
                <w:sz w:val="20"/>
                <w:szCs w:val="20"/>
                <w:color w:val="auto"/>
              </w:rPr>
            </w:pPr>
            <w:r>
              <w:rPr>
                <w:rFonts w:ascii="Arial" w:cs="Arial" w:eastAsia="Arial" w:hAnsi="Arial"/>
                <w:sz w:val="16"/>
                <w:szCs w:val="16"/>
                <w:color w:val="auto"/>
              </w:rPr>
              <w:t>1.73</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8"/>
              </w:rPr>
              <w:t>+0.36</w:t>
            </w:r>
          </w:p>
        </w:tc>
        <w:tc>
          <w:tcPr>
            <w:tcW w:w="0" w:type="dxa"/>
            <w:vAlign w:val="bottom"/>
          </w:tcPr>
          <w:p>
            <w:pPr>
              <w:spacing w:after="0"/>
              <w:rPr>
                <w:sz w:val="1"/>
                <w:szCs w:val="1"/>
                <w:color w:val="auto"/>
              </w:rPr>
            </w:pPr>
          </w:p>
        </w:tc>
      </w:tr>
      <w:tr>
        <w:trPr>
          <w:trHeight w:val="133"/>
        </w:trPr>
        <w:tc>
          <w:tcPr>
            <w:tcW w:w="5880" w:type="dxa"/>
            <w:vAlign w:val="bottom"/>
            <w:vMerge w:val="restart"/>
          </w:tcPr>
          <w:p>
            <w:pPr>
              <w:ind w:left="20"/>
              <w:spacing w:after="0"/>
              <w:rPr>
                <w:sz w:val="20"/>
                <w:szCs w:val="20"/>
                <w:color w:val="auto"/>
              </w:rPr>
            </w:pPr>
            <w:r>
              <w:rPr>
                <w:rFonts w:ascii="Arial" w:cs="Arial" w:eastAsia="Arial" w:hAnsi="Arial"/>
                <w:sz w:val="16"/>
                <w:szCs w:val="16"/>
                <w:color w:val="auto"/>
              </w:rPr>
              <w:t>Share (non-GAAP) ¹</w:t>
            </w:r>
          </w:p>
        </w:tc>
        <w:tc>
          <w:tcPr>
            <w:tcW w:w="880" w:type="dxa"/>
            <w:vAlign w:val="bottom"/>
            <w:vMerge w:val="continue"/>
            <w:shd w:val="clear" w:color="auto" w:fill="DCDDDE"/>
          </w:tcPr>
          <w:p>
            <w:pPr>
              <w:spacing w:after="0"/>
              <w:rPr>
                <w:sz w:val="11"/>
                <w:szCs w:val="11"/>
                <w:color w:val="auto"/>
              </w:rPr>
            </w:pPr>
          </w:p>
        </w:tc>
        <w:tc>
          <w:tcPr>
            <w:tcW w:w="8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880" w:type="dxa"/>
            <w:vAlign w:val="bottom"/>
            <w:tcBorders>
              <w:bottom w:val="single" w:sz="8" w:color="0D469D"/>
            </w:tcBorders>
            <w:vMerge w:val="continue"/>
          </w:tcPr>
          <w:p>
            <w:pPr>
              <w:spacing w:after="0"/>
              <w:rPr>
                <w:sz w:val="7"/>
                <w:szCs w:val="7"/>
                <w:color w:val="auto"/>
              </w:rPr>
            </w:pPr>
          </w:p>
        </w:tc>
        <w:tc>
          <w:tcPr>
            <w:tcW w:w="880" w:type="dxa"/>
            <w:vAlign w:val="bottom"/>
            <w:tcBorders>
              <w:bottom w:val="single" w:sz="8" w:color="0D469D"/>
            </w:tcBorders>
            <w:shd w:val="clear" w:color="auto" w:fill="DCDDDE"/>
          </w:tcPr>
          <w:p>
            <w:pPr>
              <w:spacing w:after="0"/>
              <w:rPr>
                <w:sz w:val="7"/>
                <w:szCs w:val="7"/>
                <w:color w:val="auto"/>
              </w:rPr>
            </w:pPr>
          </w:p>
        </w:tc>
        <w:tc>
          <w:tcPr>
            <w:tcW w:w="880" w:type="dxa"/>
            <w:vAlign w:val="bottom"/>
            <w:tcBorders>
              <w:bottom w:val="single" w:sz="8" w:color="0D469D"/>
            </w:tcBorders>
          </w:tcPr>
          <w:p>
            <w:pPr>
              <w:spacing w:after="0"/>
              <w:rPr>
                <w:sz w:val="7"/>
                <w:szCs w:val="7"/>
                <w:color w:val="auto"/>
              </w:rPr>
            </w:pPr>
          </w:p>
        </w:tc>
        <w:tc>
          <w:tcPr>
            <w:tcW w:w="860" w:type="dxa"/>
            <w:vAlign w:val="bottom"/>
            <w:tcBorders>
              <w:bottom w:val="single" w:sz="8" w:color="0D469D"/>
            </w:tcBorders>
          </w:tcPr>
          <w:p>
            <w:pPr>
              <w:spacing w:after="0"/>
              <w:rPr>
                <w:sz w:val="7"/>
                <w:szCs w:val="7"/>
                <w:color w:val="auto"/>
              </w:rPr>
            </w:pPr>
          </w:p>
        </w:tc>
        <w:tc>
          <w:tcPr>
            <w:tcW w:w="860" w:type="dxa"/>
            <w:vAlign w:val="bottom"/>
            <w:tcBorders>
              <w:bottom w:val="single" w:sz="8" w:color="0D469D"/>
            </w:tcBorders>
          </w:tcPr>
          <w:p>
            <w:pPr>
              <w:spacing w:after="0"/>
              <w:rPr>
                <w:sz w:val="7"/>
                <w:szCs w:val="7"/>
                <w:color w:val="auto"/>
              </w:rPr>
            </w:pPr>
          </w:p>
        </w:tc>
        <w:tc>
          <w:tcPr>
            <w:tcW w:w="840" w:type="dxa"/>
            <w:vAlign w:val="bottom"/>
            <w:tcBorders>
              <w:bottom w:val="single" w:sz="8" w:color="0D469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¹ Assuming dilution.</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C479D"/>
        </w:rPr>
        <w:t>4Q25 to 1Q26 Earnings Driver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149860</wp:posOffset>
            </wp:positionV>
            <wp:extent cx="6480810" cy="1765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8081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C479D"/>
        </w:rPr>
        <w:t>EARNINGS/(LOSS) BY QUARTER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355"/>
        </w:trPr>
        <w:tc>
          <w:tcPr>
            <w:tcW w:w="3900" w:type="dxa"/>
            <w:vAlign w:val="bottom"/>
            <w:shd w:val="clear" w:color="auto" w:fill="0C479D"/>
          </w:tcPr>
          <w:p>
            <w:pPr>
              <w:ind w:left="20"/>
              <w:spacing w:after="0"/>
              <w:rPr>
                <w:sz w:val="20"/>
                <w:szCs w:val="20"/>
                <w:color w:val="auto"/>
              </w:rPr>
            </w:pPr>
            <w:r>
              <w:rPr>
                <w:rFonts w:ascii="Arial" w:cs="Arial" w:eastAsia="Arial" w:hAnsi="Arial"/>
                <w:sz w:val="20"/>
                <w:szCs w:val="20"/>
                <w:i w:val="1"/>
                <w:iCs w:val="1"/>
                <w:color w:val="FFFFFF"/>
              </w:rPr>
              <w:t>Dollars in millions (unless otherwise noted)</w:t>
            </w:r>
          </w:p>
        </w:tc>
        <w:tc>
          <w:tcPr>
            <w:tcW w:w="1260" w:type="dxa"/>
            <w:vAlign w:val="bottom"/>
            <w:shd w:val="clear" w:color="auto" w:fill="000000"/>
          </w:tcPr>
          <w:p>
            <w:pPr>
              <w:jc w:val="right"/>
              <w:spacing w:after="0"/>
              <w:rPr>
                <w:sz w:val="20"/>
                <w:szCs w:val="20"/>
                <w:color w:val="auto"/>
              </w:rPr>
            </w:pPr>
            <w:r>
              <w:rPr>
                <w:rFonts w:ascii="Arial" w:cs="Arial" w:eastAsia="Arial" w:hAnsi="Arial"/>
                <w:sz w:val="20"/>
                <w:szCs w:val="20"/>
                <w:color w:val="FFFFFF"/>
              </w:rPr>
              <w:t>2026</w:t>
            </w:r>
          </w:p>
        </w:tc>
        <w:tc>
          <w:tcPr>
            <w:tcW w:w="1560" w:type="dxa"/>
            <w:vAlign w:val="bottom"/>
            <w:shd w:val="clear" w:color="auto" w:fill="0C479D"/>
          </w:tcPr>
          <w:p>
            <w:pPr>
              <w:jc w:val="right"/>
              <w:ind w:right="229"/>
              <w:spacing w:after="0"/>
              <w:rPr>
                <w:sz w:val="20"/>
                <w:szCs w:val="20"/>
                <w:color w:val="auto"/>
              </w:rPr>
            </w:pPr>
            <w:r>
              <w:rPr>
                <w:rFonts w:ascii="Arial" w:cs="Arial" w:eastAsia="Arial" w:hAnsi="Arial"/>
                <w:sz w:val="20"/>
                <w:szCs w:val="20"/>
                <w:color w:val="FFFFFF"/>
              </w:rPr>
              <w:t>2025</w:t>
            </w:r>
          </w:p>
        </w:tc>
        <w:tc>
          <w:tcPr>
            <w:tcW w:w="1260" w:type="dxa"/>
            <w:vAlign w:val="bottom"/>
            <w:shd w:val="clear" w:color="auto" w:fill="0C479D"/>
          </w:tcPr>
          <w:p>
            <w:pPr>
              <w:jc w:val="right"/>
              <w:ind w:right="229"/>
              <w:spacing w:after="0"/>
              <w:rPr>
                <w:sz w:val="20"/>
                <w:szCs w:val="20"/>
                <w:color w:val="auto"/>
              </w:rPr>
            </w:pPr>
            <w:r>
              <w:rPr>
                <w:rFonts w:ascii="Arial" w:cs="Arial" w:eastAsia="Arial" w:hAnsi="Arial"/>
                <w:sz w:val="20"/>
                <w:szCs w:val="20"/>
                <w:color w:val="FFFFFF"/>
              </w:rPr>
              <w:t>2024</w:t>
            </w:r>
          </w:p>
        </w:tc>
        <w:tc>
          <w:tcPr>
            <w:tcW w:w="1260" w:type="dxa"/>
            <w:vAlign w:val="bottom"/>
            <w:shd w:val="clear" w:color="auto" w:fill="0C479D"/>
          </w:tcPr>
          <w:p>
            <w:pPr>
              <w:jc w:val="right"/>
              <w:ind w:right="229"/>
              <w:spacing w:after="0"/>
              <w:rPr>
                <w:sz w:val="20"/>
                <w:szCs w:val="20"/>
                <w:color w:val="auto"/>
              </w:rPr>
            </w:pPr>
            <w:r>
              <w:rPr>
                <w:rFonts w:ascii="Arial" w:cs="Arial" w:eastAsia="Arial" w:hAnsi="Arial"/>
                <w:sz w:val="20"/>
                <w:szCs w:val="20"/>
                <w:color w:val="FFFFFF"/>
              </w:rPr>
              <w:t>2023</w:t>
            </w:r>
          </w:p>
        </w:tc>
        <w:tc>
          <w:tcPr>
            <w:tcW w:w="960" w:type="dxa"/>
            <w:vAlign w:val="bottom"/>
            <w:shd w:val="clear" w:color="auto" w:fill="0C479D"/>
          </w:tcPr>
          <w:p>
            <w:pPr>
              <w:jc w:val="right"/>
              <w:spacing w:after="0"/>
              <w:rPr>
                <w:sz w:val="20"/>
                <w:szCs w:val="20"/>
                <w:color w:val="auto"/>
              </w:rPr>
            </w:pPr>
            <w:r>
              <w:rPr>
                <w:rFonts w:ascii="Arial" w:cs="Arial" w:eastAsia="Arial" w:hAnsi="Arial"/>
                <w:sz w:val="20"/>
                <w:szCs w:val="20"/>
                <w:color w:val="FFFFFF"/>
              </w:rPr>
              <w:t>2022</w:t>
            </w:r>
          </w:p>
        </w:tc>
      </w:tr>
      <w:tr>
        <w:trPr>
          <w:trHeight w:val="125"/>
        </w:trPr>
        <w:tc>
          <w:tcPr>
            <w:tcW w:w="3900" w:type="dxa"/>
            <w:vAlign w:val="bottom"/>
            <w:shd w:val="clear" w:color="auto" w:fill="0C479D"/>
          </w:tcPr>
          <w:p>
            <w:pPr>
              <w:spacing w:after="0"/>
              <w:rPr>
                <w:sz w:val="10"/>
                <w:szCs w:val="10"/>
                <w:color w:val="auto"/>
              </w:rPr>
            </w:pPr>
          </w:p>
        </w:tc>
        <w:tc>
          <w:tcPr>
            <w:tcW w:w="1260" w:type="dxa"/>
            <w:vAlign w:val="bottom"/>
            <w:shd w:val="clear" w:color="auto" w:fill="000000"/>
          </w:tcPr>
          <w:p>
            <w:pPr>
              <w:spacing w:after="0"/>
              <w:rPr>
                <w:sz w:val="10"/>
                <w:szCs w:val="10"/>
                <w:color w:val="auto"/>
              </w:rPr>
            </w:pPr>
          </w:p>
        </w:tc>
        <w:tc>
          <w:tcPr>
            <w:tcW w:w="1560" w:type="dxa"/>
            <w:vAlign w:val="bottom"/>
            <w:shd w:val="clear" w:color="auto" w:fill="0C479D"/>
          </w:tcPr>
          <w:p>
            <w:pPr>
              <w:spacing w:after="0"/>
              <w:rPr>
                <w:sz w:val="10"/>
                <w:szCs w:val="10"/>
                <w:color w:val="auto"/>
              </w:rPr>
            </w:pPr>
          </w:p>
        </w:tc>
        <w:tc>
          <w:tcPr>
            <w:tcW w:w="1260" w:type="dxa"/>
            <w:vAlign w:val="bottom"/>
            <w:shd w:val="clear" w:color="auto" w:fill="0C479D"/>
          </w:tcPr>
          <w:p>
            <w:pPr>
              <w:spacing w:after="0"/>
              <w:rPr>
                <w:sz w:val="10"/>
                <w:szCs w:val="10"/>
                <w:color w:val="auto"/>
              </w:rPr>
            </w:pPr>
          </w:p>
        </w:tc>
        <w:tc>
          <w:tcPr>
            <w:tcW w:w="1260" w:type="dxa"/>
            <w:vAlign w:val="bottom"/>
            <w:shd w:val="clear" w:color="auto" w:fill="0C479D"/>
          </w:tcPr>
          <w:p>
            <w:pPr>
              <w:spacing w:after="0"/>
              <w:rPr>
                <w:sz w:val="10"/>
                <w:szCs w:val="10"/>
                <w:color w:val="auto"/>
              </w:rPr>
            </w:pPr>
          </w:p>
        </w:tc>
        <w:tc>
          <w:tcPr>
            <w:tcW w:w="960" w:type="dxa"/>
            <w:vAlign w:val="bottom"/>
            <w:shd w:val="clear" w:color="auto" w:fill="0C479D"/>
          </w:tcPr>
          <w:p>
            <w:pPr>
              <w:spacing w:after="0"/>
              <w:rPr>
                <w:sz w:val="10"/>
                <w:szCs w:val="10"/>
                <w:color w:val="auto"/>
              </w:rPr>
            </w:pP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2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4,183</w:t>
            </w:r>
          </w:p>
        </w:tc>
        <w:tc>
          <w:tcPr>
            <w:tcW w:w="1560" w:type="dxa"/>
            <w:vAlign w:val="bottom"/>
          </w:tcPr>
          <w:p>
            <w:pPr>
              <w:jc w:val="right"/>
              <w:ind w:right="309"/>
              <w:spacing w:after="0"/>
              <w:rPr>
                <w:sz w:val="20"/>
                <w:szCs w:val="20"/>
                <w:color w:val="auto"/>
              </w:rPr>
            </w:pPr>
            <w:r>
              <w:rPr>
                <w:rFonts w:ascii="Arial" w:cs="Arial" w:eastAsia="Arial" w:hAnsi="Arial"/>
                <w:sz w:val="18"/>
                <w:szCs w:val="18"/>
                <w:color w:val="auto"/>
              </w:rPr>
              <w:t>7,713</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8,220</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11,430</w:t>
            </w:r>
          </w:p>
        </w:tc>
        <w:tc>
          <w:tcPr>
            <w:tcW w:w="960" w:type="dxa"/>
            <w:vAlign w:val="bottom"/>
          </w:tcPr>
          <w:p>
            <w:pPr>
              <w:jc w:val="right"/>
              <w:spacing w:after="0"/>
              <w:rPr>
                <w:sz w:val="20"/>
                <w:szCs w:val="20"/>
                <w:color w:val="auto"/>
              </w:rPr>
            </w:pPr>
            <w:r>
              <w:rPr>
                <w:rFonts w:ascii="Arial" w:cs="Arial" w:eastAsia="Arial" w:hAnsi="Arial"/>
                <w:sz w:val="18"/>
                <w:szCs w:val="18"/>
                <w:color w:val="auto"/>
              </w:rPr>
              <w:t>5,480</w:t>
            </w:r>
          </w:p>
        </w:tc>
      </w:tr>
      <w:tr>
        <w:trPr>
          <w:trHeight w:val="270"/>
        </w:trPr>
        <w:tc>
          <w:tcPr>
            <w:tcW w:w="39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2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9"/>
              <w:spacing w:after="0"/>
              <w:rPr>
                <w:sz w:val="20"/>
                <w:szCs w:val="20"/>
                <w:color w:val="auto"/>
              </w:rPr>
            </w:pPr>
            <w:r>
              <w:rPr>
                <w:rFonts w:ascii="Arial" w:cs="Arial" w:eastAsia="Arial" w:hAnsi="Arial"/>
                <w:sz w:val="18"/>
                <w:szCs w:val="18"/>
                <w:color w:val="auto"/>
              </w:rPr>
              <w:t>7,082</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9,240</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7,880</w:t>
            </w:r>
          </w:p>
        </w:tc>
        <w:tc>
          <w:tcPr>
            <w:tcW w:w="960" w:type="dxa"/>
            <w:vAlign w:val="bottom"/>
          </w:tcPr>
          <w:p>
            <w:pPr>
              <w:jc w:val="right"/>
              <w:spacing w:after="0"/>
              <w:rPr>
                <w:sz w:val="20"/>
                <w:szCs w:val="20"/>
                <w:color w:val="auto"/>
              </w:rPr>
            </w:pPr>
            <w:r>
              <w:rPr>
                <w:rFonts w:ascii="Arial" w:cs="Arial" w:eastAsia="Arial" w:hAnsi="Arial"/>
                <w:sz w:val="18"/>
                <w:szCs w:val="18"/>
                <w:color w:val="auto"/>
              </w:rPr>
              <w:t>17,850</w:t>
            </w:r>
          </w:p>
        </w:tc>
      </w:tr>
      <w:tr>
        <w:trPr>
          <w:trHeight w:val="270"/>
        </w:trPr>
        <w:tc>
          <w:tcPr>
            <w:tcW w:w="39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2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9"/>
              <w:spacing w:after="0"/>
              <w:rPr>
                <w:sz w:val="20"/>
                <w:szCs w:val="20"/>
                <w:color w:val="auto"/>
              </w:rPr>
            </w:pPr>
            <w:r>
              <w:rPr>
                <w:rFonts w:ascii="Arial" w:cs="Arial" w:eastAsia="Arial" w:hAnsi="Arial"/>
                <w:sz w:val="18"/>
                <w:szCs w:val="18"/>
                <w:color w:val="auto"/>
              </w:rPr>
              <w:t>7,548</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8,610</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9,070</w:t>
            </w:r>
          </w:p>
        </w:tc>
        <w:tc>
          <w:tcPr>
            <w:tcW w:w="960" w:type="dxa"/>
            <w:vAlign w:val="bottom"/>
          </w:tcPr>
          <w:p>
            <w:pPr>
              <w:jc w:val="right"/>
              <w:spacing w:after="0"/>
              <w:rPr>
                <w:sz w:val="20"/>
                <w:szCs w:val="20"/>
                <w:color w:val="auto"/>
              </w:rPr>
            </w:pPr>
            <w:r>
              <w:rPr>
                <w:rFonts w:ascii="Arial" w:cs="Arial" w:eastAsia="Arial" w:hAnsi="Arial"/>
                <w:sz w:val="18"/>
                <w:szCs w:val="18"/>
                <w:color w:val="auto"/>
              </w:rPr>
              <w:t>19,660</w:t>
            </w:r>
          </w:p>
        </w:tc>
      </w:tr>
      <w:tr>
        <w:trPr>
          <w:trHeight w:val="293"/>
        </w:trPr>
        <w:tc>
          <w:tcPr>
            <w:tcW w:w="39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26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9"/>
              <w:spacing w:after="0"/>
              <w:rPr>
                <w:sz w:val="20"/>
                <w:szCs w:val="20"/>
                <w:color w:val="auto"/>
              </w:rPr>
            </w:pPr>
            <w:r>
              <w:rPr>
                <w:rFonts w:ascii="Arial" w:cs="Arial" w:eastAsia="Arial" w:hAnsi="Arial"/>
                <w:sz w:val="18"/>
                <w:szCs w:val="18"/>
                <w:color w:val="auto"/>
              </w:rPr>
              <w:t>6,501</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7,610</w:t>
            </w:r>
          </w:p>
        </w:tc>
        <w:tc>
          <w:tcPr>
            <w:tcW w:w="1260" w:type="dxa"/>
            <w:vAlign w:val="bottom"/>
          </w:tcPr>
          <w:p>
            <w:pPr>
              <w:jc w:val="right"/>
              <w:ind w:right="309"/>
              <w:spacing w:after="0"/>
              <w:rPr>
                <w:sz w:val="20"/>
                <w:szCs w:val="20"/>
                <w:color w:val="auto"/>
              </w:rPr>
            </w:pPr>
            <w:r>
              <w:rPr>
                <w:rFonts w:ascii="Arial" w:cs="Arial" w:eastAsia="Arial" w:hAnsi="Arial"/>
                <w:sz w:val="18"/>
                <w:szCs w:val="18"/>
                <w:color w:val="auto"/>
              </w:rPr>
              <w:t>7,630</w:t>
            </w:r>
          </w:p>
        </w:tc>
        <w:tc>
          <w:tcPr>
            <w:tcW w:w="960" w:type="dxa"/>
            <w:vAlign w:val="bottom"/>
          </w:tcPr>
          <w:p>
            <w:pPr>
              <w:jc w:val="right"/>
              <w:spacing w:after="0"/>
              <w:rPr>
                <w:sz w:val="20"/>
                <w:szCs w:val="20"/>
                <w:color w:val="auto"/>
              </w:rPr>
            </w:pPr>
            <w:r>
              <w:rPr>
                <w:rFonts w:ascii="Arial" w:cs="Arial" w:eastAsia="Arial" w:hAnsi="Arial"/>
                <w:sz w:val="18"/>
                <w:szCs w:val="18"/>
                <w:color w:val="auto"/>
              </w:rPr>
              <w:t>12,750</w:t>
            </w:r>
          </w:p>
        </w:tc>
      </w:tr>
      <w:tr>
        <w:trPr>
          <w:trHeight w:val="249"/>
        </w:trPr>
        <w:tc>
          <w:tcPr>
            <w:tcW w:w="3900" w:type="dxa"/>
            <w:vAlign w:val="bottom"/>
            <w:tcBorders>
              <w:top w:val="single" w:sz="8" w:color="0D46A1"/>
              <w:bottom w:val="single" w:sz="8" w:color="0D46A1"/>
            </w:tcBorders>
          </w:tcPr>
          <w:p>
            <w:pPr>
              <w:ind w:left="20"/>
              <w:spacing w:after="0"/>
              <w:rPr>
                <w:sz w:val="20"/>
                <w:szCs w:val="20"/>
                <w:color w:val="auto"/>
              </w:rPr>
            </w:pPr>
            <w:r>
              <w:rPr>
                <w:rFonts w:ascii="Arial" w:cs="Arial" w:eastAsia="Arial" w:hAnsi="Arial"/>
                <w:sz w:val="18"/>
                <w:szCs w:val="18"/>
                <w:b w:val="1"/>
                <w:bCs w:val="1"/>
                <w:color w:val="auto"/>
              </w:rPr>
              <w:t>Full Year</w:t>
            </w:r>
          </w:p>
        </w:tc>
        <w:tc>
          <w:tcPr>
            <w:tcW w:w="1260" w:type="dxa"/>
            <w:vAlign w:val="bottom"/>
            <w:tcBorders>
              <w:top w:val="single" w:sz="8" w:color="0D46A1"/>
              <w:bottom w:val="single" w:sz="8" w:color="0D46A1"/>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0D46A1"/>
              <w:bottom w:val="single" w:sz="8" w:color="0D46A1"/>
            </w:tcBorders>
          </w:tcPr>
          <w:p>
            <w:pPr>
              <w:jc w:val="right"/>
              <w:ind w:right="309"/>
              <w:spacing w:after="0"/>
              <w:rPr>
                <w:sz w:val="20"/>
                <w:szCs w:val="20"/>
                <w:color w:val="auto"/>
              </w:rPr>
            </w:pPr>
            <w:r>
              <w:rPr>
                <w:rFonts w:ascii="Arial" w:cs="Arial" w:eastAsia="Arial" w:hAnsi="Arial"/>
                <w:sz w:val="18"/>
                <w:szCs w:val="18"/>
                <w:b w:val="1"/>
                <w:bCs w:val="1"/>
                <w:color w:val="auto"/>
              </w:rPr>
              <w:t>28,844</w:t>
            </w:r>
          </w:p>
        </w:tc>
        <w:tc>
          <w:tcPr>
            <w:tcW w:w="1260" w:type="dxa"/>
            <w:vAlign w:val="bottom"/>
            <w:tcBorders>
              <w:top w:val="single" w:sz="8" w:color="0D46A1"/>
              <w:bottom w:val="single" w:sz="8" w:color="0D46A1"/>
            </w:tcBorders>
          </w:tcPr>
          <w:p>
            <w:pPr>
              <w:jc w:val="right"/>
              <w:ind w:right="309"/>
              <w:spacing w:after="0"/>
              <w:rPr>
                <w:sz w:val="20"/>
                <w:szCs w:val="20"/>
                <w:color w:val="auto"/>
              </w:rPr>
            </w:pPr>
            <w:r>
              <w:rPr>
                <w:rFonts w:ascii="Arial" w:cs="Arial" w:eastAsia="Arial" w:hAnsi="Arial"/>
                <w:sz w:val="18"/>
                <w:szCs w:val="18"/>
                <w:b w:val="1"/>
                <w:bCs w:val="1"/>
                <w:color w:val="auto"/>
              </w:rPr>
              <w:t>33,680</w:t>
            </w:r>
          </w:p>
        </w:tc>
        <w:tc>
          <w:tcPr>
            <w:tcW w:w="1260" w:type="dxa"/>
            <w:vAlign w:val="bottom"/>
            <w:tcBorders>
              <w:top w:val="single" w:sz="8" w:color="0D46A1"/>
              <w:bottom w:val="single" w:sz="8" w:color="0D46A1"/>
            </w:tcBorders>
          </w:tcPr>
          <w:p>
            <w:pPr>
              <w:jc w:val="right"/>
              <w:ind w:right="309"/>
              <w:spacing w:after="0"/>
              <w:rPr>
                <w:sz w:val="20"/>
                <w:szCs w:val="20"/>
                <w:color w:val="auto"/>
              </w:rPr>
            </w:pPr>
            <w:r>
              <w:rPr>
                <w:rFonts w:ascii="Arial" w:cs="Arial" w:eastAsia="Arial" w:hAnsi="Arial"/>
                <w:sz w:val="18"/>
                <w:szCs w:val="18"/>
                <w:b w:val="1"/>
                <w:bCs w:val="1"/>
                <w:color w:val="auto"/>
              </w:rPr>
              <w:t>36,010</w:t>
            </w:r>
          </w:p>
        </w:tc>
        <w:tc>
          <w:tcPr>
            <w:tcW w:w="960" w:type="dxa"/>
            <w:vAlign w:val="bottom"/>
            <w:tcBorders>
              <w:top w:val="single" w:sz="8" w:color="0D46A1"/>
              <w:bottom w:val="single" w:sz="8" w:color="0D46A1"/>
            </w:tcBorders>
          </w:tcPr>
          <w:p>
            <w:pPr>
              <w:jc w:val="right"/>
              <w:spacing w:after="0"/>
              <w:rPr>
                <w:sz w:val="20"/>
                <w:szCs w:val="20"/>
                <w:color w:val="auto"/>
              </w:rPr>
            </w:pPr>
            <w:r>
              <w:rPr>
                <w:rFonts w:ascii="Arial" w:cs="Arial" w:eastAsia="Arial" w:hAnsi="Arial"/>
                <w:sz w:val="18"/>
                <w:szCs w:val="18"/>
                <w:b w:val="1"/>
                <w:bCs w:val="1"/>
                <w:color w:val="auto"/>
              </w:rPr>
              <w:t>55,740</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466"/>
        </w:trPr>
        <w:tc>
          <w:tcPr>
            <w:tcW w:w="3900" w:type="dxa"/>
            <w:vAlign w:val="bottom"/>
            <w:tcBorders>
              <w:bottom w:val="single" w:sz="8" w:color="0C479D"/>
            </w:tcBorders>
            <w:shd w:val="clear" w:color="auto" w:fill="0C479D"/>
          </w:tcPr>
          <w:p>
            <w:pPr>
              <w:ind w:left="20"/>
              <w:spacing w:after="0"/>
              <w:rPr>
                <w:sz w:val="20"/>
                <w:szCs w:val="20"/>
                <w:color w:val="auto"/>
              </w:rPr>
            </w:pPr>
            <w:r>
              <w:rPr>
                <w:rFonts w:ascii="Arial" w:cs="Arial" w:eastAsia="Arial" w:hAnsi="Arial"/>
                <w:sz w:val="20"/>
                <w:szCs w:val="20"/>
                <w:i w:val="1"/>
                <w:iCs w:val="1"/>
                <w:color w:val="FFFFFF"/>
              </w:rPr>
              <w:t xml:space="preserve">Dollars per common share </w:t>
            </w:r>
            <w:r>
              <w:rPr>
                <w:rFonts w:ascii="Arial" w:cs="Arial" w:eastAsia="Arial" w:hAnsi="Arial"/>
                <w:sz w:val="25"/>
                <w:szCs w:val="25"/>
                <w:i w:val="1"/>
                <w:iCs w:val="1"/>
                <w:color w:val="FFFFFF"/>
                <w:vertAlign w:val="superscript"/>
              </w:rPr>
              <w:t>²</w:t>
            </w:r>
          </w:p>
        </w:tc>
        <w:tc>
          <w:tcPr>
            <w:tcW w:w="12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20"/>
                <w:szCs w:val="20"/>
                <w:color w:val="FFFFFF"/>
              </w:rPr>
              <w:t>2026</w:t>
            </w:r>
          </w:p>
        </w:tc>
        <w:tc>
          <w:tcPr>
            <w:tcW w:w="1640" w:type="dxa"/>
            <w:vAlign w:val="bottom"/>
            <w:tcBorders>
              <w:bottom w:val="single" w:sz="8" w:color="0C479D"/>
            </w:tcBorders>
            <w:shd w:val="clear" w:color="auto" w:fill="0C479D"/>
          </w:tcPr>
          <w:p>
            <w:pPr>
              <w:ind w:left="800"/>
              <w:spacing w:after="0"/>
              <w:rPr>
                <w:sz w:val="20"/>
                <w:szCs w:val="20"/>
                <w:color w:val="auto"/>
              </w:rPr>
            </w:pPr>
            <w:r>
              <w:rPr>
                <w:rFonts w:ascii="Arial" w:cs="Arial" w:eastAsia="Arial" w:hAnsi="Arial"/>
                <w:sz w:val="20"/>
                <w:szCs w:val="20"/>
                <w:color w:val="FFFFFF"/>
              </w:rPr>
              <w:t>2025</w:t>
            </w:r>
          </w:p>
        </w:tc>
        <w:tc>
          <w:tcPr>
            <w:tcW w:w="1260" w:type="dxa"/>
            <w:vAlign w:val="bottom"/>
            <w:tcBorders>
              <w:bottom w:val="single" w:sz="8" w:color="0C479D"/>
            </w:tcBorders>
            <w:shd w:val="clear" w:color="auto" w:fill="0C479D"/>
          </w:tcPr>
          <w:p>
            <w:pPr>
              <w:ind w:left="420"/>
              <w:spacing w:after="0"/>
              <w:rPr>
                <w:sz w:val="20"/>
                <w:szCs w:val="20"/>
                <w:color w:val="auto"/>
              </w:rPr>
            </w:pPr>
            <w:r>
              <w:rPr>
                <w:rFonts w:ascii="Arial" w:cs="Arial" w:eastAsia="Arial" w:hAnsi="Arial"/>
                <w:sz w:val="20"/>
                <w:szCs w:val="20"/>
                <w:color w:val="FFFFFF"/>
              </w:rPr>
              <w:t>2024</w:t>
            </w:r>
          </w:p>
        </w:tc>
        <w:tc>
          <w:tcPr>
            <w:tcW w:w="1240" w:type="dxa"/>
            <w:vAlign w:val="bottom"/>
            <w:tcBorders>
              <w:bottom w:val="single" w:sz="8" w:color="0C479D"/>
            </w:tcBorders>
            <w:shd w:val="clear" w:color="auto" w:fill="0C479D"/>
          </w:tcPr>
          <w:p>
            <w:pPr>
              <w:ind w:left="420"/>
              <w:spacing w:after="0"/>
              <w:rPr>
                <w:sz w:val="20"/>
                <w:szCs w:val="20"/>
                <w:color w:val="auto"/>
              </w:rPr>
            </w:pPr>
            <w:r>
              <w:rPr>
                <w:rFonts w:ascii="Arial" w:cs="Arial" w:eastAsia="Arial" w:hAnsi="Arial"/>
                <w:sz w:val="20"/>
                <w:szCs w:val="20"/>
                <w:color w:val="FFFFFF"/>
              </w:rPr>
              <w:t>2023</w:t>
            </w:r>
          </w:p>
        </w:tc>
        <w:tc>
          <w:tcPr>
            <w:tcW w:w="900" w:type="dxa"/>
            <w:vAlign w:val="bottom"/>
            <w:tcBorders>
              <w:bottom w:val="single" w:sz="8" w:color="0C479D"/>
            </w:tcBorders>
            <w:shd w:val="clear" w:color="auto" w:fill="0C479D"/>
          </w:tcPr>
          <w:p>
            <w:pPr>
              <w:jc w:val="right"/>
              <w:spacing w:after="0"/>
              <w:rPr>
                <w:sz w:val="20"/>
                <w:szCs w:val="20"/>
                <w:color w:val="auto"/>
              </w:rPr>
            </w:pPr>
            <w:r>
              <w:rPr>
                <w:rFonts w:ascii="Arial" w:cs="Arial" w:eastAsia="Arial" w:hAnsi="Arial"/>
                <w:sz w:val="20"/>
                <w:szCs w:val="20"/>
                <w:color w:val="FFFFFF"/>
              </w:rPr>
              <w:t>2022</w:t>
            </w:r>
          </w:p>
        </w:tc>
      </w:tr>
      <w:tr>
        <w:trPr>
          <w:trHeight w:val="247"/>
        </w:trPr>
        <w:tc>
          <w:tcPr>
            <w:tcW w:w="39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12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1.00</w:t>
            </w:r>
          </w:p>
        </w:tc>
        <w:tc>
          <w:tcPr>
            <w:tcW w:w="1640" w:type="dxa"/>
            <w:vAlign w:val="bottom"/>
          </w:tcPr>
          <w:p>
            <w:pPr>
              <w:ind w:left="820"/>
              <w:spacing w:after="0"/>
              <w:rPr>
                <w:sz w:val="20"/>
                <w:szCs w:val="20"/>
                <w:color w:val="auto"/>
              </w:rPr>
            </w:pPr>
            <w:r>
              <w:rPr>
                <w:rFonts w:ascii="Arial" w:cs="Arial" w:eastAsia="Arial" w:hAnsi="Arial"/>
                <w:sz w:val="18"/>
                <w:szCs w:val="18"/>
                <w:color w:val="auto"/>
              </w:rPr>
              <w:t>1.76</w:t>
            </w:r>
          </w:p>
        </w:tc>
        <w:tc>
          <w:tcPr>
            <w:tcW w:w="1260" w:type="dxa"/>
            <w:vAlign w:val="bottom"/>
          </w:tcPr>
          <w:p>
            <w:pPr>
              <w:ind w:left="420"/>
              <w:spacing w:after="0"/>
              <w:rPr>
                <w:sz w:val="20"/>
                <w:szCs w:val="20"/>
                <w:color w:val="auto"/>
              </w:rPr>
            </w:pPr>
            <w:r>
              <w:rPr>
                <w:rFonts w:ascii="Arial" w:cs="Arial" w:eastAsia="Arial" w:hAnsi="Arial"/>
                <w:sz w:val="18"/>
                <w:szCs w:val="18"/>
                <w:color w:val="auto"/>
              </w:rPr>
              <w:t>2.06</w:t>
            </w:r>
          </w:p>
        </w:tc>
        <w:tc>
          <w:tcPr>
            <w:tcW w:w="1240" w:type="dxa"/>
            <w:vAlign w:val="bottom"/>
          </w:tcPr>
          <w:p>
            <w:pPr>
              <w:ind w:left="440"/>
              <w:spacing w:after="0"/>
              <w:rPr>
                <w:sz w:val="20"/>
                <w:szCs w:val="20"/>
                <w:color w:val="auto"/>
              </w:rPr>
            </w:pPr>
            <w:r>
              <w:rPr>
                <w:rFonts w:ascii="Arial" w:cs="Arial" w:eastAsia="Arial" w:hAnsi="Arial"/>
                <w:sz w:val="18"/>
                <w:szCs w:val="18"/>
                <w:color w:val="auto"/>
              </w:rPr>
              <w:t>2.79</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39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2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640" w:type="dxa"/>
            <w:vAlign w:val="bottom"/>
          </w:tcPr>
          <w:p>
            <w:pPr>
              <w:ind w:left="820"/>
              <w:spacing w:after="0"/>
              <w:rPr>
                <w:sz w:val="20"/>
                <w:szCs w:val="20"/>
                <w:color w:val="auto"/>
              </w:rPr>
            </w:pPr>
            <w:r>
              <w:rPr>
                <w:rFonts w:ascii="Arial" w:cs="Arial" w:eastAsia="Arial" w:hAnsi="Arial"/>
                <w:sz w:val="18"/>
                <w:szCs w:val="18"/>
                <w:color w:val="auto"/>
              </w:rPr>
              <w:t>1.64</w:t>
            </w:r>
          </w:p>
        </w:tc>
        <w:tc>
          <w:tcPr>
            <w:tcW w:w="1260" w:type="dxa"/>
            <w:vAlign w:val="bottom"/>
          </w:tcPr>
          <w:p>
            <w:pPr>
              <w:ind w:left="420"/>
              <w:spacing w:after="0"/>
              <w:rPr>
                <w:sz w:val="20"/>
                <w:szCs w:val="20"/>
                <w:color w:val="auto"/>
              </w:rPr>
            </w:pPr>
            <w:r>
              <w:rPr>
                <w:rFonts w:ascii="Arial" w:cs="Arial" w:eastAsia="Arial" w:hAnsi="Arial"/>
                <w:sz w:val="18"/>
                <w:szCs w:val="18"/>
                <w:color w:val="auto"/>
              </w:rPr>
              <w:t>2.14</w:t>
            </w:r>
          </w:p>
        </w:tc>
        <w:tc>
          <w:tcPr>
            <w:tcW w:w="1240" w:type="dxa"/>
            <w:vAlign w:val="bottom"/>
          </w:tcPr>
          <w:p>
            <w:pPr>
              <w:ind w:left="440"/>
              <w:spacing w:after="0"/>
              <w:rPr>
                <w:sz w:val="20"/>
                <w:szCs w:val="20"/>
                <w:color w:val="auto"/>
              </w:rPr>
            </w:pPr>
            <w:r>
              <w:rPr>
                <w:rFonts w:ascii="Arial" w:cs="Arial" w:eastAsia="Arial" w:hAnsi="Arial"/>
                <w:sz w:val="18"/>
                <w:szCs w:val="18"/>
                <w:color w:val="auto"/>
              </w:rPr>
              <w:t>1.94</w:t>
            </w: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0"/>
        </w:trPr>
        <w:tc>
          <w:tcPr>
            <w:tcW w:w="39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1260" w:type="dxa"/>
            <w:vAlign w:val="bottom"/>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640" w:type="dxa"/>
            <w:vAlign w:val="bottom"/>
          </w:tcPr>
          <w:p>
            <w:pPr>
              <w:ind w:left="820"/>
              <w:spacing w:after="0"/>
              <w:rPr>
                <w:sz w:val="20"/>
                <w:szCs w:val="20"/>
                <w:color w:val="auto"/>
              </w:rPr>
            </w:pPr>
            <w:r>
              <w:rPr>
                <w:rFonts w:ascii="Arial" w:cs="Arial" w:eastAsia="Arial" w:hAnsi="Arial"/>
                <w:sz w:val="18"/>
                <w:szCs w:val="18"/>
                <w:color w:val="auto"/>
              </w:rPr>
              <w:t>1.76</w:t>
            </w:r>
          </w:p>
        </w:tc>
        <w:tc>
          <w:tcPr>
            <w:tcW w:w="1260" w:type="dxa"/>
            <w:vAlign w:val="bottom"/>
          </w:tcPr>
          <w:p>
            <w:pPr>
              <w:ind w:left="420"/>
              <w:spacing w:after="0"/>
              <w:rPr>
                <w:sz w:val="20"/>
                <w:szCs w:val="20"/>
                <w:color w:val="auto"/>
              </w:rPr>
            </w:pPr>
            <w:r>
              <w:rPr>
                <w:rFonts w:ascii="Arial" w:cs="Arial" w:eastAsia="Arial" w:hAnsi="Arial"/>
                <w:sz w:val="18"/>
                <w:szCs w:val="18"/>
                <w:color w:val="auto"/>
              </w:rPr>
              <w:t>1.92</w:t>
            </w:r>
          </w:p>
        </w:tc>
        <w:tc>
          <w:tcPr>
            <w:tcW w:w="1240" w:type="dxa"/>
            <w:vAlign w:val="bottom"/>
          </w:tcPr>
          <w:p>
            <w:pPr>
              <w:ind w:left="440"/>
              <w:spacing w:after="0"/>
              <w:rPr>
                <w:sz w:val="20"/>
                <w:szCs w:val="20"/>
                <w:color w:val="auto"/>
              </w:rPr>
            </w:pPr>
            <w:r>
              <w:rPr>
                <w:rFonts w:ascii="Arial" w:cs="Arial" w:eastAsia="Arial" w:hAnsi="Arial"/>
                <w:sz w:val="18"/>
                <w:szCs w:val="18"/>
                <w:color w:val="auto"/>
              </w:rPr>
              <w:t>2.25</w:t>
            </w:r>
          </w:p>
        </w:tc>
        <w:tc>
          <w:tcPr>
            <w:tcW w:w="90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93"/>
        </w:trPr>
        <w:tc>
          <w:tcPr>
            <w:tcW w:w="39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26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8"/>
                <w:szCs w:val="18"/>
                <w:color w:val="auto"/>
              </w:rPr>
              <w:t>—</w:t>
            </w:r>
          </w:p>
        </w:tc>
        <w:tc>
          <w:tcPr>
            <w:tcW w:w="1640" w:type="dxa"/>
            <w:vAlign w:val="bottom"/>
          </w:tcPr>
          <w:p>
            <w:pPr>
              <w:ind w:left="820"/>
              <w:spacing w:after="0"/>
              <w:rPr>
                <w:sz w:val="20"/>
                <w:szCs w:val="20"/>
                <w:color w:val="auto"/>
              </w:rPr>
            </w:pPr>
            <w:r>
              <w:rPr>
                <w:rFonts w:ascii="Arial" w:cs="Arial" w:eastAsia="Arial" w:hAnsi="Arial"/>
                <w:sz w:val="18"/>
                <w:szCs w:val="18"/>
                <w:color w:val="auto"/>
              </w:rPr>
              <w:t>1.53</w:t>
            </w:r>
          </w:p>
        </w:tc>
        <w:tc>
          <w:tcPr>
            <w:tcW w:w="1260" w:type="dxa"/>
            <w:vAlign w:val="bottom"/>
          </w:tcPr>
          <w:p>
            <w:pPr>
              <w:ind w:left="420"/>
              <w:spacing w:after="0"/>
              <w:rPr>
                <w:sz w:val="20"/>
                <w:szCs w:val="20"/>
                <w:color w:val="auto"/>
              </w:rPr>
            </w:pPr>
            <w:r>
              <w:rPr>
                <w:rFonts w:ascii="Arial" w:cs="Arial" w:eastAsia="Arial" w:hAnsi="Arial"/>
                <w:sz w:val="18"/>
                <w:szCs w:val="18"/>
                <w:color w:val="auto"/>
              </w:rPr>
              <w:t>1.72</w:t>
            </w:r>
          </w:p>
        </w:tc>
        <w:tc>
          <w:tcPr>
            <w:tcW w:w="1240" w:type="dxa"/>
            <w:vAlign w:val="bottom"/>
          </w:tcPr>
          <w:p>
            <w:pPr>
              <w:ind w:left="440"/>
              <w:spacing w:after="0"/>
              <w:rPr>
                <w:sz w:val="20"/>
                <w:szCs w:val="20"/>
                <w:color w:val="auto"/>
              </w:rPr>
            </w:pPr>
            <w:r>
              <w:rPr>
                <w:rFonts w:ascii="Arial" w:cs="Arial" w:eastAsia="Arial" w:hAnsi="Arial"/>
                <w:sz w:val="18"/>
                <w:szCs w:val="18"/>
                <w:color w:val="auto"/>
              </w:rPr>
              <w:t>1.91</w:t>
            </w: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49"/>
        </w:trPr>
        <w:tc>
          <w:tcPr>
            <w:tcW w:w="3900" w:type="dxa"/>
            <w:vAlign w:val="bottom"/>
            <w:tcBorders>
              <w:top w:val="single" w:sz="8" w:color="0D46A1"/>
              <w:bottom w:val="single" w:sz="8" w:color="0D46A1"/>
            </w:tcBorders>
          </w:tcPr>
          <w:p>
            <w:pPr>
              <w:ind w:left="20"/>
              <w:spacing w:after="0"/>
              <w:rPr>
                <w:sz w:val="20"/>
                <w:szCs w:val="20"/>
                <w:color w:val="auto"/>
              </w:rPr>
            </w:pPr>
            <w:r>
              <w:rPr>
                <w:rFonts w:ascii="Arial" w:cs="Arial" w:eastAsia="Arial" w:hAnsi="Arial"/>
                <w:sz w:val="18"/>
                <w:szCs w:val="18"/>
                <w:b w:val="1"/>
                <w:bCs w:val="1"/>
                <w:color w:val="auto"/>
              </w:rPr>
              <w:t>Full Year</w:t>
            </w:r>
          </w:p>
        </w:tc>
        <w:tc>
          <w:tcPr>
            <w:tcW w:w="1260" w:type="dxa"/>
            <w:vAlign w:val="bottom"/>
            <w:tcBorders>
              <w:top w:val="single" w:sz="8" w:color="0D46A1"/>
              <w:bottom w:val="single" w:sz="8" w:color="0D46A1"/>
            </w:tcBorders>
            <w:shd w:val="clear" w:color="auto" w:fill="DCDDDE"/>
          </w:tcPr>
          <w:p>
            <w:pPr>
              <w:jc w:val="right"/>
              <w:ind w:right="9"/>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0D46A1"/>
              <w:bottom w:val="single" w:sz="8" w:color="0D46A1"/>
            </w:tcBorders>
          </w:tcPr>
          <w:p>
            <w:pPr>
              <w:ind w:left="820"/>
              <w:spacing w:after="0"/>
              <w:rPr>
                <w:sz w:val="20"/>
                <w:szCs w:val="20"/>
                <w:color w:val="auto"/>
              </w:rPr>
            </w:pPr>
            <w:r>
              <w:rPr>
                <w:rFonts w:ascii="Arial" w:cs="Arial" w:eastAsia="Arial" w:hAnsi="Arial"/>
                <w:sz w:val="18"/>
                <w:szCs w:val="18"/>
                <w:b w:val="1"/>
                <w:bCs w:val="1"/>
                <w:color w:val="auto"/>
              </w:rPr>
              <w:t>6.70</w:t>
            </w:r>
          </w:p>
        </w:tc>
        <w:tc>
          <w:tcPr>
            <w:tcW w:w="1260" w:type="dxa"/>
            <w:vAlign w:val="bottom"/>
            <w:tcBorders>
              <w:top w:val="single" w:sz="8" w:color="0D46A1"/>
              <w:bottom w:val="single" w:sz="8" w:color="0D46A1"/>
            </w:tcBorders>
          </w:tcPr>
          <w:p>
            <w:pPr>
              <w:ind w:left="420"/>
              <w:spacing w:after="0"/>
              <w:rPr>
                <w:sz w:val="20"/>
                <w:szCs w:val="20"/>
                <w:color w:val="auto"/>
              </w:rPr>
            </w:pPr>
            <w:r>
              <w:rPr>
                <w:rFonts w:ascii="Arial" w:cs="Arial" w:eastAsia="Arial" w:hAnsi="Arial"/>
                <w:sz w:val="18"/>
                <w:szCs w:val="18"/>
                <w:b w:val="1"/>
                <w:bCs w:val="1"/>
                <w:color w:val="auto"/>
              </w:rPr>
              <w:t>7.84</w:t>
            </w:r>
          </w:p>
        </w:tc>
        <w:tc>
          <w:tcPr>
            <w:tcW w:w="1240" w:type="dxa"/>
            <w:vAlign w:val="bottom"/>
            <w:tcBorders>
              <w:top w:val="single" w:sz="8" w:color="0D46A1"/>
              <w:bottom w:val="single" w:sz="8" w:color="0D46A1"/>
            </w:tcBorders>
          </w:tcPr>
          <w:p>
            <w:pPr>
              <w:ind w:left="440"/>
              <w:spacing w:after="0"/>
              <w:rPr>
                <w:sz w:val="20"/>
                <w:szCs w:val="20"/>
                <w:color w:val="auto"/>
              </w:rPr>
            </w:pPr>
            <w:r>
              <w:rPr>
                <w:rFonts w:ascii="Arial" w:cs="Arial" w:eastAsia="Arial" w:hAnsi="Arial"/>
                <w:sz w:val="18"/>
                <w:szCs w:val="18"/>
                <w:b w:val="1"/>
                <w:bCs w:val="1"/>
                <w:color w:val="auto"/>
              </w:rPr>
              <w:t>8.89</w:t>
            </w:r>
          </w:p>
        </w:tc>
        <w:tc>
          <w:tcPr>
            <w:tcW w:w="900" w:type="dxa"/>
            <w:vAlign w:val="bottom"/>
            <w:tcBorders>
              <w:top w:val="single" w:sz="8" w:color="0D46A1"/>
              <w:bottom w:val="single" w:sz="8" w:color="0D46A1"/>
            </w:tcBorders>
          </w:tcPr>
          <w:p>
            <w:pPr>
              <w:jc w:val="right"/>
              <w:spacing w:after="0"/>
              <w:rPr>
                <w:sz w:val="20"/>
                <w:szCs w:val="20"/>
                <w:color w:val="auto"/>
              </w:rPr>
            </w:pPr>
            <w:r>
              <w:rPr>
                <w:rFonts w:ascii="Arial" w:cs="Arial" w:eastAsia="Arial" w:hAnsi="Arial"/>
                <w:sz w:val="18"/>
                <w:szCs w:val="18"/>
                <w:b w:val="1"/>
                <w:bCs w:val="1"/>
                <w:color w:val="auto"/>
              </w:rPr>
              <w:t>13.26</w:t>
            </w:r>
          </w:p>
        </w:tc>
      </w:tr>
    </w:tbl>
    <w:p>
      <w:pPr>
        <w:spacing w:after="0" w:line="87" w:lineRule="exact"/>
        <w:rPr>
          <w:sz w:val="20"/>
          <w:szCs w:val="20"/>
          <w:color w:val="auto"/>
        </w:rPr>
      </w:pPr>
    </w:p>
    <w:p>
      <w:pPr>
        <w:ind w:left="100" w:hanging="81"/>
        <w:spacing w:after="0"/>
        <w:tabs>
          <w:tab w:leader="none" w:pos="100"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Computed using the average number of shares outstanding during each period; assuming dilution.</w:t>
      </w:r>
    </w:p>
    <w:p>
      <w:pPr>
        <w:sectPr>
          <w:pgSz w:w="11900" w:h="16838" w:orient="portrait"/>
          <w:cols w:equalWidth="0" w:num="1">
            <w:col w:w="10200"/>
          </w:cols>
          <w:pgMar w:left="840" w:top="733" w:right="8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0200"/>
          </w:cols>
          <w:pgMar w:left="840" w:top="733" w:right="859" w:bottom="1440" w:gutter="0" w:footer="0" w:header="0"/>
          <w:type w:val="continuous"/>
        </w:sectPr>
      </w:pPr>
    </w:p>
    <w:bookmarkStart w:id="23" w:name="page24"/>
    <w:bookmarkEnd w:id="23"/>
    <w:p>
      <w:pPr>
        <w:ind w:left="866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-115570</wp:posOffset>
            </wp:positionV>
            <wp:extent cx="1285875"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257175"/>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assist investors in assessing 1Q26 results, the following disclosures have been made available in the 8-K filing: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1Q26 INVESTOR RELATIONS DATA SUMMARY (PAGE 1 of 1)</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060" w:type="dxa"/>
            <w:vAlign w:val="bottom"/>
            <w:shd w:val="clear" w:color="auto" w:fill="0C479D"/>
          </w:tcPr>
          <w:p>
            <w:pPr>
              <w:ind w:left="20"/>
              <w:spacing w:after="0"/>
              <w:rPr>
                <w:sz w:val="20"/>
                <w:szCs w:val="20"/>
                <w:color w:val="auto"/>
              </w:rPr>
            </w:pPr>
            <w:r>
              <w:rPr>
                <w:rFonts w:ascii="Arial" w:cs="Arial" w:eastAsia="Arial" w:hAnsi="Arial"/>
                <w:sz w:val="20"/>
                <w:szCs w:val="20"/>
                <w:b w:val="1"/>
                <w:bCs w:val="1"/>
                <w:color w:val="FFFFFF"/>
              </w:rPr>
              <w:t>Effective Income Tax Rate</w:t>
            </w:r>
          </w:p>
        </w:tc>
        <w:tc>
          <w:tcPr>
            <w:tcW w:w="1160" w:type="dxa"/>
            <w:vAlign w:val="bottom"/>
            <w:shd w:val="clear" w:color="auto" w:fill="000000"/>
          </w:tcPr>
          <w:p>
            <w:pPr>
              <w:jc w:val="right"/>
              <w:spacing w:after="0"/>
              <w:rPr>
                <w:sz w:val="20"/>
                <w:szCs w:val="20"/>
                <w:color w:val="auto"/>
              </w:rPr>
            </w:pPr>
            <w:r>
              <w:rPr>
                <w:rFonts w:ascii="Arial" w:cs="Arial" w:eastAsia="Arial" w:hAnsi="Arial"/>
                <w:sz w:val="20"/>
                <w:szCs w:val="20"/>
                <w:b w:val="1"/>
                <w:bCs w:val="1"/>
                <w:color w:val="FFFFFF"/>
              </w:rPr>
              <w:t>1Q26</w:t>
            </w:r>
          </w:p>
        </w:tc>
        <w:tc>
          <w:tcPr>
            <w:tcW w:w="1440" w:type="dxa"/>
            <w:vAlign w:val="bottom"/>
            <w:shd w:val="clear" w:color="auto" w:fill="0C479D"/>
          </w:tcPr>
          <w:p>
            <w:pPr>
              <w:jc w:val="right"/>
              <w:ind w:right="226"/>
              <w:spacing w:after="0"/>
              <w:rPr>
                <w:sz w:val="20"/>
                <w:szCs w:val="20"/>
                <w:color w:val="auto"/>
              </w:rPr>
            </w:pPr>
            <w:r>
              <w:rPr>
                <w:rFonts w:ascii="Arial" w:cs="Arial" w:eastAsia="Arial" w:hAnsi="Arial"/>
                <w:sz w:val="20"/>
                <w:szCs w:val="20"/>
                <w:b w:val="1"/>
                <w:bCs w:val="1"/>
                <w:color w:val="FFFFFF"/>
              </w:rPr>
              <w:t>4Q25</w:t>
            </w:r>
          </w:p>
        </w:tc>
        <w:tc>
          <w:tcPr>
            <w:tcW w:w="1160" w:type="dxa"/>
            <w:vAlign w:val="bottom"/>
            <w:shd w:val="clear" w:color="auto" w:fill="0C479D"/>
          </w:tcPr>
          <w:p>
            <w:pPr>
              <w:jc w:val="right"/>
              <w:ind w:right="246"/>
              <w:spacing w:after="0"/>
              <w:rPr>
                <w:sz w:val="20"/>
                <w:szCs w:val="20"/>
                <w:color w:val="auto"/>
              </w:rPr>
            </w:pPr>
            <w:r>
              <w:rPr>
                <w:rFonts w:ascii="Arial" w:cs="Arial" w:eastAsia="Arial" w:hAnsi="Arial"/>
                <w:sz w:val="20"/>
                <w:szCs w:val="20"/>
                <w:b w:val="1"/>
                <w:bCs w:val="1"/>
                <w:color w:val="FFFFFF"/>
              </w:rPr>
              <w:t>3Q25</w:t>
            </w:r>
          </w:p>
        </w:tc>
        <w:tc>
          <w:tcPr>
            <w:tcW w:w="840" w:type="dxa"/>
            <w:vAlign w:val="bottom"/>
            <w:shd w:val="clear" w:color="auto" w:fill="0C479D"/>
          </w:tcPr>
          <w:p>
            <w:pPr>
              <w:jc w:val="right"/>
              <w:spacing w:after="0"/>
              <w:rPr>
                <w:sz w:val="20"/>
                <w:szCs w:val="20"/>
                <w:color w:val="auto"/>
              </w:rPr>
            </w:pPr>
            <w:r>
              <w:rPr>
                <w:rFonts w:ascii="Arial" w:cs="Arial" w:eastAsia="Arial" w:hAnsi="Arial"/>
                <w:sz w:val="20"/>
                <w:szCs w:val="20"/>
                <w:b w:val="1"/>
                <w:bCs w:val="1"/>
                <w:color w:val="FFFFFF"/>
              </w:rPr>
              <w:t>2Q25</w:t>
            </w:r>
          </w:p>
        </w:tc>
      </w:tr>
      <w:tr>
        <w:trPr>
          <w:trHeight w:val="256"/>
        </w:trPr>
        <w:tc>
          <w:tcPr>
            <w:tcW w:w="5060" w:type="dxa"/>
            <w:vAlign w:val="bottom"/>
          </w:tcPr>
          <w:p>
            <w:pPr>
              <w:ind w:left="20"/>
              <w:spacing w:after="0"/>
              <w:rPr>
                <w:sz w:val="20"/>
                <w:szCs w:val="20"/>
                <w:color w:val="auto"/>
              </w:rPr>
            </w:pPr>
            <w:r>
              <w:rPr>
                <w:rFonts w:ascii="Arial" w:cs="Arial" w:eastAsia="Arial" w:hAnsi="Arial"/>
                <w:sz w:val="18"/>
                <w:szCs w:val="18"/>
                <w:color w:val="auto"/>
              </w:rPr>
              <w:t>Effective Income Tax Rate, %</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40 %</w:t>
            </w:r>
          </w:p>
        </w:tc>
        <w:tc>
          <w:tcPr>
            <w:tcW w:w="1440" w:type="dxa"/>
            <w:vAlign w:val="bottom"/>
          </w:tcPr>
          <w:p>
            <w:pPr>
              <w:jc w:val="right"/>
              <w:ind w:right="226"/>
              <w:spacing w:after="0"/>
              <w:rPr>
                <w:sz w:val="20"/>
                <w:szCs w:val="20"/>
                <w:color w:val="auto"/>
              </w:rPr>
            </w:pPr>
            <w:r>
              <w:rPr>
                <w:rFonts w:ascii="Arial" w:cs="Arial" w:eastAsia="Arial" w:hAnsi="Arial"/>
                <w:sz w:val="18"/>
                <w:szCs w:val="18"/>
                <w:color w:val="auto"/>
              </w:rPr>
              <w:t>21 %</w:t>
            </w:r>
          </w:p>
        </w:tc>
        <w:tc>
          <w:tcPr>
            <w:tcW w:w="1160" w:type="dxa"/>
            <w:vAlign w:val="bottom"/>
          </w:tcPr>
          <w:p>
            <w:pPr>
              <w:jc w:val="right"/>
              <w:ind w:right="246"/>
              <w:spacing w:after="0"/>
              <w:rPr>
                <w:sz w:val="20"/>
                <w:szCs w:val="20"/>
                <w:color w:val="auto"/>
              </w:rPr>
            </w:pPr>
            <w:r>
              <w:rPr>
                <w:rFonts w:ascii="Arial" w:cs="Arial" w:eastAsia="Arial" w:hAnsi="Arial"/>
                <w:sz w:val="18"/>
                <w:szCs w:val="18"/>
                <w:color w:val="auto"/>
              </w:rPr>
              <w:t>32 %</w:t>
            </w:r>
          </w:p>
        </w:tc>
        <w:tc>
          <w:tcPr>
            <w:tcW w:w="8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54"/>
        </w:trPr>
        <w:tc>
          <w:tcPr>
            <w:tcW w:w="5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5060" w:type="dxa"/>
            <w:vAlign w:val="bottom"/>
            <w:shd w:val="clear" w:color="auto" w:fill="0C479D"/>
          </w:tcPr>
          <w:p>
            <w:pPr>
              <w:ind w:left="20"/>
              <w:spacing w:after="0"/>
              <w:rPr>
                <w:sz w:val="20"/>
                <w:szCs w:val="20"/>
                <w:color w:val="auto"/>
              </w:rPr>
            </w:pPr>
            <w:r>
              <w:rPr>
                <w:rFonts w:ascii="Arial" w:cs="Arial" w:eastAsia="Arial" w:hAnsi="Arial"/>
                <w:sz w:val="20"/>
                <w:szCs w:val="20"/>
                <w:b w:val="1"/>
                <w:bCs w:val="1"/>
                <w:color w:val="FFFFFF"/>
              </w:rPr>
              <w:t>Common Shares Outstanding, millions</w:t>
            </w:r>
          </w:p>
        </w:tc>
        <w:tc>
          <w:tcPr>
            <w:tcW w:w="1160" w:type="dxa"/>
            <w:vAlign w:val="bottom"/>
            <w:shd w:val="clear" w:color="auto" w:fill="000000"/>
          </w:tcPr>
          <w:p>
            <w:pPr>
              <w:jc w:val="right"/>
              <w:spacing w:after="0"/>
              <w:rPr>
                <w:sz w:val="20"/>
                <w:szCs w:val="20"/>
                <w:color w:val="auto"/>
              </w:rPr>
            </w:pPr>
            <w:r>
              <w:rPr>
                <w:rFonts w:ascii="Arial" w:cs="Arial" w:eastAsia="Arial" w:hAnsi="Arial"/>
                <w:sz w:val="20"/>
                <w:szCs w:val="20"/>
                <w:b w:val="1"/>
                <w:bCs w:val="1"/>
                <w:color w:val="FFFFFF"/>
              </w:rPr>
              <w:t>1Q26</w:t>
            </w:r>
          </w:p>
        </w:tc>
        <w:tc>
          <w:tcPr>
            <w:tcW w:w="1440" w:type="dxa"/>
            <w:vAlign w:val="bottom"/>
            <w:shd w:val="clear" w:color="auto" w:fill="0C479D"/>
          </w:tcPr>
          <w:p>
            <w:pPr>
              <w:jc w:val="right"/>
              <w:ind w:right="226"/>
              <w:spacing w:after="0"/>
              <w:rPr>
                <w:sz w:val="20"/>
                <w:szCs w:val="20"/>
                <w:color w:val="auto"/>
              </w:rPr>
            </w:pPr>
            <w:r>
              <w:rPr>
                <w:rFonts w:ascii="Arial" w:cs="Arial" w:eastAsia="Arial" w:hAnsi="Arial"/>
                <w:sz w:val="20"/>
                <w:szCs w:val="20"/>
                <w:b w:val="1"/>
                <w:bCs w:val="1"/>
                <w:color w:val="FFFFFF"/>
              </w:rPr>
              <w:t>4Q25</w:t>
            </w:r>
          </w:p>
        </w:tc>
        <w:tc>
          <w:tcPr>
            <w:tcW w:w="1160" w:type="dxa"/>
            <w:vAlign w:val="bottom"/>
            <w:shd w:val="clear" w:color="auto" w:fill="0C479D"/>
          </w:tcPr>
          <w:p>
            <w:pPr>
              <w:jc w:val="right"/>
              <w:ind w:right="246"/>
              <w:spacing w:after="0"/>
              <w:rPr>
                <w:sz w:val="20"/>
                <w:szCs w:val="20"/>
                <w:color w:val="auto"/>
              </w:rPr>
            </w:pPr>
            <w:r>
              <w:rPr>
                <w:rFonts w:ascii="Arial" w:cs="Arial" w:eastAsia="Arial" w:hAnsi="Arial"/>
                <w:sz w:val="20"/>
                <w:szCs w:val="20"/>
                <w:b w:val="1"/>
                <w:bCs w:val="1"/>
                <w:color w:val="FFFFFF"/>
              </w:rPr>
              <w:t>3Q25</w:t>
            </w:r>
          </w:p>
        </w:tc>
        <w:tc>
          <w:tcPr>
            <w:tcW w:w="840" w:type="dxa"/>
            <w:vAlign w:val="bottom"/>
            <w:shd w:val="clear" w:color="auto" w:fill="0C479D"/>
          </w:tcPr>
          <w:p>
            <w:pPr>
              <w:jc w:val="right"/>
              <w:spacing w:after="0"/>
              <w:rPr>
                <w:sz w:val="20"/>
                <w:szCs w:val="20"/>
                <w:color w:val="auto"/>
              </w:rPr>
            </w:pPr>
            <w:r>
              <w:rPr>
                <w:rFonts w:ascii="Arial" w:cs="Arial" w:eastAsia="Arial" w:hAnsi="Arial"/>
                <w:sz w:val="20"/>
                <w:szCs w:val="20"/>
                <w:b w:val="1"/>
                <w:bCs w:val="1"/>
                <w:color w:val="FFFFFF"/>
              </w:rPr>
              <w:t>2Q25</w:t>
            </w:r>
          </w:p>
        </w:tc>
      </w:tr>
      <w:tr>
        <w:trPr>
          <w:trHeight w:val="247"/>
        </w:trPr>
        <w:tc>
          <w:tcPr>
            <w:tcW w:w="5060" w:type="dxa"/>
            <w:vAlign w:val="bottom"/>
          </w:tcPr>
          <w:p>
            <w:pPr>
              <w:ind w:left="20"/>
              <w:spacing w:after="0"/>
              <w:rPr>
                <w:sz w:val="20"/>
                <w:szCs w:val="20"/>
                <w:color w:val="auto"/>
              </w:rPr>
            </w:pPr>
            <w:r>
              <w:rPr>
                <w:rFonts w:ascii="Arial" w:cs="Arial" w:eastAsia="Arial" w:hAnsi="Arial"/>
                <w:sz w:val="18"/>
                <w:szCs w:val="18"/>
                <w:color w:val="auto"/>
              </w:rPr>
              <w:t>At quarter end</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4,145</w:t>
            </w:r>
          </w:p>
        </w:tc>
        <w:tc>
          <w:tcPr>
            <w:tcW w:w="1440" w:type="dxa"/>
            <w:vAlign w:val="bottom"/>
          </w:tcPr>
          <w:p>
            <w:pPr>
              <w:jc w:val="right"/>
              <w:ind w:right="226"/>
              <w:spacing w:after="0"/>
              <w:rPr>
                <w:sz w:val="20"/>
                <w:szCs w:val="20"/>
                <w:color w:val="auto"/>
              </w:rPr>
            </w:pPr>
            <w:r>
              <w:rPr>
                <w:rFonts w:ascii="Arial" w:cs="Arial" w:eastAsia="Arial" w:hAnsi="Arial"/>
                <w:sz w:val="18"/>
                <w:szCs w:val="18"/>
                <w:color w:val="auto"/>
              </w:rPr>
              <w:t>4,179</w:t>
            </w:r>
          </w:p>
        </w:tc>
        <w:tc>
          <w:tcPr>
            <w:tcW w:w="1160" w:type="dxa"/>
            <w:vAlign w:val="bottom"/>
          </w:tcPr>
          <w:p>
            <w:pPr>
              <w:jc w:val="right"/>
              <w:ind w:right="246"/>
              <w:spacing w:after="0"/>
              <w:rPr>
                <w:sz w:val="20"/>
                <w:szCs w:val="20"/>
                <w:color w:val="auto"/>
              </w:rPr>
            </w:pPr>
            <w:r>
              <w:rPr>
                <w:rFonts w:ascii="Arial" w:cs="Arial" w:eastAsia="Arial" w:hAnsi="Arial"/>
                <w:sz w:val="18"/>
                <w:szCs w:val="18"/>
                <w:color w:val="auto"/>
              </w:rPr>
              <w:t>4,217</w:t>
            </w:r>
          </w:p>
        </w:tc>
        <w:tc>
          <w:tcPr>
            <w:tcW w:w="840" w:type="dxa"/>
            <w:vAlign w:val="bottom"/>
          </w:tcPr>
          <w:p>
            <w:pPr>
              <w:jc w:val="right"/>
              <w:spacing w:after="0"/>
              <w:rPr>
                <w:sz w:val="20"/>
                <w:szCs w:val="20"/>
                <w:color w:val="auto"/>
              </w:rPr>
            </w:pPr>
            <w:r>
              <w:rPr>
                <w:rFonts w:ascii="Arial" w:cs="Arial" w:eastAsia="Arial" w:hAnsi="Arial"/>
                <w:sz w:val="18"/>
                <w:szCs w:val="18"/>
                <w:color w:val="auto"/>
              </w:rPr>
              <w:t>4,263</w:t>
            </w:r>
          </w:p>
        </w:tc>
      </w:tr>
      <w:tr>
        <w:trPr>
          <w:trHeight w:val="266"/>
        </w:trPr>
        <w:tc>
          <w:tcPr>
            <w:tcW w:w="5060" w:type="dxa"/>
            <w:vAlign w:val="bottom"/>
          </w:tcPr>
          <w:p>
            <w:pPr>
              <w:ind w:left="20"/>
              <w:spacing w:after="0"/>
              <w:rPr>
                <w:sz w:val="20"/>
                <w:szCs w:val="20"/>
                <w:color w:val="auto"/>
              </w:rPr>
            </w:pPr>
            <w:r>
              <w:rPr>
                <w:rFonts w:ascii="Arial" w:cs="Arial" w:eastAsia="Arial" w:hAnsi="Arial"/>
                <w:sz w:val="18"/>
                <w:szCs w:val="18"/>
                <w:color w:val="auto"/>
              </w:rPr>
              <w:t>Weighted-average - assuming dilution</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4,202</w:t>
            </w:r>
          </w:p>
        </w:tc>
        <w:tc>
          <w:tcPr>
            <w:tcW w:w="1440" w:type="dxa"/>
            <w:vAlign w:val="bottom"/>
          </w:tcPr>
          <w:p>
            <w:pPr>
              <w:jc w:val="right"/>
              <w:ind w:right="226"/>
              <w:spacing w:after="0"/>
              <w:rPr>
                <w:sz w:val="20"/>
                <w:szCs w:val="20"/>
                <w:color w:val="auto"/>
              </w:rPr>
            </w:pPr>
            <w:r>
              <w:rPr>
                <w:rFonts w:ascii="Arial" w:cs="Arial" w:eastAsia="Arial" w:hAnsi="Arial"/>
                <w:sz w:val="18"/>
                <w:szCs w:val="18"/>
                <w:color w:val="auto"/>
              </w:rPr>
              <w:t>4,238</w:t>
            </w:r>
          </w:p>
        </w:tc>
        <w:tc>
          <w:tcPr>
            <w:tcW w:w="1160" w:type="dxa"/>
            <w:vAlign w:val="bottom"/>
          </w:tcPr>
          <w:p>
            <w:pPr>
              <w:jc w:val="right"/>
              <w:ind w:right="246"/>
              <w:spacing w:after="0"/>
              <w:rPr>
                <w:sz w:val="20"/>
                <w:szCs w:val="20"/>
                <w:color w:val="auto"/>
              </w:rPr>
            </w:pPr>
            <w:r>
              <w:rPr>
                <w:rFonts w:ascii="Arial" w:cs="Arial" w:eastAsia="Arial" w:hAnsi="Arial"/>
                <w:sz w:val="18"/>
                <w:szCs w:val="18"/>
                <w:color w:val="auto"/>
              </w:rPr>
              <w:t>4,285</w:t>
            </w:r>
          </w:p>
        </w:tc>
        <w:tc>
          <w:tcPr>
            <w:tcW w:w="840" w:type="dxa"/>
            <w:vAlign w:val="bottom"/>
          </w:tcPr>
          <w:p>
            <w:pPr>
              <w:jc w:val="right"/>
              <w:spacing w:after="0"/>
              <w:rPr>
                <w:sz w:val="20"/>
                <w:szCs w:val="20"/>
                <w:color w:val="auto"/>
              </w:rPr>
            </w:pPr>
            <w:r>
              <w:rPr>
                <w:rFonts w:ascii="Arial" w:cs="Arial" w:eastAsia="Arial" w:hAnsi="Arial"/>
                <w:sz w:val="18"/>
                <w:szCs w:val="18"/>
                <w:color w:val="auto"/>
              </w:rPr>
              <w:t>4,331</w:t>
            </w: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720" w:type="dxa"/>
            <w:vAlign w:val="bottom"/>
            <w:shd w:val="clear" w:color="auto" w:fill="0C479D"/>
          </w:tcPr>
          <w:p>
            <w:pPr>
              <w:ind w:left="20"/>
              <w:spacing w:after="0"/>
              <w:rPr>
                <w:sz w:val="20"/>
                <w:szCs w:val="20"/>
                <w:color w:val="auto"/>
              </w:rPr>
            </w:pPr>
            <w:r>
              <w:rPr>
                <w:rFonts w:ascii="Arial" w:cs="Arial" w:eastAsia="Arial" w:hAnsi="Arial"/>
                <w:sz w:val="20"/>
                <w:szCs w:val="20"/>
                <w:b w:val="1"/>
                <w:bCs w:val="1"/>
                <w:color w:val="FFFFFF"/>
              </w:rPr>
              <w:t>Upstream Volume Driver Analysis, koebd</w:t>
            </w:r>
          </w:p>
        </w:tc>
        <w:tc>
          <w:tcPr>
            <w:tcW w:w="2640" w:type="dxa"/>
            <w:vAlign w:val="bottom"/>
            <w:shd w:val="clear" w:color="auto" w:fill="0C479D"/>
          </w:tcPr>
          <w:p>
            <w:pPr>
              <w:ind w:left="840"/>
              <w:spacing w:after="0"/>
              <w:rPr>
                <w:sz w:val="20"/>
                <w:szCs w:val="20"/>
                <w:color w:val="auto"/>
              </w:rPr>
            </w:pPr>
            <w:r>
              <w:rPr>
                <w:rFonts w:ascii="Arial" w:cs="Arial" w:eastAsia="Arial" w:hAnsi="Arial"/>
                <w:sz w:val="20"/>
                <w:szCs w:val="20"/>
                <w:b w:val="1"/>
                <w:bCs w:val="1"/>
                <w:color w:val="FFFFFF"/>
              </w:rPr>
              <w:t>1Q26 vs 4Q25</w:t>
            </w:r>
          </w:p>
        </w:tc>
        <w:tc>
          <w:tcPr>
            <w:tcW w:w="2300" w:type="dxa"/>
            <w:vAlign w:val="bottom"/>
            <w:shd w:val="clear" w:color="auto" w:fill="0C479D"/>
          </w:tcPr>
          <w:p>
            <w:pPr>
              <w:ind w:left="500"/>
              <w:spacing w:after="0"/>
              <w:rPr>
                <w:sz w:val="20"/>
                <w:szCs w:val="20"/>
                <w:color w:val="auto"/>
              </w:rPr>
            </w:pPr>
            <w:r>
              <w:rPr>
                <w:rFonts w:ascii="Arial" w:cs="Arial" w:eastAsia="Arial" w:hAnsi="Arial"/>
                <w:sz w:val="20"/>
                <w:szCs w:val="20"/>
                <w:b w:val="1"/>
                <w:bCs w:val="1"/>
                <w:color w:val="FFFFFF"/>
              </w:rPr>
              <w:t>1Q26 vs 1Q25</w:t>
            </w:r>
          </w:p>
        </w:tc>
      </w:tr>
      <w:tr>
        <w:trPr>
          <w:trHeight w:val="247"/>
        </w:trPr>
        <w:tc>
          <w:tcPr>
            <w:tcW w:w="4720" w:type="dxa"/>
            <w:vAlign w:val="bottom"/>
          </w:tcPr>
          <w:p>
            <w:pPr>
              <w:ind w:left="340"/>
              <w:spacing w:after="0"/>
              <w:rPr>
                <w:sz w:val="20"/>
                <w:szCs w:val="20"/>
                <w:color w:val="auto"/>
              </w:rPr>
            </w:pPr>
            <w:r>
              <w:rPr>
                <w:rFonts w:ascii="Arial" w:cs="Arial" w:eastAsia="Arial" w:hAnsi="Arial"/>
                <w:sz w:val="18"/>
                <w:szCs w:val="18"/>
                <w:color w:val="auto"/>
              </w:rPr>
              <w:t>Prior Period</w:t>
            </w:r>
          </w:p>
        </w:tc>
        <w:tc>
          <w:tcPr>
            <w:tcW w:w="2640" w:type="dxa"/>
            <w:vAlign w:val="bottom"/>
          </w:tcPr>
          <w:p>
            <w:pPr>
              <w:jc w:val="center"/>
              <w:ind w:left="249"/>
              <w:spacing w:after="0"/>
              <w:rPr>
                <w:sz w:val="20"/>
                <w:szCs w:val="20"/>
                <w:color w:val="auto"/>
              </w:rPr>
            </w:pPr>
            <w:r>
              <w:rPr>
                <w:rFonts w:ascii="Arial" w:cs="Arial" w:eastAsia="Arial" w:hAnsi="Arial"/>
                <w:sz w:val="18"/>
                <w:szCs w:val="18"/>
                <w:color w:val="auto"/>
              </w:rPr>
              <w:t>4,988</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4,551</w:t>
            </w:r>
          </w:p>
        </w:tc>
      </w:tr>
      <w:tr>
        <w:trPr>
          <w:trHeight w:val="257"/>
        </w:trPr>
        <w:tc>
          <w:tcPr>
            <w:tcW w:w="4720" w:type="dxa"/>
            <w:vAlign w:val="bottom"/>
          </w:tcPr>
          <w:p>
            <w:pPr>
              <w:ind w:left="560"/>
              <w:spacing w:after="0"/>
              <w:rPr>
                <w:sz w:val="20"/>
                <w:szCs w:val="20"/>
                <w:color w:val="auto"/>
              </w:rPr>
            </w:pPr>
            <w:r>
              <w:rPr>
                <w:rFonts w:ascii="Arial" w:cs="Arial" w:eastAsia="Arial" w:hAnsi="Arial"/>
                <w:sz w:val="18"/>
                <w:szCs w:val="18"/>
                <w:color w:val="auto"/>
              </w:rPr>
              <w:t>Entitlements - Net Interest</w:t>
            </w:r>
          </w:p>
        </w:tc>
        <w:tc>
          <w:tcPr>
            <w:tcW w:w="2640" w:type="dxa"/>
            <w:vAlign w:val="bottom"/>
          </w:tcPr>
          <w:p>
            <w:pPr>
              <w:jc w:val="center"/>
              <w:ind w:left="249"/>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(27)</w:t>
            </w:r>
          </w:p>
        </w:tc>
      </w:tr>
      <w:tr>
        <w:trPr>
          <w:trHeight w:val="257"/>
        </w:trPr>
        <w:tc>
          <w:tcPr>
            <w:tcW w:w="4720" w:type="dxa"/>
            <w:vAlign w:val="bottom"/>
          </w:tcPr>
          <w:p>
            <w:pPr>
              <w:ind w:left="560"/>
              <w:spacing w:after="0"/>
              <w:rPr>
                <w:sz w:val="20"/>
                <w:szCs w:val="20"/>
                <w:color w:val="auto"/>
              </w:rPr>
            </w:pPr>
            <w:r>
              <w:rPr>
                <w:rFonts w:ascii="Arial" w:cs="Arial" w:eastAsia="Arial" w:hAnsi="Arial"/>
                <w:sz w:val="18"/>
                <w:szCs w:val="18"/>
                <w:color w:val="auto"/>
              </w:rPr>
              <w:t>Entitlements - Price / Spend / Other</w:t>
            </w:r>
          </w:p>
        </w:tc>
        <w:tc>
          <w:tcPr>
            <w:tcW w:w="2640" w:type="dxa"/>
            <w:vAlign w:val="bottom"/>
          </w:tcPr>
          <w:p>
            <w:pPr>
              <w:jc w:val="center"/>
              <w:ind w:left="229"/>
              <w:spacing w:after="0"/>
              <w:rPr>
                <w:sz w:val="20"/>
                <w:szCs w:val="20"/>
                <w:color w:val="auto"/>
              </w:rPr>
            </w:pPr>
            <w:r>
              <w:rPr>
                <w:rFonts w:ascii="Arial" w:cs="Arial" w:eastAsia="Arial" w:hAnsi="Arial"/>
                <w:sz w:val="18"/>
                <w:szCs w:val="18"/>
                <w:color w:val="auto"/>
                <w:w w:val="99"/>
              </w:rPr>
              <w:t>(45)</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57"/>
        </w:trPr>
        <w:tc>
          <w:tcPr>
            <w:tcW w:w="4720" w:type="dxa"/>
            <w:vAlign w:val="bottom"/>
          </w:tcPr>
          <w:p>
            <w:pPr>
              <w:ind w:left="560"/>
              <w:spacing w:after="0"/>
              <w:rPr>
                <w:sz w:val="20"/>
                <w:szCs w:val="20"/>
                <w:color w:val="auto"/>
              </w:rPr>
            </w:pPr>
            <w:r>
              <w:rPr>
                <w:rFonts w:ascii="Arial" w:cs="Arial" w:eastAsia="Arial" w:hAnsi="Arial"/>
                <w:sz w:val="18"/>
                <w:szCs w:val="18"/>
                <w:color w:val="auto"/>
              </w:rPr>
              <w:t>Government Mandates</w:t>
            </w:r>
          </w:p>
        </w:tc>
        <w:tc>
          <w:tcPr>
            <w:tcW w:w="2640" w:type="dxa"/>
            <w:vAlign w:val="bottom"/>
          </w:tcPr>
          <w:p>
            <w:pPr>
              <w:jc w:val="center"/>
              <w:ind w:left="249"/>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56"/>
        </w:trPr>
        <w:tc>
          <w:tcPr>
            <w:tcW w:w="4720" w:type="dxa"/>
            <w:vAlign w:val="bottom"/>
          </w:tcPr>
          <w:p>
            <w:pPr>
              <w:ind w:left="560"/>
              <w:spacing w:after="0"/>
              <w:rPr>
                <w:sz w:val="20"/>
                <w:szCs w:val="20"/>
                <w:color w:val="auto"/>
              </w:rPr>
            </w:pPr>
            <w:r>
              <w:rPr>
                <w:rFonts w:ascii="Arial" w:cs="Arial" w:eastAsia="Arial" w:hAnsi="Arial"/>
                <w:sz w:val="18"/>
                <w:szCs w:val="18"/>
                <w:color w:val="auto"/>
              </w:rPr>
              <w:t>Divestments</w:t>
            </w:r>
          </w:p>
        </w:tc>
        <w:tc>
          <w:tcPr>
            <w:tcW w:w="2640" w:type="dxa"/>
            <w:vAlign w:val="bottom"/>
          </w:tcPr>
          <w:p>
            <w:pPr>
              <w:jc w:val="center"/>
              <w:ind w:left="229"/>
              <w:spacing w:after="0"/>
              <w:rPr>
                <w:sz w:val="20"/>
                <w:szCs w:val="20"/>
                <w:color w:val="auto"/>
              </w:rPr>
            </w:pPr>
            <w:r>
              <w:rPr>
                <w:rFonts w:ascii="Arial" w:cs="Arial" w:eastAsia="Arial" w:hAnsi="Arial"/>
                <w:sz w:val="18"/>
                <w:szCs w:val="18"/>
                <w:color w:val="auto"/>
                <w:w w:val="99"/>
              </w:rPr>
              <w:t>(17)</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(69)</w:t>
            </w:r>
          </w:p>
        </w:tc>
      </w:tr>
      <w:tr>
        <w:trPr>
          <w:trHeight w:val="257"/>
        </w:trPr>
        <w:tc>
          <w:tcPr>
            <w:tcW w:w="4720" w:type="dxa"/>
            <w:vAlign w:val="bottom"/>
          </w:tcPr>
          <w:p>
            <w:pPr>
              <w:ind w:left="560"/>
              <w:spacing w:after="0"/>
              <w:rPr>
                <w:sz w:val="20"/>
                <w:szCs w:val="20"/>
                <w:color w:val="auto"/>
              </w:rPr>
            </w:pPr>
            <w:r>
              <w:rPr>
                <w:rFonts w:ascii="Arial" w:cs="Arial" w:eastAsia="Arial" w:hAnsi="Arial"/>
                <w:sz w:val="18"/>
                <w:szCs w:val="18"/>
                <w:color w:val="auto"/>
              </w:rPr>
              <w:t>Growth / Other</w:t>
            </w:r>
          </w:p>
        </w:tc>
        <w:tc>
          <w:tcPr>
            <w:tcW w:w="2640" w:type="dxa"/>
            <w:vAlign w:val="bottom"/>
          </w:tcPr>
          <w:p>
            <w:pPr>
              <w:jc w:val="center"/>
              <w:ind w:left="249"/>
              <w:spacing w:after="0"/>
              <w:rPr>
                <w:sz w:val="20"/>
                <w:szCs w:val="20"/>
                <w:color w:val="auto"/>
              </w:rPr>
            </w:pPr>
            <w:r>
              <w:rPr>
                <w:rFonts w:ascii="Arial" w:cs="Arial" w:eastAsia="Arial" w:hAnsi="Arial"/>
                <w:sz w:val="18"/>
                <w:szCs w:val="18"/>
                <w:color w:val="auto"/>
                <w:w w:val="99"/>
              </w:rPr>
              <w:t>(332)</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150</w:t>
            </w:r>
          </w:p>
        </w:tc>
      </w:tr>
      <w:tr>
        <w:trPr>
          <w:trHeight w:val="257"/>
        </w:trPr>
        <w:tc>
          <w:tcPr>
            <w:tcW w:w="4720" w:type="dxa"/>
            <w:vAlign w:val="bottom"/>
          </w:tcPr>
          <w:p>
            <w:pPr>
              <w:ind w:left="340"/>
              <w:spacing w:after="0"/>
              <w:rPr>
                <w:sz w:val="20"/>
                <w:szCs w:val="20"/>
                <w:color w:val="auto"/>
              </w:rPr>
            </w:pPr>
            <w:r>
              <w:rPr>
                <w:rFonts w:ascii="Arial" w:cs="Arial" w:eastAsia="Arial" w:hAnsi="Arial"/>
                <w:sz w:val="18"/>
                <w:szCs w:val="18"/>
                <w:color w:val="auto"/>
              </w:rPr>
              <w:t>Current Period</w:t>
            </w:r>
          </w:p>
        </w:tc>
        <w:tc>
          <w:tcPr>
            <w:tcW w:w="2640" w:type="dxa"/>
            <w:vAlign w:val="bottom"/>
          </w:tcPr>
          <w:p>
            <w:pPr>
              <w:jc w:val="center"/>
              <w:ind w:left="249"/>
              <w:spacing w:after="0"/>
              <w:rPr>
                <w:sz w:val="20"/>
                <w:szCs w:val="20"/>
                <w:color w:val="auto"/>
              </w:rPr>
            </w:pPr>
            <w:r>
              <w:rPr>
                <w:rFonts w:ascii="Arial" w:cs="Arial" w:eastAsia="Arial" w:hAnsi="Arial"/>
                <w:sz w:val="18"/>
                <w:szCs w:val="18"/>
                <w:color w:val="auto"/>
              </w:rPr>
              <w:t>4,594</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4,594</w:t>
            </w: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060" w:type="dxa"/>
            <w:vAlign w:val="bottom"/>
            <w:shd w:val="clear" w:color="auto" w:fill="0C479D"/>
          </w:tcPr>
          <w:p>
            <w:pPr>
              <w:ind w:left="20"/>
              <w:spacing w:after="0"/>
              <w:rPr>
                <w:sz w:val="20"/>
                <w:szCs w:val="20"/>
                <w:color w:val="auto"/>
              </w:rPr>
            </w:pPr>
            <w:r>
              <w:rPr>
                <w:rFonts w:ascii="Arial" w:cs="Arial" w:eastAsia="Arial" w:hAnsi="Arial"/>
                <w:sz w:val="20"/>
                <w:szCs w:val="20"/>
                <w:b w:val="1"/>
                <w:bCs w:val="1"/>
                <w:color w:val="FFFFFF"/>
              </w:rPr>
              <w:t>Upstream Realization Data</w:t>
            </w:r>
          </w:p>
        </w:tc>
        <w:tc>
          <w:tcPr>
            <w:tcW w:w="1160" w:type="dxa"/>
            <w:vAlign w:val="bottom"/>
            <w:shd w:val="clear" w:color="auto" w:fill="000000"/>
          </w:tcPr>
          <w:p>
            <w:pPr>
              <w:jc w:val="right"/>
              <w:spacing w:after="0"/>
              <w:rPr>
                <w:sz w:val="20"/>
                <w:szCs w:val="20"/>
                <w:color w:val="auto"/>
              </w:rPr>
            </w:pPr>
            <w:r>
              <w:rPr>
                <w:rFonts w:ascii="Arial" w:cs="Arial" w:eastAsia="Arial" w:hAnsi="Arial"/>
                <w:sz w:val="20"/>
                <w:szCs w:val="20"/>
                <w:b w:val="1"/>
                <w:bCs w:val="1"/>
                <w:color w:val="FFFFFF"/>
              </w:rPr>
              <w:t>1Q26</w:t>
            </w:r>
          </w:p>
        </w:tc>
        <w:tc>
          <w:tcPr>
            <w:tcW w:w="1440" w:type="dxa"/>
            <w:vAlign w:val="bottom"/>
            <w:shd w:val="clear" w:color="auto" w:fill="0C479D"/>
          </w:tcPr>
          <w:p>
            <w:pPr>
              <w:jc w:val="right"/>
              <w:ind w:right="229"/>
              <w:spacing w:after="0"/>
              <w:rPr>
                <w:sz w:val="20"/>
                <w:szCs w:val="20"/>
                <w:color w:val="auto"/>
              </w:rPr>
            </w:pPr>
            <w:r>
              <w:rPr>
                <w:rFonts w:ascii="Arial" w:cs="Arial" w:eastAsia="Arial" w:hAnsi="Arial"/>
                <w:sz w:val="20"/>
                <w:szCs w:val="20"/>
                <w:b w:val="1"/>
                <w:bCs w:val="1"/>
                <w:color w:val="FFFFFF"/>
              </w:rPr>
              <w:t>4Q25</w:t>
            </w:r>
          </w:p>
        </w:tc>
        <w:tc>
          <w:tcPr>
            <w:tcW w:w="1160" w:type="dxa"/>
            <w:vAlign w:val="bottom"/>
            <w:shd w:val="clear" w:color="auto" w:fill="0C479D"/>
          </w:tcPr>
          <w:p>
            <w:pPr>
              <w:jc w:val="right"/>
              <w:ind w:right="249"/>
              <w:spacing w:after="0"/>
              <w:rPr>
                <w:sz w:val="20"/>
                <w:szCs w:val="20"/>
                <w:color w:val="auto"/>
              </w:rPr>
            </w:pPr>
            <w:r>
              <w:rPr>
                <w:rFonts w:ascii="Arial" w:cs="Arial" w:eastAsia="Arial" w:hAnsi="Arial"/>
                <w:sz w:val="20"/>
                <w:szCs w:val="20"/>
                <w:b w:val="1"/>
                <w:bCs w:val="1"/>
                <w:color w:val="FFFFFF"/>
              </w:rPr>
              <w:t>3Q25</w:t>
            </w:r>
          </w:p>
        </w:tc>
        <w:tc>
          <w:tcPr>
            <w:tcW w:w="840" w:type="dxa"/>
            <w:vAlign w:val="bottom"/>
            <w:shd w:val="clear" w:color="auto" w:fill="0C479D"/>
          </w:tcPr>
          <w:p>
            <w:pPr>
              <w:jc w:val="right"/>
              <w:spacing w:after="0"/>
              <w:rPr>
                <w:sz w:val="20"/>
                <w:szCs w:val="20"/>
                <w:color w:val="auto"/>
              </w:rPr>
            </w:pPr>
            <w:r>
              <w:rPr>
                <w:rFonts w:ascii="Arial" w:cs="Arial" w:eastAsia="Arial" w:hAnsi="Arial"/>
                <w:sz w:val="20"/>
                <w:szCs w:val="20"/>
                <w:b w:val="1"/>
                <w:bCs w:val="1"/>
                <w:color w:val="FFFFFF"/>
              </w:rPr>
              <w:t>2Q25</w:t>
            </w:r>
          </w:p>
        </w:tc>
      </w:tr>
      <w:tr>
        <w:trPr>
          <w:trHeight w:val="255"/>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United States</w:t>
            </w:r>
          </w:p>
        </w:tc>
        <w:tc>
          <w:tcPr>
            <w:tcW w:w="1160" w:type="dxa"/>
            <w:vAlign w:val="bottom"/>
            <w:shd w:val="clear" w:color="auto" w:fill="DCDDDE"/>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9"/>
        </w:trPr>
        <w:tc>
          <w:tcPr>
            <w:tcW w:w="5060" w:type="dxa"/>
            <w:vAlign w:val="bottom"/>
          </w:tcPr>
          <w:p>
            <w:pPr>
              <w:ind w:left="340"/>
              <w:spacing w:after="0"/>
              <w:rPr>
                <w:sz w:val="20"/>
                <w:szCs w:val="20"/>
                <w:color w:val="auto"/>
              </w:rPr>
            </w:pPr>
            <w:r>
              <w:rPr>
                <w:rFonts w:ascii="Arial" w:cs="Arial" w:eastAsia="Arial" w:hAnsi="Arial"/>
                <w:sz w:val="18"/>
                <w:szCs w:val="18"/>
                <w:color w:val="auto"/>
              </w:rPr>
              <w:t>ExxonMobil</w:t>
            </w:r>
          </w:p>
        </w:tc>
        <w:tc>
          <w:tcPr>
            <w:tcW w:w="1160" w:type="dxa"/>
            <w:vAlign w:val="bottom"/>
            <w:shd w:val="clear" w:color="auto" w:fill="DCDDDE"/>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7"/>
        </w:trPr>
        <w:tc>
          <w:tcPr>
            <w:tcW w:w="5060" w:type="dxa"/>
            <w:vAlign w:val="bottom"/>
          </w:tcPr>
          <w:p>
            <w:pPr>
              <w:ind w:left="660"/>
              <w:spacing w:after="0"/>
              <w:rPr>
                <w:sz w:val="20"/>
                <w:szCs w:val="20"/>
                <w:color w:val="auto"/>
              </w:rPr>
            </w:pPr>
            <w:r>
              <w:rPr>
                <w:rFonts w:ascii="Arial" w:cs="Arial" w:eastAsia="Arial" w:hAnsi="Arial"/>
                <w:sz w:val="18"/>
                <w:szCs w:val="18"/>
                <w:color w:val="auto"/>
              </w:rPr>
              <w:t>Crude ($/b)</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70.12</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58.57</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63.56</w:t>
            </w:r>
          </w:p>
        </w:tc>
        <w:tc>
          <w:tcPr>
            <w:tcW w:w="840" w:type="dxa"/>
            <w:vAlign w:val="bottom"/>
          </w:tcPr>
          <w:p>
            <w:pPr>
              <w:jc w:val="right"/>
              <w:spacing w:after="0"/>
              <w:rPr>
                <w:sz w:val="20"/>
                <w:szCs w:val="20"/>
                <w:color w:val="auto"/>
              </w:rPr>
            </w:pPr>
            <w:r>
              <w:rPr>
                <w:rFonts w:ascii="Arial" w:cs="Arial" w:eastAsia="Arial" w:hAnsi="Arial"/>
                <w:sz w:val="18"/>
                <w:szCs w:val="18"/>
                <w:color w:val="auto"/>
              </w:rPr>
              <w:t>62.58</w:t>
            </w:r>
          </w:p>
        </w:tc>
      </w:tr>
      <w:tr>
        <w:trPr>
          <w:trHeight w:val="257"/>
        </w:trPr>
        <w:tc>
          <w:tcPr>
            <w:tcW w:w="5060" w:type="dxa"/>
            <w:vAlign w:val="bottom"/>
          </w:tcPr>
          <w:p>
            <w:pPr>
              <w:ind w:left="660"/>
              <w:spacing w:after="0"/>
              <w:rPr>
                <w:sz w:val="20"/>
                <w:szCs w:val="20"/>
                <w:color w:val="auto"/>
              </w:rPr>
            </w:pPr>
            <w:r>
              <w:rPr>
                <w:rFonts w:ascii="Arial" w:cs="Arial" w:eastAsia="Arial" w:hAnsi="Arial"/>
                <w:sz w:val="18"/>
                <w:szCs w:val="18"/>
                <w:color w:val="auto"/>
              </w:rPr>
              <w:t>Natural Gas ($/kcf)</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3.37</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1.75</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2.36</w:t>
            </w: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310"/>
        </w:trPr>
        <w:tc>
          <w:tcPr>
            <w:tcW w:w="5060" w:type="dxa"/>
            <w:vAlign w:val="bottom"/>
          </w:tcPr>
          <w:p>
            <w:pPr>
              <w:ind w:left="340"/>
              <w:spacing w:after="0"/>
              <w:rPr>
                <w:sz w:val="20"/>
                <w:szCs w:val="20"/>
                <w:color w:val="auto"/>
              </w:rPr>
            </w:pPr>
            <w:r>
              <w:rPr>
                <w:rFonts w:ascii="Arial" w:cs="Arial" w:eastAsia="Arial" w:hAnsi="Arial"/>
                <w:sz w:val="18"/>
                <w:szCs w:val="18"/>
                <w:color w:val="auto"/>
              </w:rPr>
              <w:t>Marker Benchmarks</w:t>
            </w:r>
          </w:p>
        </w:tc>
        <w:tc>
          <w:tcPr>
            <w:tcW w:w="1160" w:type="dxa"/>
            <w:vAlign w:val="bottom"/>
            <w:shd w:val="clear" w:color="auto" w:fill="DCDDDE"/>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5060" w:type="dxa"/>
            <w:vAlign w:val="bottom"/>
          </w:tcPr>
          <w:p>
            <w:pPr>
              <w:ind w:left="660"/>
              <w:spacing w:after="0"/>
              <w:rPr>
                <w:sz w:val="20"/>
                <w:szCs w:val="20"/>
                <w:color w:val="auto"/>
              </w:rPr>
            </w:pPr>
            <w:r>
              <w:rPr>
                <w:rFonts w:ascii="Arial" w:cs="Arial" w:eastAsia="Arial" w:hAnsi="Arial"/>
                <w:sz w:val="18"/>
                <w:szCs w:val="18"/>
                <w:color w:val="auto"/>
              </w:rPr>
              <w:t>WTI ($/b)</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71.98</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59.23</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65.03</w:t>
            </w:r>
          </w:p>
        </w:tc>
        <w:tc>
          <w:tcPr>
            <w:tcW w:w="840" w:type="dxa"/>
            <w:vAlign w:val="bottom"/>
          </w:tcPr>
          <w:p>
            <w:pPr>
              <w:jc w:val="right"/>
              <w:spacing w:after="0"/>
              <w:rPr>
                <w:sz w:val="20"/>
                <w:szCs w:val="20"/>
                <w:color w:val="auto"/>
              </w:rPr>
            </w:pPr>
            <w:r>
              <w:rPr>
                <w:rFonts w:ascii="Arial" w:cs="Arial" w:eastAsia="Arial" w:hAnsi="Arial"/>
                <w:sz w:val="18"/>
                <w:szCs w:val="18"/>
                <w:color w:val="auto"/>
              </w:rPr>
              <w:t>63.87</w:t>
            </w:r>
          </w:p>
        </w:tc>
      </w:tr>
      <w:tr>
        <w:trPr>
          <w:trHeight w:val="257"/>
        </w:trPr>
        <w:tc>
          <w:tcPr>
            <w:tcW w:w="5060" w:type="dxa"/>
            <w:vAlign w:val="bottom"/>
          </w:tcPr>
          <w:p>
            <w:pPr>
              <w:ind w:left="660"/>
              <w:spacing w:after="0"/>
              <w:rPr>
                <w:sz w:val="20"/>
                <w:szCs w:val="20"/>
                <w:color w:val="auto"/>
              </w:rPr>
            </w:pPr>
            <w:r>
              <w:rPr>
                <w:rFonts w:ascii="Arial" w:cs="Arial" w:eastAsia="Arial" w:hAnsi="Arial"/>
                <w:sz w:val="18"/>
                <w:szCs w:val="18"/>
                <w:color w:val="auto"/>
              </w:rPr>
              <w:t>Henry Hub ($/mbtu)</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5.01</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3.55</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3.07</w:t>
            </w:r>
          </w:p>
        </w:tc>
        <w:tc>
          <w:tcPr>
            <w:tcW w:w="8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318"/>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Non-U.S.</w:t>
            </w:r>
          </w:p>
        </w:tc>
        <w:tc>
          <w:tcPr>
            <w:tcW w:w="1160" w:type="dxa"/>
            <w:vAlign w:val="bottom"/>
            <w:shd w:val="clear" w:color="auto" w:fill="DCDDDE"/>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9"/>
        </w:trPr>
        <w:tc>
          <w:tcPr>
            <w:tcW w:w="5060" w:type="dxa"/>
            <w:vAlign w:val="bottom"/>
          </w:tcPr>
          <w:p>
            <w:pPr>
              <w:ind w:left="340"/>
              <w:spacing w:after="0"/>
              <w:rPr>
                <w:sz w:val="20"/>
                <w:szCs w:val="20"/>
                <w:color w:val="auto"/>
              </w:rPr>
            </w:pPr>
            <w:r>
              <w:rPr>
                <w:rFonts w:ascii="Arial" w:cs="Arial" w:eastAsia="Arial" w:hAnsi="Arial"/>
                <w:sz w:val="18"/>
                <w:szCs w:val="18"/>
                <w:color w:val="auto"/>
              </w:rPr>
              <w:t>ExxonMobil</w:t>
            </w:r>
          </w:p>
        </w:tc>
        <w:tc>
          <w:tcPr>
            <w:tcW w:w="1160" w:type="dxa"/>
            <w:vAlign w:val="bottom"/>
            <w:shd w:val="clear" w:color="auto" w:fill="DCDDDE"/>
          </w:tcPr>
          <w:p>
            <w:pPr>
              <w:spacing w:after="0"/>
              <w:rPr>
                <w:sz w:val="21"/>
                <w:szCs w:val="21"/>
                <w:color w:val="auto"/>
              </w:rPr>
            </w:pPr>
          </w:p>
        </w:tc>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5060" w:type="dxa"/>
            <w:vAlign w:val="bottom"/>
          </w:tcPr>
          <w:p>
            <w:pPr>
              <w:ind w:left="660"/>
              <w:spacing w:after="0"/>
              <w:rPr>
                <w:sz w:val="20"/>
                <w:szCs w:val="20"/>
                <w:color w:val="auto"/>
              </w:rPr>
            </w:pPr>
            <w:r>
              <w:rPr>
                <w:rFonts w:ascii="Arial" w:cs="Arial" w:eastAsia="Arial" w:hAnsi="Arial"/>
                <w:sz w:val="18"/>
                <w:szCs w:val="18"/>
                <w:color w:val="auto"/>
              </w:rPr>
              <w:t>Crude ($/b)</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69.98</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57.46</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62.58</w:t>
            </w:r>
          </w:p>
        </w:tc>
        <w:tc>
          <w:tcPr>
            <w:tcW w:w="840" w:type="dxa"/>
            <w:vAlign w:val="bottom"/>
          </w:tcPr>
          <w:p>
            <w:pPr>
              <w:jc w:val="right"/>
              <w:spacing w:after="0"/>
              <w:rPr>
                <w:sz w:val="20"/>
                <w:szCs w:val="20"/>
                <w:color w:val="auto"/>
              </w:rPr>
            </w:pPr>
            <w:r>
              <w:rPr>
                <w:rFonts w:ascii="Arial" w:cs="Arial" w:eastAsia="Arial" w:hAnsi="Arial"/>
                <w:sz w:val="18"/>
                <w:szCs w:val="18"/>
                <w:color w:val="auto"/>
              </w:rPr>
              <w:t>62.01</w:t>
            </w:r>
          </w:p>
        </w:tc>
      </w:tr>
      <w:tr>
        <w:trPr>
          <w:trHeight w:val="257"/>
        </w:trPr>
        <w:tc>
          <w:tcPr>
            <w:tcW w:w="5060" w:type="dxa"/>
            <w:vAlign w:val="bottom"/>
          </w:tcPr>
          <w:p>
            <w:pPr>
              <w:ind w:left="660"/>
              <w:spacing w:after="0"/>
              <w:rPr>
                <w:sz w:val="20"/>
                <w:szCs w:val="20"/>
                <w:color w:val="auto"/>
              </w:rPr>
            </w:pPr>
            <w:r>
              <w:rPr>
                <w:rFonts w:ascii="Arial" w:cs="Arial" w:eastAsia="Arial" w:hAnsi="Arial"/>
                <w:sz w:val="18"/>
                <w:szCs w:val="18"/>
                <w:color w:val="auto"/>
              </w:rPr>
              <w:t>Natural Gas ($/kcf)</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10.58</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9.60</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9.62</w:t>
            </w:r>
          </w:p>
        </w:tc>
        <w:tc>
          <w:tcPr>
            <w:tcW w:w="84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310"/>
        </w:trPr>
        <w:tc>
          <w:tcPr>
            <w:tcW w:w="5060" w:type="dxa"/>
            <w:vAlign w:val="bottom"/>
          </w:tcPr>
          <w:p>
            <w:pPr>
              <w:ind w:left="340"/>
              <w:spacing w:after="0"/>
              <w:rPr>
                <w:sz w:val="20"/>
                <w:szCs w:val="20"/>
                <w:color w:val="auto"/>
              </w:rPr>
            </w:pPr>
            <w:r>
              <w:rPr>
                <w:rFonts w:ascii="Arial" w:cs="Arial" w:eastAsia="Arial" w:hAnsi="Arial"/>
                <w:sz w:val="18"/>
                <w:szCs w:val="18"/>
                <w:color w:val="auto"/>
              </w:rPr>
              <w:t>Marker Benchmarks</w:t>
            </w:r>
          </w:p>
        </w:tc>
        <w:tc>
          <w:tcPr>
            <w:tcW w:w="1160" w:type="dxa"/>
            <w:vAlign w:val="bottom"/>
            <w:shd w:val="clear" w:color="auto" w:fill="DCDDDE"/>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5060" w:type="dxa"/>
            <w:vAlign w:val="bottom"/>
          </w:tcPr>
          <w:p>
            <w:pPr>
              <w:ind w:left="660"/>
              <w:spacing w:after="0"/>
              <w:rPr>
                <w:sz w:val="20"/>
                <w:szCs w:val="20"/>
                <w:color w:val="auto"/>
              </w:rPr>
            </w:pPr>
            <w:r>
              <w:rPr>
                <w:rFonts w:ascii="Arial" w:cs="Arial" w:eastAsia="Arial" w:hAnsi="Arial"/>
                <w:sz w:val="18"/>
                <w:szCs w:val="18"/>
                <w:color w:val="auto"/>
              </w:rPr>
              <w:t>Brent ($/b)</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80.61</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63.69</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69.07</w:t>
            </w:r>
          </w:p>
        </w:tc>
        <w:tc>
          <w:tcPr>
            <w:tcW w:w="840" w:type="dxa"/>
            <w:vAlign w:val="bottom"/>
          </w:tcPr>
          <w:p>
            <w:pPr>
              <w:jc w:val="right"/>
              <w:spacing w:after="0"/>
              <w:rPr>
                <w:sz w:val="20"/>
                <w:szCs w:val="20"/>
                <w:color w:val="auto"/>
              </w:rPr>
            </w:pPr>
            <w:r>
              <w:rPr>
                <w:rFonts w:ascii="Arial" w:cs="Arial" w:eastAsia="Arial" w:hAnsi="Arial"/>
                <w:sz w:val="18"/>
                <w:szCs w:val="18"/>
                <w:color w:val="auto"/>
              </w:rPr>
              <w:t>67.82</w:t>
            </w:r>
          </w:p>
        </w:tc>
      </w:tr>
      <w:tr>
        <w:trPr>
          <w:trHeight w:val="266"/>
        </w:trPr>
        <w:tc>
          <w:tcPr>
            <w:tcW w:w="5060" w:type="dxa"/>
            <w:vAlign w:val="bottom"/>
          </w:tcPr>
          <w:p>
            <w:pPr>
              <w:ind w:left="660"/>
              <w:spacing w:after="0"/>
              <w:rPr>
                <w:sz w:val="20"/>
                <w:szCs w:val="20"/>
                <w:color w:val="auto"/>
              </w:rPr>
            </w:pPr>
            <w:r>
              <w:rPr>
                <w:rFonts w:ascii="Arial" w:cs="Arial" w:eastAsia="Arial" w:hAnsi="Arial"/>
                <w:sz w:val="18"/>
                <w:szCs w:val="18"/>
                <w:color w:val="auto"/>
              </w:rPr>
              <w:t>TTF ($/mbtu)</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10.79</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10.77</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11.75</w:t>
            </w:r>
          </w:p>
        </w:tc>
        <w:tc>
          <w:tcPr>
            <w:tcW w:w="840" w:type="dxa"/>
            <w:vAlign w:val="bottom"/>
          </w:tcPr>
          <w:p>
            <w:pPr>
              <w:jc w:val="right"/>
              <w:spacing w:after="0"/>
              <w:rPr>
                <w:sz w:val="20"/>
                <w:szCs w:val="20"/>
                <w:color w:val="auto"/>
              </w:rPr>
            </w:pPr>
            <w:r>
              <w:rPr>
                <w:rFonts w:ascii="Arial" w:cs="Arial" w:eastAsia="Arial" w:hAnsi="Arial"/>
                <w:sz w:val="18"/>
                <w:szCs w:val="18"/>
                <w:color w:val="auto"/>
              </w:rPr>
              <w:t>12.40</w:t>
            </w:r>
          </w:p>
        </w:tc>
      </w:tr>
    </w:tbl>
    <w:p>
      <w:pPr>
        <w:spacing w:after="0" w:line="55" w:lineRule="exact"/>
        <w:rPr>
          <w:sz w:val="20"/>
          <w:szCs w:val="20"/>
          <w:color w:val="auto"/>
        </w:rPr>
      </w:pPr>
    </w:p>
    <w:p>
      <w:pPr>
        <w:jc w:val="both"/>
        <w:ind w:left="40" w:right="20"/>
        <w:spacing w:after="0" w:line="233" w:lineRule="auto"/>
        <w:rPr>
          <w:sz w:val="20"/>
          <w:szCs w:val="20"/>
          <w:color w:val="auto"/>
        </w:rPr>
      </w:pPr>
      <w:r>
        <w:rPr>
          <w:rFonts w:ascii="Arial" w:cs="Arial" w:eastAsia="Arial" w:hAnsi="Arial"/>
          <w:sz w:val="16"/>
          <w:szCs w:val="16"/>
          <w:i w:val="1"/>
          <w:iCs w:val="1"/>
          <w:color w:val="auto"/>
        </w:rPr>
        <w:t>The above numbers reflect ExxonMobil’s current estimate of volumes and realizations given data available as of the end of the first quarter of 2026. Volumes and realizations may be adjusted when full statements on joint venture operations are received from outside operators. ExxonMobil management assumes no duty to update these estimates.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060" w:type="dxa"/>
            <w:vAlign w:val="bottom"/>
            <w:shd w:val="clear" w:color="auto" w:fill="0C479D"/>
          </w:tcPr>
          <w:p>
            <w:pPr>
              <w:ind w:left="20"/>
              <w:spacing w:after="0"/>
              <w:rPr>
                <w:sz w:val="20"/>
                <w:szCs w:val="20"/>
                <w:color w:val="auto"/>
              </w:rPr>
            </w:pPr>
            <w:r>
              <w:rPr>
                <w:rFonts w:ascii="Arial" w:cs="Arial" w:eastAsia="Arial" w:hAnsi="Arial"/>
                <w:sz w:val="20"/>
                <w:szCs w:val="20"/>
                <w:b w:val="1"/>
                <w:bCs w:val="1"/>
                <w:color w:val="FFFFFF"/>
              </w:rPr>
              <w:t>Product Solutions Marker Benchmark Data</w:t>
            </w:r>
          </w:p>
        </w:tc>
        <w:tc>
          <w:tcPr>
            <w:tcW w:w="1160" w:type="dxa"/>
            <w:vAlign w:val="bottom"/>
            <w:shd w:val="clear" w:color="auto" w:fill="000000"/>
          </w:tcPr>
          <w:p>
            <w:pPr>
              <w:jc w:val="right"/>
              <w:spacing w:after="0"/>
              <w:rPr>
                <w:sz w:val="20"/>
                <w:szCs w:val="20"/>
                <w:color w:val="auto"/>
              </w:rPr>
            </w:pPr>
            <w:r>
              <w:rPr>
                <w:rFonts w:ascii="Arial" w:cs="Arial" w:eastAsia="Arial" w:hAnsi="Arial"/>
                <w:sz w:val="20"/>
                <w:szCs w:val="20"/>
                <w:b w:val="1"/>
                <w:bCs w:val="1"/>
                <w:color w:val="FFFFFF"/>
              </w:rPr>
              <w:t>1Q26</w:t>
            </w:r>
          </w:p>
        </w:tc>
        <w:tc>
          <w:tcPr>
            <w:tcW w:w="1440" w:type="dxa"/>
            <w:vAlign w:val="bottom"/>
            <w:shd w:val="clear" w:color="auto" w:fill="0C479D"/>
          </w:tcPr>
          <w:p>
            <w:pPr>
              <w:jc w:val="right"/>
              <w:ind w:right="229"/>
              <w:spacing w:after="0"/>
              <w:rPr>
                <w:sz w:val="20"/>
                <w:szCs w:val="20"/>
                <w:color w:val="auto"/>
              </w:rPr>
            </w:pPr>
            <w:r>
              <w:rPr>
                <w:rFonts w:ascii="Arial" w:cs="Arial" w:eastAsia="Arial" w:hAnsi="Arial"/>
                <w:sz w:val="20"/>
                <w:szCs w:val="20"/>
                <w:b w:val="1"/>
                <w:bCs w:val="1"/>
                <w:color w:val="FFFFFF"/>
              </w:rPr>
              <w:t>4Q25</w:t>
            </w:r>
          </w:p>
        </w:tc>
        <w:tc>
          <w:tcPr>
            <w:tcW w:w="1160" w:type="dxa"/>
            <w:vAlign w:val="bottom"/>
            <w:shd w:val="clear" w:color="auto" w:fill="0C479D"/>
          </w:tcPr>
          <w:p>
            <w:pPr>
              <w:jc w:val="right"/>
              <w:ind w:right="249"/>
              <w:spacing w:after="0"/>
              <w:rPr>
                <w:sz w:val="20"/>
                <w:szCs w:val="20"/>
                <w:color w:val="auto"/>
              </w:rPr>
            </w:pPr>
            <w:r>
              <w:rPr>
                <w:rFonts w:ascii="Arial" w:cs="Arial" w:eastAsia="Arial" w:hAnsi="Arial"/>
                <w:sz w:val="20"/>
                <w:szCs w:val="20"/>
                <w:b w:val="1"/>
                <w:bCs w:val="1"/>
                <w:color w:val="FFFFFF"/>
              </w:rPr>
              <w:t>3Q25</w:t>
            </w:r>
          </w:p>
        </w:tc>
        <w:tc>
          <w:tcPr>
            <w:tcW w:w="840" w:type="dxa"/>
            <w:vAlign w:val="bottom"/>
            <w:shd w:val="clear" w:color="auto" w:fill="0C479D"/>
          </w:tcPr>
          <w:p>
            <w:pPr>
              <w:jc w:val="right"/>
              <w:spacing w:after="0"/>
              <w:rPr>
                <w:sz w:val="20"/>
                <w:szCs w:val="20"/>
                <w:color w:val="auto"/>
              </w:rPr>
            </w:pPr>
            <w:r>
              <w:rPr>
                <w:rFonts w:ascii="Arial" w:cs="Arial" w:eastAsia="Arial" w:hAnsi="Arial"/>
                <w:sz w:val="20"/>
                <w:szCs w:val="20"/>
                <w:b w:val="1"/>
                <w:bCs w:val="1"/>
                <w:color w:val="FFFFFF"/>
              </w:rPr>
              <w:t>2Q25</w:t>
            </w:r>
          </w:p>
        </w:tc>
      </w:tr>
      <w:tr>
        <w:trPr>
          <w:trHeight w:val="255"/>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Energy Products</w:t>
            </w:r>
          </w:p>
        </w:tc>
        <w:tc>
          <w:tcPr>
            <w:tcW w:w="1160" w:type="dxa"/>
            <w:vAlign w:val="bottom"/>
            <w:shd w:val="clear" w:color="auto" w:fill="DCDDDE"/>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48"/>
        </w:trPr>
        <w:tc>
          <w:tcPr>
            <w:tcW w:w="5060" w:type="dxa"/>
            <w:vAlign w:val="bottom"/>
          </w:tcPr>
          <w:p>
            <w:pPr>
              <w:ind w:left="340"/>
              <w:spacing w:after="0"/>
              <w:rPr>
                <w:sz w:val="20"/>
                <w:szCs w:val="20"/>
                <w:color w:val="auto"/>
              </w:rPr>
            </w:pPr>
            <w:r>
              <w:rPr>
                <w:rFonts w:ascii="Arial" w:cs="Arial" w:eastAsia="Arial" w:hAnsi="Arial"/>
                <w:sz w:val="18"/>
                <w:szCs w:val="18"/>
                <w:color w:val="auto"/>
              </w:rPr>
              <w:t>Indicative Refining Margin ($/b)</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16.3</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18.3</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17.5</w:t>
            </w: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5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Chemical Products</w:t>
            </w:r>
          </w:p>
        </w:tc>
        <w:tc>
          <w:tcPr>
            <w:tcW w:w="1160" w:type="dxa"/>
            <w:vAlign w:val="bottom"/>
            <w:shd w:val="clear" w:color="auto" w:fill="DCDDDE"/>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9"/>
        </w:trPr>
        <w:tc>
          <w:tcPr>
            <w:tcW w:w="5060" w:type="dxa"/>
            <w:vAlign w:val="bottom"/>
          </w:tcPr>
          <w:p>
            <w:pPr>
              <w:ind w:left="340"/>
              <w:spacing w:after="0"/>
              <w:rPr>
                <w:sz w:val="20"/>
                <w:szCs w:val="20"/>
                <w:color w:val="auto"/>
              </w:rPr>
            </w:pPr>
            <w:r>
              <w:rPr>
                <w:rFonts w:ascii="Arial" w:cs="Arial" w:eastAsia="Arial" w:hAnsi="Arial"/>
                <w:sz w:val="18"/>
                <w:szCs w:val="18"/>
                <w:color w:val="auto"/>
              </w:rPr>
              <w:t>North American Polyethylene ($/T)</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965</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759</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812</w:t>
            </w:r>
          </w:p>
        </w:tc>
        <w:tc>
          <w:tcPr>
            <w:tcW w:w="84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57"/>
        </w:trPr>
        <w:tc>
          <w:tcPr>
            <w:tcW w:w="5060" w:type="dxa"/>
            <w:vAlign w:val="bottom"/>
          </w:tcPr>
          <w:p>
            <w:pPr>
              <w:ind w:left="340"/>
              <w:spacing w:after="0"/>
              <w:rPr>
                <w:sz w:val="20"/>
                <w:szCs w:val="20"/>
                <w:color w:val="auto"/>
              </w:rPr>
            </w:pPr>
            <w:r>
              <w:rPr>
                <w:rFonts w:ascii="Arial" w:cs="Arial" w:eastAsia="Arial" w:hAnsi="Arial"/>
                <w:sz w:val="18"/>
                <w:szCs w:val="18"/>
                <w:color w:val="auto"/>
              </w:rPr>
              <w:t>Asia Pacific Polyethylene ($/T)</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865</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822</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840</w:t>
            </w:r>
          </w:p>
        </w:tc>
        <w:tc>
          <w:tcPr>
            <w:tcW w:w="84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56"/>
        </w:trPr>
        <w:tc>
          <w:tcPr>
            <w:tcW w:w="5060" w:type="dxa"/>
            <w:vAlign w:val="bottom"/>
          </w:tcPr>
          <w:p>
            <w:pPr>
              <w:ind w:left="340"/>
              <w:spacing w:after="0"/>
              <w:rPr>
                <w:sz w:val="20"/>
                <w:szCs w:val="20"/>
                <w:color w:val="auto"/>
              </w:rPr>
            </w:pPr>
            <w:r>
              <w:rPr>
                <w:rFonts w:ascii="Arial" w:cs="Arial" w:eastAsia="Arial" w:hAnsi="Arial"/>
                <w:sz w:val="18"/>
                <w:szCs w:val="18"/>
                <w:color w:val="auto"/>
              </w:rPr>
              <w:t>Asia Pacific LVN ($/T)</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720</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564</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588</w:t>
            </w:r>
          </w:p>
        </w:tc>
        <w:tc>
          <w:tcPr>
            <w:tcW w:w="84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66"/>
        </w:trPr>
        <w:tc>
          <w:tcPr>
            <w:tcW w:w="5060" w:type="dxa"/>
            <w:vAlign w:val="bottom"/>
          </w:tcPr>
          <w:p>
            <w:pPr>
              <w:ind w:left="340"/>
              <w:spacing w:after="0"/>
              <w:rPr>
                <w:sz w:val="20"/>
                <w:szCs w:val="20"/>
                <w:color w:val="auto"/>
              </w:rPr>
            </w:pPr>
            <w:r>
              <w:rPr>
                <w:rFonts w:ascii="Arial" w:cs="Arial" w:eastAsia="Arial" w:hAnsi="Arial"/>
                <w:sz w:val="18"/>
                <w:szCs w:val="18"/>
                <w:color w:val="auto"/>
              </w:rPr>
              <w:t>USGC Ethane ($/T)</w:t>
            </w:r>
          </w:p>
        </w:tc>
        <w:tc>
          <w:tcPr>
            <w:tcW w:w="1160" w:type="dxa"/>
            <w:vAlign w:val="bottom"/>
            <w:shd w:val="clear" w:color="auto" w:fill="DCDDDE"/>
          </w:tcPr>
          <w:p>
            <w:pPr>
              <w:jc w:val="right"/>
              <w:spacing w:after="0"/>
              <w:rPr>
                <w:sz w:val="20"/>
                <w:szCs w:val="20"/>
                <w:color w:val="auto"/>
              </w:rPr>
            </w:pPr>
            <w:r>
              <w:rPr>
                <w:rFonts w:ascii="Arial" w:cs="Arial" w:eastAsia="Arial" w:hAnsi="Arial"/>
                <w:sz w:val="18"/>
                <w:szCs w:val="18"/>
                <w:color w:val="auto"/>
              </w:rPr>
              <w:t>173</w:t>
            </w:r>
          </w:p>
        </w:tc>
        <w:tc>
          <w:tcPr>
            <w:tcW w:w="1440" w:type="dxa"/>
            <w:vAlign w:val="bottom"/>
          </w:tcPr>
          <w:p>
            <w:pPr>
              <w:jc w:val="right"/>
              <w:ind w:right="229"/>
              <w:spacing w:after="0"/>
              <w:rPr>
                <w:sz w:val="20"/>
                <w:szCs w:val="20"/>
                <w:color w:val="auto"/>
              </w:rPr>
            </w:pPr>
            <w:r>
              <w:rPr>
                <w:rFonts w:ascii="Arial" w:cs="Arial" w:eastAsia="Arial" w:hAnsi="Arial"/>
                <w:sz w:val="18"/>
                <w:szCs w:val="18"/>
                <w:color w:val="auto"/>
              </w:rPr>
              <w:t>196</w:t>
            </w:r>
          </w:p>
        </w:tc>
        <w:tc>
          <w:tcPr>
            <w:tcW w:w="1160" w:type="dxa"/>
            <w:vAlign w:val="bottom"/>
          </w:tcPr>
          <w:p>
            <w:pPr>
              <w:jc w:val="right"/>
              <w:ind w:right="249"/>
              <w:spacing w:after="0"/>
              <w:rPr>
                <w:sz w:val="20"/>
                <w:szCs w:val="20"/>
                <w:color w:val="auto"/>
              </w:rPr>
            </w:pPr>
            <w:r>
              <w:rPr>
                <w:rFonts w:ascii="Arial" w:cs="Arial" w:eastAsia="Arial" w:hAnsi="Arial"/>
                <w:sz w:val="18"/>
                <w:szCs w:val="18"/>
                <w:color w:val="auto"/>
              </w:rPr>
              <w:t>171</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r>
    </w:tbl>
    <w:p>
      <w:pPr>
        <w:spacing w:after="0" w:line="109" w:lineRule="exact"/>
        <w:rPr>
          <w:sz w:val="20"/>
          <w:szCs w:val="20"/>
          <w:color w:val="auto"/>
        </w:rPr>
      </w:pPr>
    </w:p>
    <w:p>
      <w:pPr>
        <w:jc w:val="both"/>
        <w:ind w:left="40" w:right="20"/>
        <w:spacing w:after="0" w:line="220" w:lineRule="auto"/>
        <w:rPr>
          <w:sz w:val="20"/>
          <w:szCs w:val="20"/>
          <w:color w:val="auto"/>
        </w:rPr>
      </w:pPr>
      <w:r>
        <w:rPr>
          <w:rFonts w:ascii="Arial" w:cs="Arial" w:eastAsia="Arial" w:hAnsi="Arial"/>
          <w:sz w:val="16"/>
          <w:szCs w:val="16"/>
          <w:i w:val="1"/>
          <w:iCs w:val="1"/>
          <w:color w:val="auto"/>
        </w:rPr>
        <w:t xml:space="preserve">The above markers reflect the average prices from the quarter. Indicative Refining Margin, NA PE, AP PE, AP LVN, and USGC Ethane from Platts, part of S&amp;P Global Commodity Insights. NA PE, AP PE, AP LVN, and USGC Ethane historical prices were updated to reflect simple averages. Marker associated sensitivities developed for forward-looking analysis and in relation to full-year results. For any given period, the accuracy of the earnings sensitivity will be dependent on the price movements of individual types of crude oil, natural gas, or products, results of trading activities, project start-up timing, maintenance timing, taxes and other government take impacts, price adjustment lags in long-term gas contracts, and crude and gas production volumes. Accordingly, changes in benchmark prices only provide broad indicators of changes in the earnings experienced in any particular period. Refer to "Modeling Toolkit" tab on the Investor Relations page of our website at </w:t>
      </w:r>
      <w:r>
        <w:rPr>
          <w:rFonts w:ascii="Arial" w:cs="Arial" w:eastAsia="Arial" w:hAnsi="Arial"/>
          <w:sz w:val="16"/>
          <w:szCs w:val="16"/>
          <w:b w:val="1"/>
          <w:bCs w:val="1"/>
          <w:i w:val="1"/>
          <w:iCs w:val="1"/>
          <w:color w:val="0E32E1"/>
        </w:rPr>
        <w:t>www.exxonmobil.com</w:t>
      </w:r>
      <w:r>
        <w:rPr>
          <w:rFonts w:ascii="Arial" w:cs="Arial" w:eastAsia="Arial" w:hAnsi="Arial"/>
          <w:sz w:val="16"/>
          <w:szCs w:val="16"/>
          <w:i w:val="1"/>
          <w:iCs w:val="1"/>
          <w:color w:val="auto"/>
        </w:rPr>
        <w:t xml:space="preserve"> for more information.</w:t>
      </w:r>
    </w:p>
    <w:p>
      <w:pPr>
        <w:sectPr>
          <w:pgSz w:w="11900" w:h="16838" w:orient="portrait"/>
          <w:cols w:equalWidth="0" w:num="1">
            <w:col w:w="9680"/>
          </w:cols>
          <w:pgMar w:left="1100" w:top="530" w:right="111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Due to rounding, numbers presented may not add up precisely to the totals indicated.</w:t>
      </w:r>
    </w:p>
    <w:sectPr>
      <w:pgSz w:w="11900" w:h="16838" w:orient="portrait"/>
      <w:cols w:equalWidth="0" w:num="1">
        <w:col w:w="9680"/>
      </w:cols>
      <w:pgMar w:left="1100" w:top="530" w:right="11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2"/>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¹"/>
      <w:numFmt w:val="bullet"/>
      <w:start w:val="1"/>
    </w:lvl>
  </w:abstractNum>
  <w:abstractNum w:abstractNumId="14">
    <w:nsid w:val="6B68079A"/>
    <w:multiLevelType w:val="hybridMultilevel"/>
    <w:lvl w:ilvl="0">
      <w:lvlJc w:val="left"/>
      <w:lvlText w:val="2"/>
      <w:numFmt w:val="bullet"/>
      <w:start w:val="1"/>
    </w:lvl>
  </w:abstractNum>
  <w:abstractNum w:abstractNumId="15">
    <w:nsid w:val="4E6AFB66"/>
    <w:multiLevelType w:val="hybridMultilevel"/>
    <w:lvl w:ilvl="0">
      <w:lvlJc w:val="left"/>
      <w:lvlText w:val="1"/>
      <w:numFmt w:val="bullet"/>
      <w:start w:val="1"/>
    </w:lvl>
  </w:abstractNum>
  <w:abstractNum w:abstractNumId="16">
    <w:nsid w:val="25E45D3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2026-05-01T08:25:16Z</dcterms:created>
  <dcterms:modified xsi:type="dcterms:W3CDTF">2026-05-01T08:25:16Z</dcterms:modified>
</cp:coreProperties>
</file>