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6" w:lineRule="exact"/>
        <w:rPr>
          <w:sz w:val="24"/>
          <w:szCs w:val="24"/>
          <w:color w:val="auto"/>
        </w:rPr>
      </w:pPr>
    </w:p>
    <w:p>
      <w:pPr>
        <w:ind w:left="3760" w:right="2820" w:hanging="928"/>
        <w:spacing w:after="0" w:line="263" w:lineRule="auto"/>
        <w:tabs>
          <w:tab w:leader="none" w:pos="30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ind w:left="39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quarterly period ended March 31, 2022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760" w:right="2820" w:hanging="934"/>
        <w:spacing w:after="0" w:line="266" w:lineRule="auto"/>
        <w:tabs>
          <w:tab w:leader="none" w:pos="303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For the transition period from __________to__________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1-2256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ectPr>
          <w:pgSz w:w="11900" w:h="16838" w:orient="portrait"/>
          <w:cols w:equalWidth="0" w:num="1">
            <w:col w:w="11240"/>
          </w:cols>
          <w:pgMar w:left="320" w:top="988" w:right="339" w:bottom="1440" w:gutter="0" w:footer="0" w:header="0"/>
        </w:sectPr>
      </w:pP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0" w:lineRule="exact"/>
        <w:rPr>
          <w:sz w:val="24"/>
          <w:szCs w:val="24"/>
          <w:color w:val="auto"/>
        </w:rPr>
      </w:pPr>
    </w:p>
    <w:p>
      <w:pPr>
        <w:jc w:val="center"/>
        <w:ind w:right="414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3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154" w:lineRule="exact"/>
        <w:rPr>
          <w:sz w:val="24"/>
          <w:szCs w:val="24"/>
          <w:color w:val="auto"/>
        </w:rPr>
      </w:pPr>
    </w:p>
    <w:p>
      <w:pPr>
        <w:jc w:val="center"/>
        <w:ind w:left="3540"/>
        <w:spacing w:after="0"/>
        <w:rPr>
          <w:sz w:val="20"/>
          <w:szCs w:val="20"/>
          <w:color w:val="auto"/>
        </w:rPr>
      </w:pPr>
      <w:r>
        <w:rPr>
          <w:rFonts w:ascii="Times New Roman" w:cs="Times New Roman" w:eastAsia="Times New Roman" w:hAnsi="Times New Roman"/>
          <w:sz w:val="17"/>
          <w:szCs w:val="17"/>
          <w:b w:val="1"/>
          <w:bCs w:val="1"/>
          <w:color w:val="auto"/>
        </w:rPr>
        <w:t>5959 Las Colinas Boulevard, Irving, Texas 75039-2298</w:t>
      </w:r>
    </w:p>
    <w:p>
      <w:pPr>
        <w:spacing w:after="0" w:line="36" w:lineRule="exact"/>
        <w:rPr>
          <w:sz w:val="24"/>
          <w:szCs w:val="24"/>
          <w:color w:val="auto"/>
        </w:rPr>
      </w:pPr>
    </w:p>
    <w:p>
      <w:pPr>
        <w:jc w:val="center"/>
        <w:ind w:left="354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20" w:lineRule="exact"/>
        <w:rPr>
          <w:sz w:val="24"/>
          <w:szCs w:val="24"/>
          <w:color w:val="auto"/>
        </w:rPr>
      </w:pPr>
    </w:p>
    <w:p>
      <w:pPr>
        <w:jc w:val="center"/>
        <w:ind w:left="3540"/>
        <w:spacing w:after="0"/>
        <w:rPr>
          <w:sz w:val="20"/>
          <w:szCs w:val="20"/>
          <w:color w:val="auto"/>
        </w:rPr>
      </w:pPr>
      <w:r>
        <w:rPr>
          <w:rFonts w:ascii="Times New Roman" w:cs="Times New Roman" w:eastAsia="Times New Roman" w:hAnsi="Times New Roman"/>
          <w:sz w:val="18"/>
          <w:szCs w:val="18"/>
          <w:b w:val="1"/>
          <w:bCs w:val="1"/>
          <w:color w:val="auto"/>
        </w:rPr>
        <w:t>(972) 940-6000</w:t>
      </w:r>
    </w:p>
    <w:p>
      <w:pPr>
        <w:spacing w:after="0" w:line="25" w:lineRule="exact"/>
        <w:rPr>
          <w:sz w:val="24"/>
          <w:szCs w:val="24"/>
          <w:color w:val="auto"/>
        </w:rPr>
      </w:pPr>
    </w:p>
    <w:p>
      <w:pPr>
        <w:jc w:val="center"/>
        <w:ind w:left="35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13-5409005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(I.R.S. Employer Identification Number</w:t>
      </w:r>
      <w:r>
        <w:rPr>
          <w:rFonts w:ascii="Times New Roman" w:cs="Times New Roman" w:eastAsia="Times New Roman" w:hAnsi="Times New Roman"/>
          <w:sz w:val="17"/>
          <w:szCs w:val="17"/>
          <w:color w:val="auto"/>
        </w:rPr>
        <w:t>)</w:t>
      </w:r>
    </w:p>
    <w:p>
      <w:pPr>
        <w:spacing w:after="0" w:line="1534" w:lineRule="exact"/>
        <w:rPr>
          <w:sz w:val="24"/>
          <w:szCs w:val="24"/>
          <w:color w:val="auto"/>
        </w:rPr>
      </w:pPr>
    </w:p>
    <w:p>
      <w:pPr>
        <w:sectPr>
          <w:pgSz w:w="11900" w:h="16838" w:orient="portrait"/>
          <w:cols w:equalWidth="0" w:num="2">
            <w:col w:w="7700" w:space="580"/>
            <w:col w:w="2960"/>
          </w:cols>
          <w:pgMar w:left="320" w:top="988"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680" w:type="dxa"/>
            <w:vAlign w:val="bottom"/>
          </w:tcPr>
          <w:p>
            <w:pPr>
              <w:jc w:val="center"/>
              <w:ind w:left="895"/>
              <w:spacing w:after="0"/>
              <w:rPr>
                <w:sz w:val="20"/>
                <w:szCs w:val="20"/>
                <w:color w:val="auto"/>
              </w:rPr>
            </w:pPr>
            <w:r>
              <w:rPr>
                <w:rFonts w:ascii="Times New Roman" w:cs="Times New Roman" w:eastAsia="Times New Roman" w:hAnsi="Times New Roman"/>
                <w:sz w:val="14"/>
                <w:szCs w:val="14"/>
                <w:color w:val="auto"/>
              </w:rPr>
              <w:t>Name of Each Exchange</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auto"/>
            </w:tcBorders>
            <w:vMerge w:val="continue"/>
          </w:tcPr>
          <w:p>
            <w:pPr>
              <w:spacing w:after="0"/>
              <w:rPr>
                <w:sz w:val="17"/>
                <w:szCs w:val="17"/>
                <w:color w:val="auto"/>
              </w:rPr>
            </w:pPr>
          </w:p>
        </w:tc>
        <w:tc>
          <w:tcPr>
            <w:tcW w:w="3560" w:type="dxa"/>
            <w:vAlign w:val="bottom"/>
            <w:tcBorders>
              <w:bottom w:val="single" w:sz="8" w:color="auto"/>
            </w:tcBorders>
            <w:vMerge w:val="continue"/>
          </w:tcPr>
          <w:p>
            <w:pPr>
              <w:spacing w:after="0"/>
              <w:rPr>
                <w:sz w:val="17"/>
                <w:szCs w:val="17"/>
                <w:color w:val="auto"/>
              </w:rPr>
            </w:pPr>
          </w:p>
        </w:tc>
        <w:tc>
          <w:tcPr>
            <w:tcW w:w="3680" w:type="dxa"/>
            <w:vAlign w:val="bottom"/>
            <w:tcBorders>
              <w:bottom w:val="single" w:sz="8" w:color="auto"/>
            </w:tcBorders>
          </w:tcPr>
          <w:p>
            <w:pPr>
              <w:jc w:val="center"/>
              <w:ind w:left="935"/>
              <w:spacing w:after="0"/>
              <w:rPr>
                <w:sz w:val="20"/>
                <w:szCs w:val="20"/>
                <w:color w:val="auto"/>
              </w:rPr>
            </w:pPr>
            <w:r>
              <w:rPr>
                <w:rFonts w:ascii="Times New Roman" w:cs="Times New Roman" w:eastAsia="Times New Roman" w:hAnsi="Times New Roman"/>
                <w:sz w:val="14"/>
                <w:szCs w:val="14"/>
                <w:color w:val="auto"/>
              </w:rPr>
              <w:t>on Which Registered</w:t>
            </w:r>
          </w:p>
        </w:tc>
        <w:tc>
          <w:tcPr>
            <w:tcW w:w="0" w:type="dxa"/>
            <w:vAlign w:val="bottom"/>
          </w:tcPr>
          <w:p>
            <w:pPr>
              <w:spacing w:after="0"/>
              <w:rPr>
                <w:sz w:val="1"/>
                <w:szCs w:val="1"/>
                <w:color w:val="auto"/>
              </w:rPr>
            </w:pPr>
          </w:p>
        </w:tc>
      </w:tr>
      <w:tr>
        <w:trPr>
          <w:trHeight w:val="221"/>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3680" w:type="dxa"/>
            <w:vAlign w:val="bottom"/>
          </w:tcPr>
          <w:p>
            <w:pPr>
              <w:jc w:val="center"/>
              <w:ind w:left="91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0.142% Notes due 2024</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XOM24B</w:t>
            </w:r>
          </w:p>
        </w:tc>
        <w:tc>
          <w:tcPr>
            <w:tcW w:w="3680" w:type="dxa"/>
            <w:vAlign w:val="bottom"/>
          </w:tcPr>
          <w:p>
            <w:pPr>
              <w:jc w:val="center"/>
              <w:ind w:left="91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3680" w:type="dxa"/>
            <w:vAlign w:val="bottom"/>
          </w:tcPr>
          <w:p>
            <w:pPr>
              <w:jc w:val="center"/>
              <w:ind w:left="91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3680" w:type="dxa"/>
            <w:vAlign w:val="bottom"/>
          </w:tcPr>
          <w:p>
            <w:pPr>
              <w:jc w:val="center"/>
              <w:ind w:left="91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3680" w:type="dxa"/>
            <w:vAlign w:val="bottom"/>
          </w:tcPr>
          <w:p>
            <w:pPr>
              <w:jc w:val="center"/>
              <w:ind w:left="915"/>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21"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jc w:val="both"/>
        <w:spacing w:after="0" w:line="24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36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Accelerated filer</w:t>
            </w:r>
          </w:p>
        </w:tc>
        <w:tc>
          <w:tcPr>
            <w:tcW w:w="1160" w:type="dxa"/>
            <w:vAlign w:val="bottom"/>
          </w:tcPr>
          <w:p>
            <w:pPr>
              <w:ind w:left="9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7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36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60" w:type="dxa"/>
            <w:vAlign w:val="bottom"/>
          </w:tcPr>
          <w:p>
            <w:pPr>
              <w:ind w:left="9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73"/>
        </w:trPr>
        <w:tc>
          <w:tcPr>
            <w:tcW w:w="2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60" w:type="dxa"/>
            <w:vAlign w:val="bottom"/>
          </w:tcPr>
          <w:p>
            <w:pPr>
              <w:ind w:left="98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6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940"/>
        <w:spacing w:after="0" w:line="25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280" w:type="dxa"/>
            <w:vAlign w:val="bottom"/>
            <w:gridSpan w:val="2"/>
          </w:tcPr>
          <w:p>
            <w:pPr>
              <w:jc w:val="center"/>
              <w:ind w:right="412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39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Outstanding as of March 31, 2022</w:t>
            </w:r>
          </w:p>
        </w:tc>
      </w:tr>
      <w:tr>
        <w:trPr>
          <w:trHeight w:val="209"/>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without par value</w:t>
            </w:r>
          </w:p>
        </w:tc>
        <w:tc>
          <w:tcPr>
            <w:tcW w:w="4120" w:type="dxa"/>
            <w:vAlign w:val="bottom"/>
          </w:tcPr>
          <w:p>
            <w:pPr>
              <w:spacing w:after="0"/>
              <w:rPr>
                <w:sz w:val="18"/>
                <w:szCs w:val="18"/>
                <w:color w:val="auto"/>
              </w:rPr>
            </w:pPr>
          </w:p>
        </w:tc>
        <w:tc>
          <w:tcPr>
            <w:tcW w:w="3940" w:type="dxa"/>
            <w:vAlign w:val="bottom"/>
            <w:tcBorders>
              <w:top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4,212,543,236</w:t>
            </w:r>
          </w:p>
        </w:tc>
        <w:tc>
          <w:tcPr>
            <w:tcW w:w="20" w:type="dxa"/>
            <w:vAlign w:val="bottom"/>
          </w:tcPr>
          <w:p>
            <w:pPr>
              <w:spacing w:after="0"/>
              <w:rPr>
                <w:sz w:val="18"/>
                <w:szCs w:val="18"/>
                <w:color w:val="auto"/>
              </w:rPr>
            </w:pPr>
          </w:p>
        </w:tc>
      </w:tr>
      <w:tr>
        <w:trPr>
          <w:trHeight w:val="969"/>
        </w:trPr>
        <w:tc>
          <w:tcPr>
            <w:tcW w:w="31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920" w:type="dxa"/>
            <w:vAlign w:val="bottom"/>
          </w:tcPr>
          <w:p>
            <w:pPr>
              <w:spacing w:after="0"/>
              <w:rPr>
                <w:sz w:val="20"/>
                <w:szCs w:val="20"/>
                <w:color w:val="auto"/>
              </w:rPr>
            </w:pPr>
          </w:p>
        </w:tc>
      </w:tr>
      <w:tr>
        <w:trPr>
          <w:trHeight w:val="405"/>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 of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9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Three months ended March 31, 2022 and 2021</w:t>
            </w:r>
          </w:p>
        </w:tc>
        <w:tc>
          <w:tcPr>
            <w:tcW w:w="1920" w:type="dxa"/>
            <w:vAlign w:val="bottom"/>
          </w:tcPr>
          <w:p>
            <w:pPr>
              <w:spacing w:after="0"/>
              <w:rPr>
                <w:sz w:val="20"/>
                <w:szCs w:val="20"/>
                <w:color w:val="auto"/>
              </w:rPr>
            </w:pPr>
          </w:p>
        </w:tc>
      </w:tr>
      <w:tr>
        <w:trPr>
          <w:trHeight w:val="414"/>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 of Comprehensive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Three months ended March 31, 2022 and 2021</w:t>
            </w:r>
          </w:p>
        </w:tc>
        <w:tc>
          <w:tcPr>
            <w:tcW w:w="1920" w:type="dxa"/>
            <w:vAlign w:val="bottom"/>
          </w:tcPr>
          <w:p>
            <w:pPr>
              <w:spacing w:after="0"/>
              <w:rPr>
                <w:sz w:val="20"/>
                <w:szCs w:val="20"/>
                <w:color w:val="auto"/>
              </w:rPr>
            </w:pPr>
          </w:p>
        </w:tc>
      </w:tr>
      <w:tr>
        <w:trPr>
          <w:trHeight w:val="414"/>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Balance Sheet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9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 of March 31, 2022 and December 31, 2021</w:t>
            </w:r>
          </w:p>
        </w:tc>
        <w:tc>
          <w:tcPr>
            <w:tcW w:w="1920" w:type="dxa"/>
            <w:vAlign w:val="bottom"/>
          </w:tcPr>
          <w:p>
            <w:pPr>
              <w:spacing w:after="0"/>
              <w:rPr>
                <w:sz w:val="20"/>
                <w:szCs w:val="20"/>
                <w:color w:val="auto"/>
              </w:rPr>
            </w:pPr>
          </w:p>
        </w:tc>
      </w:tr>
      <w:tr>
        <w:trPr>
          <w:trHeight w:val="414"/>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9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Three months ended March 31, 2022 and 2021</w:t>
            </w:r>
          </w:p>
        </w:tc>
        <w:tc>
          <w:tcPr>
            <w:tcW w:w="1920" w:type="dxa"/>
            <w:vAlign w:val="bottom"/>
          </w:tcPr>
          <w:p>
            <w:pPr>
              <w:spacing w:after="0"/>
              <w:rPr>
                <w:sz w:val="20"/>
                <w:szCs w:val="20"/>
                <w:color w:val="auto"/>
              </w:rPr>
            </w:pPr>
          </w:p>
        </w:tc>
      </w:tr>
      <w:tr>
        <w:trPr>
          <w:trHeight w:val="414"/>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 of Changes in Equity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9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Three months ended March 31, 2022 and 2021</w:t>
            </w:r>
          </w:p>
        </w:tc>
        <w:tc>
          <w:tcPr>
            <w:tcW w:w="1920" w:type="dxa"/>
            <w:vAlign w:val="bottom"/>
          </w:tcPr>
          <w:p>
            <w:pPr>
              <w:spacing w:after="0"/>
              <w:rPr>
                <w:sz w:val="20"/>
                <w:szCs w:val="20"/>
                <w:color w:val="auto"/>
              </w:rPr>
            </w:pPr>
          </w:p>
        </w:tc>
      </w:tr>
      <w:tr>
        <w:trPr>
          <w:trHeight w:val="468"/>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59"/>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59"/>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59"/>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688"/>
        </w:trPr>
        <w:tc>
          <w:tcPr>
            <w:tcW w:w="918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920" w:type="dxa"/>
            <w:vAlign w:val="bottom"/>
          </w:tcPr>
          <w:p>
            <w:pPr>
              <w:spacing w:after="0"/>
              <w:rPr>
                <w:sz w:val="24"/>
                <w:szCs w:val="24"/>
                <w:color w:val="auto"/>
              </w:rPr>
            </w:pPr>
          </w:p>
        </w:tc>
      </w:tr>
      <w:tr>
        <w:trPr>
          <w:trHeight w:val="500"/>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9"/>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9"/>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9"/>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9"/>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887"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30"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740" w:type="dxa"/>
            <w:vAlign w:val="bottom"/>
          </w:tcPr>
          <w:p>
            <w:pPr>
              <w:spacing w:after="0"/>
              <w:rPr>
                <w:sz w:val="16"/>
                <w:szCs w:val="16"/>
                <w:color w:val="auto"/>
              </w:rPr>
            </w:pPr>
          </w:p>
        </w:tc>
        <w:tc>
          <w:tcPr>
            <w:tcW w:w="140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6"/>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and other income</w:t>
            </w: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74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87,734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57,552</w:t>
            </w:r>
          </w:p>
        </w:tc>
        <w:tc>
          <w:tcPr>
            <w:tcW w:w="0" w:type="dxa"/>
            <w:vAlign w:val="bottom"/>
          </w:tcPr>
          <w:p>
            <w:pPr>
              <w:spacing w:after="0"/>
              <w:rPr>
                <w:sz w:val="1"/>
                <w:szCs w:val="1"/>
                <w:color w:val="auto"/>
              </w:rPr>
            </w:pPr>
          </w:p>
        </w:tc>
      </w:tr>
      <w:tr>
        <w:trPr>
          <w:trHeight w:val="229"/>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2,538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34"/>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4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228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14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90,500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59,147</w:t>
            </w:r>
          </w:p>
        </w:tc>
        <w:tc>
          <w:tcPr>
            <w:tcW w:w="0" w:type="dxa"/>
            <w:vAlign w:val="bottom"/>
          </w:tcPr>
          <w:p>
            <w:pPr>
              <w:spacing w:after="0"/>
              <w:rPr>
                <w:sz w:val="1"/>
                <w:szCs w:val="1"/>
                <w:color w:val="auto"/>
              </w:rPr>
            </w:pPr>
          </w:p>
        </w:tc>
      </w:tr>
      <w:tr>
        <w:trPr>
          <w:trHeight w:val="205"/>
        </w:trPr>
        <w:tc>
          <w:tcPr>
            <w:tcW w:w="8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Costs and other deductions</w:t>
            </w: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Crude oil and product purchases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52,388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32,601</w:t>
            </w:r>
          </w:p>
        </w:tc>
        <w:tc>
          <w:tcPr>
            <w:tcW w:w="0" w:type="dxa"/>
            <w:vAlign w:val="bottom"/>
          </w:tcPr>
          <w:p>
            <w:pPr>
              <w:spacing w:after="0"/>
              <w:rPr>
                <w:sz w:val="1"/>
                <w:szCs w:val="1"/>
                <w:color w:val="auto"/>
              </w:rPr>
            </w:pPr>
          </w:p>
        </w:tc>
      </w:tr>
      <w:tr>
        <w:trPr>
          <w:trHeight w:val="229"/>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Production and manufacturing expenses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10,241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0" w:type="dxa"/>
            <w:vAlign w:val="bottom"/>
          </w:tcPr>
          <w:p>
            <w:pPr>
              <w:spacing w:after="0"/>
              <w:rPr>
                <w:sz w:val="1"/>
                <w:szCs w:val="1"/>
                <w:color w:val="auto"/>
              </w:rPr>
            </w:pPr>
          </w:p>
        </w:tc>
      </w:tr>
      <w:tr>
        <w:trPr>
          <w:trHeight w:val="230"/>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2,409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29"/>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depletion (including impairments)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8,883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29"/>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Exploration expenses, including dry holes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173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Non-service pension and postretirement benefit expense</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9"/>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188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4"/>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taxes and duties</w:t>
            </w:r>
          </w:p>
        </w:tc>
        <w:tc>
          <w:tcPr>
            <w:tcW w:w="14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7,554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other deductions</w:t>
            </w:r>
          </w:p>
        </w:tc>
        <w:tc>
          <w:tcPr>
            <w:tcW w:w="14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81,944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55,555</w:t>
            </w:r>
          </w:p>
        </w:tc>
        <w:tc>
          <w:tcPr>
            <w:tcW w:w="0" w:type="dxa"/>
            <w:vAlign w:val="bottom"/>
          </w:tcPr>
          <w:p>
            <w:pPr>
              <w:spacing w:after="0"/>
              <w:rPr>
                <w:sz w:val="1"/>
                <w:szCs w:val="1"/>
                <w:color w:val="auto"/>
              </w:rPr>
            </w:pPr>
          </w:p>
        </w:tc>
      </w:tr>
      <w:tr>
        <w:trPr>
          <w:trHeight w:val="218"/>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8,556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2,806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8"/>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5,750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34"/>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4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270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ExxonMobil</w:t>
            </w:r>
          </w:p>
        </w:tc>
        <w:tc>
          <w:tcPr>
            <w:tcW w:w="14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5,480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48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Earnings (loss) per common share </w:t>
            </w:r>
            <w:r>
              <w:rPr>
                <w:rFonts w:ascii="Times New Roman" w:cs="Times New Roman" w:eastAsia="Times New Roman" w:hAnsi="Times New Roman"/>
                <w:sz w:val="18"/>
                <w:szCs w:val="18"/>
                <w:i w:val="1"/>
                <w:iCs w:val="1"/>
                <w:color w:val="auto"/>
              </w:rPr>
              <w:t>(dollars)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1.28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499"/>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Earnings (loss) per common share - assuming dilution </w:t>
            </w:r>
            <w:r>
              <w:rPr>
                <w:rFonts w:ascii="Times New Roman" w:cs="Times New Roman" w:eastAsia="Times New Roman" w:hAnsi="Times New Roman"/>
                <w:sz w:val="18"/>
                <w:szCs w:val="18"/>
                <w:i w:val="1"/>
                <w:iCs w:val="1"/>
                <w:color w:val="auto"/>
              </w:rPr>
              <w:t>(dollars)</w:t>
            </w:r>
          </w:p>
        </w:tc>
        <w:tc>
          <w:tcPr>
            <w:tcW w:w="140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1.28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Condensed Consolidated Financial Statements is an integral part of these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4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874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5,750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29"/>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741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Postretirement benefits reserves adjustment (excluding amortization)</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180"/>
        </w:trPr>
        <w:tc>
          <w:tcPr>
            <w:tcW w:w="874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 adjustment</w:t>
            </w: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included in net periodic benefit costs</w:t>
            </w:r>
          </w:p>
        </w:tc>
        <w:tc>
          <w:tcPr>
            <w:tcW w:w="14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93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939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18"/>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including noncontrolling interests</w:t>
            </w:r>
          </w:p>
        </w:tc>
        <w:tc>
          <w:tcPr>
            <w:tcW w:w="14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6,689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34"/>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4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359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ExxonMobil</w:t>
            </w:r>
          </w:p>
        </w:tc>
        <w:tc>
          <w:tcPr>
            <w:tcW w:w="14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6,330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Condensed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6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220" w:type="dxa"/>
            <w:vAlign w:val="bottom"/>
          </w:tcPr>
          <w:p>
            <w:pPr>
              <w:spacing w:after="0"/>
              <w:rPr>
                <w:sz w:val="16"/>
                <w:szCs w:val="16"/>
                <w:color w:val="auto"/>
              </w:rPr>
            </w:pPr>
          </w:p>
        </w:tc>
        <w:tc>
          <w:tcPr>
            <w:tcW w:w="16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11,074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30"/>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Notes and accounts receivable – net</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42,142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32,383</w:t>
            </w:r>
          </w:p>
        </w:tc>
      </w:tr>
      <w:tr>
        <w:trPr>
          <w:trHeight w:val="229"/>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Crude oil, products and merchandise</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18,074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14,519</w:t>
            </w:r>
          </w:p>
        </w:tc>
      </w:tr>
      <w:tr>
        <w:trPr>
          <w:trHeight w:val="230"/>
        </w:trPr>
        <w:tc>
          <w:tcPr>
            <w:tcW w:w="8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Materials and supplies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4,103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r>
      <w:tr>
        <w:trPr>
          <w:trHeight w:val="234"/>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1,862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1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77,255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59,154</w:t>
            </w: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advances and long-term receivables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46,329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45,195</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212,773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216,552</w:t>
            </w:r>
          </w:p>
        </w:tc>
      </w:tr>
      <w:tr>
        <w:trPr>
          <w:trHeight w:val="234"/>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 including intangibles – net</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18,414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18,022</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354,771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338,923</w:t>
            </w:r>
          </w:p>
        </w:tc>
      </w:tr>
      <w:tr>
        <w:trPr>
          <w:trHeight w:val="47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Notes and loans payable</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4,886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29"/>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63,501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50,766</w:t>
            </w:r>
          </w:p>
        </w:tc>
      </w:tr>
      <w:tr>
        <w:trPr>
          <w:trHeight w:val="234"/>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3,672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1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72,059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56,643</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42,651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43,428</w:t>
            </w: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Postretirement benefits reserves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18,255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19,533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obligations to equity companies</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2,875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34"/>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22,872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21,717</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178,245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163,240</w:t>
            </w:r>
          </w:p>
        </w:tc>
      </w:tr>
      <w:tr>
        <w:trPr>
          <w:trHeight w:val="48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5"/>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(9,000 million shares authorized, 8,019 million shares issued)</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15,879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reinvested</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393,779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392,059</w:t>
            </w: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(12,914)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held in treasury</w:t>
            </w: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0"/>
        </w:trPr>
        <w:tc>
          <w:tcPr>
            <w:tcW w:w="8220" w:type="dxa"/>
            <w:vAlign w:val="bottom"/>
          </w:tcPr>
          <w:p>
            <w:pPr>
              <w:ind w:left="500"/>
              <w:spacing w:after="0" w:line="181" w:lineRule="exact"/>
              <w:rPr>
                <w:sz w:val="20"/>
                <w:szCs w:val="20"/>
                <w:color w:val="auto"/>
              </w:rPr>
            </w:pPr>
            <w:r>
              <w:rPr>
                <w:rFonts w:ascii="Times New Roman" w:cs="Times New Roman" w:eastAsia="Times New Roman" w:hAnsi="Times New Roman"/>
                <w:sz w:val="18"/>
                <w:szCs w:val="18"/>
                <w:color w:val="auto"/>
              </w:rPr>
              <w:t>(3,806 million shares at March 31, 2022 and</w:t>
            </w: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3,780 million shares at December 31, 2021)</w:t>
            </w:r>
          </w:p>
        </w:tc>
        <w:tc>
          <w:tcPr>
            <w:tcW w:w="1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(227,529)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(225,464)</w:t>
            </w:r>
          </w:p>
        </w:tc>
      </w:tr>
      <w:tr>
        <w:trPr>
          <w:trHeight w:val="21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ExxonMobil share of equity</w:t>
            </w: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169,215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168,577</w:t>
            </w:r>
          </w:p>
        </w:tc>
      </w:tr>
      <w:tr>
        <w:trPr>
          <w:trHeight w:val="234"/>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7,311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176,526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175,683</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354,771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338,923</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Condensed Consolidated Financial Statements is an integral part of these statements.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p>
      <w:pPr>
        <w:sectPr>
          <w:pgSz w:w="11900" w:h="16838" w:orient="portrait"/>
          <w:cols w:equalWidth="0" w:num="1">
            <w:col w:w="11200"/>
          </w:cols>
          <w:pgMar w:left="340" w:top="927" w:right="359" w:bottom="1440" w:gutter="0" w:footer="0" w:header="0"/>
        </w:sectPr>
      </w:pPr>
    </w:p>
    <w:p>
      <w:pPr>
        <w:spacing w:after="0" w:line="34"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Depreciation and depletion (including impairments)</w:t>
      </w:r>
    </w:p>
    <w:p>
      <w:pPr>
        <w:spacing w:after="0" w:line="23" w:lineRule="exact"/>
        <w:rPr>
          <w:sz w:val="20"/>
          <w:szCs w:val="20"/>
          <w:color w:val="auto"/>
        </w:rPr>
      </w:pPr>
    </w:p>
    <w:p>
      <w:pPr>
        <w:ind w:left="200" w:right="2640"/>
        <w:spacing w:after="0" w:line="266" w:lineRule="auto"/>
        <w:rPr>
          <w:sz w:val="20"/>
          <w:szCs w:val="20"/>
          <w:color w:val="auto"/>
        </w:rPr>
      </w:pPr>
      <w:r>
        <w:rPr>
          <w:rFonts w:ascii="Times New Roman" w:cs="Times New Roman" w:eastAsia="Times New Roman" w:hAnsi="Times New Roman"/>
          <w:sz w:val="18"/>
          <w:szCs w:val="18"/>
          <w:color w:val="auto"/>
        </w:rPr>
        <w:t>Changes in operational working capital, excluding cash and debt All other items – net</w:t>
      </w: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Proceeds from asset sales and returns of investments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Additional investments and advances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investing activities including collection of advances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Additions to short-term debt</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Reductions in short-term debt</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Additions/(reductions) in debt with three months or less maturity</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dividends to ExxonMobil shareholders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dividends to noncontrolling interests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Changes in noncontrolling interests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stock acquired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Effects of exchange rate changes on cash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Increase/(decrease) in cash and cash equivalents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taxes paid</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interest paid</w:t>
      </w:r>
    </w:p>
    <w:p>
      <w:pPr>
        <w:spacing w:after="0" w:line="23" w:lineRule="exact"/>
        <w:rPr>
          <w:sz w:val="20"/>
          <w:szCs w:val="20"/>
          <w:color w:val="auto"/>
        </w:rPr>
      </w:pPr>
    </w:p>
    <w:p>
      <w:pPr>
        <w:ind w:left="460" w:right="2740"/>
        <w:spacing w:after="0" w:line="281" w:lineRule="auto"/>
        <w:rPr>
          <w:sz w:val="20"/>
          <w:szCs w:val="20"/>
          <w:color w:val="auto"/>
        </w:rPr>
      </w:pPr>
      <w:r>
        <w:rPr>
          <w:rFonts w:ascii="Times New Roman" w:cs="Times New Roman" w:eastAsia="Times New Roman" w:hAnsi="Times New Roman"/>
          <w:sz w:val="17"/>
          <w:szCs w:val="17"/>
          <w:color w:val="auto"/>
        </w:rPr>
        <w:t>Included in cash flows from operating activities Capitalized, included in cash flows from investing activities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cash interest paid</w:t>
      </w:r>
    </w:p>
    <w:p>
      <w:pPr>
        <w:spacing w:after="0" w:line="31" w:lineRule="exact"/>
        <w:rPr>
          <w:sz w:val="20"/>
          <w:szCs w:val="20"/>
          <w:color w:val="auto"/>
        </w:rPr>
      </w:pPr>
    </w:p>
    <w:p>
      <w:pPr>
        <w:ind w:left="460" w:right="2380" w:hanging="242"/>
        <w:spacing w:after="0" w:line="268" w:lineRule="auto"/>
        <w:rPr>
          <w:sz w:val="20"/>
          <w:szCs w:val="20"/>
          <w:color w:val="auto"/>
        </w:rPr>
      </w:pPr>
      <w:r>
        <w:rPr>
          <w:rFonts w:ascii="Times New Roman" w:cs="Times New Roman" w:eastAsia="Times New Roman" w:hAnsi="Times New Roman"/>
          <w:sz w:val="18"/>
          <w:szCs w:val="18"/>
          <w:color w:val="auto"/>
        </w:rPr>
        <w:t>Noncash right of use assets recorded in exchange for lease liabilities Operating leases</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Finance leases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 w:lineRule="exact"/>
        <w:rPr>
          <w:sz w:val="20"/>
          <w:szCs w:val="20"/>
          <w:color w:val="auto"/>
        </w:rPr>
      </w:pPr>
    </w:p>
    <w:p>
      <w:pPr>
        <w:ind w:left="58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71"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3"/>
              </w:rPr>
              <w:t>5,750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30"/>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3"/>
              </w:rPr>
              <w:t>8,883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r>
      <w:tr>
        <w:trPr>
          <w:trHeight w:val="234"/>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3"/>
              </w:rPr>
              <w:t>1,086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bl>
    <w:p>
      <w:pPr>
        <w:ind w:left="2560" w:hanging="1543"/>
        <w:spacing w:after="0"/>
        <w:tabs>
          <w:tab w:leader="none" w:pos="2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885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1" w:lineRule="exact"/>
        <w:rPr>
          <w:sz w:val="20"/>
          <w:szCs w:val="20"/>
          <w:color w:val="auto"/>
        </w:rPr>
      </w:pPr>
    </w:p>
    <w:p>
      <w:pPr>
        <w:ind w:left="860"/>
        <w:spacing w:after="0"/>
        <w:tabs>
          <w:tab w:leader="none" w:pos="2480" w:val="left"/>
        </w:tabs>
        <w:rPr>
          <w:sz w:val="20"/>
          <w:szCs w:val="20"/>
          <w:color w:val="auto"/>
        </w:rPr>
      </w:pPr>
      <w:r>
        <w:rPr>
          <w:rFonts w:ascii="Times New Roman" w:cs="Times New Roman" w:eastAsia="Times New Roman" w:hAnsi="Times New Roman"/>
          <w:sz w:val="18"/>
          <w:szCs w:val="18"/>
          <w:color w:val="auto"/>
        </w:rPr>
        <w:t>14,788</w:t>
      </w:r>
      <w:r>
        <w:rPr>
          <w:sz w:val="20"/>
          <w:szCs w:val="20"/>
          <w:color w:val="auto"/>
        </w:rPr>
        <w:tab/>
      </w:r>
      <w:r>
        <w:rPr>
          <w:rFonts w:ascii="Times New Roman" w:cs="Times New Roman" w:eastAsia="Times New Roman" w:hAnsi="Times New Roman"/>
          <w:sz w:val="18"/>
          <w:szCs w:val="18"/>
          <w:color w:val="auto"/>
        </w:rPr>
        <w:t>9,264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(3,911)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1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4"/>
        </w:trPr>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1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(3,945)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596"/>
        </w:trPr>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29"/>
        </w:trPr>
        <w:tc>
          <w:tcPr>
            <w:tcW w:w="1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r>
      <w:tr>
        <w:trPr>
          <w:trHeight w:val="230"/>
        </w:trPr>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1,366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29"/>
        </w:trPr>
        <w:tc>
          <w:tcPr>
            <w:tcW w:w="1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(3,760)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30"/>
        </w:trPr>
        <w:tc>
          <w:tcPr>
            <w:tcW w:w="1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1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(2,067)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1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(6,713)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23"/>
        </w:trPr>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142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8"/>
        </w:trPr>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4,272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34"/>
        </w:trPr>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6,802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23"/>
        </w:trPr>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11,074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601"/>
        </w:trPr>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454"/>
        </w:trPr>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4"/>
        </w:trPr>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187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506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434"/>
        </w:trPr>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4"/>
        </w:trPr>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656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2">
            <w:col w:w="7500" w:space="720"/>
            <w:col w:w="2980"/>
          </w:cols>
          <w:pgMar w:left="340" w:top="927" w:right="35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The information in the Notes to Condensed Consolidated Financial Statements is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60" w:type="dxa"/>
            <w:vAlign w:val="bottom"/>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ExxonMobil Share of Equity</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ExxonMobil</w:t>
            </w:r>
          </w:p>
        </w:tc>
        <w:tc>
          <w:tcPr>
            <w:tcW w:w="116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380" w:type="dxa"/>
            <w:vAlign w:val="bottom"/>
          </w:tcPr>
          <w:p>
            <w:pPr>
              <w:jc w:val="right"/>
              <w:ind w:right="133"/>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Held in</w:t>
            </w:r>
          </w:p>
        </w:tc>
        <w:tc>
          <w:tcPr>
            <w:tcW w:w="1080" w:type="dxa"/>
            <w:vAlign w:val="bottom"/>
            <w:vMerge w:val="continue"/>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Reinvested</w:t>
            </w:r>
          </w:p>
        </w:tc>
        <w:tc>
          <w:tcPr>
            <w:tcW w:w="13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 of Equity</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15,688</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383,943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(225,776)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157,150</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6,980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164,130</w:t>
            </w: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stock-based awards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202</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2,730</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2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 common shares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2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615</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at cost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15,884</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382,953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(225,773)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156,974</w:t>
            </w: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7,127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164,101</w:t>
            </w:r>
          </w:p>
        </w:tc>
        <w:tc>
          <w:tcPr>
            <w:tcW w:w="0" w:type="dxa"/>
            <w:vAlign w:val="bottom"/>
          </w:tcPr>
          <w:p>
            <w:pPr>
              <w:spacing w:after="0"/>
              <w:rPr>
                <w:sz w:val="1"/>
                <w:szCs w:val="1"/>
                <w:color w:val="auto"/>
              </w:rPr>
            </w:pPr>
          </w:p>
        </w:tc>
      </w:tr>
      <w:tr>
        <w:trPr>
          <w:trHeight w:val="42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15,746</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392,059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(225,464)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168,577</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7,106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175,683</w:t>
            </w: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stock-based awards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5,480</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 common shares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2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850</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9"/>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at cost</w:t>
            </w: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34"/>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Dispositions</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15,879</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393,779</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(227,529)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169,215</w:t>
            </w: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7,311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176,526</w:t>
            </w:r>
          </w:p>
        </w:tc>
        <w:tc>
          <w:tcPr>
            <w:tcW w:w="0" w:type="dxa"/>
            <w:vAlign w:val="bottom"/>
          </w:tcPr>
          <w:p>
            <w:pPr>
              <w:spacing w:after="0"/>
              <w:rPr>
                <w:sz w:val="1"/>
                <w:szCs w:val="1"/>
                <w:color w:val="auto"/>
              </w:rPr>
            </w:pPr>
          </w:p>
        </w:tc>
      </w:tr>
    </w:tbl>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8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356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0" w:type="dxa"/>
            <w:vAlign w:val="bottom"/>
          </w:tcPr>
          <w:p>
            <w:pPr>
              <w:spacing w:after="0"/>
              <w:rPr>
                <w:sz w:val="1"/>
                <w:szCs w:val="1"/>
                <w:color w:val="auto"/>
              </w:rPr>
            </w:pPr>
          </w:p>
        </w:tc>
      </w:tr>
      <w:tr>
        <w:trPr>
          <w:trHeight w:val="37"/>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Common Stock Share Activity</w:t>
            </w:r>
          </w:p>
        </w:tc>
        <w:tc>
          <w:tcPr>
            <w:tcW w:w="1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580" w:type="dxa"/>
            <w:vAlign w:val="bottom"/>
            <w:gridSpan w:val="2"/>
            <w:vMerge w:val="continue"/>
          </w:tcPr>
          <w:p>
            <w:pPr>
              <w:spacing w:after="0"/>
              <w:rPr>
                <w:sz w:val="14"/>
                <w:szCs w:val="14"/>
                <w:color w:val="auto"/>
              </w:rPr>
            </w:pP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3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shares)</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4"/>
                <w:szCs w:val="14"/>
                <w:i w:val="1"/>
                <w:iCs w:val="1"/>
                <w:color w:val="auto"/>
              </w:rPr>
              <w:t>(millions of shares)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8,019</w:t>
            </w: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(3,780)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5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8,019</w:t>
            </w: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(3,786)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Dispositions</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8,019</w:t>
            </w:r>
          </w:p>
        </w:tc>
        <w:tc>
          <w:tcPr>
            <w:tcW w:w="13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(3,806)</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8,019</w:t>
            </w:r>
          </w:p>
        </w:tc>
        <w:tc>
          <w:tcPr>
            <w:tcW w:w="13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(3,785)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Condensed Consolidated Financial Statements is an integral part of these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ind w:left="426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Financial Statement Preparation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the context of the consolidated financial statements and notes thereto filed with the Securities and Exchange Commission in the Corporation's 2021 Annual Report on Form 10-K. In the opinion of the Corporation, the information furnished herein reflects all known accruals and adjustments necessary for a fair statement of the results for the periods reported herein. All such adjustments are of a normal recurring nature. Prior data has been reclassified in certain cases to conform to the current presentation basis.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exploration and production activities are accounted for under the "successful efforts" method.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Russia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early March, in response to Russia’s military action in Ukraine, the Corporation announced that it plans to discontinue operations on the Sakhalin-1 project (“Sakhalin”) and develop steps to exit the venture. In light of this, and given the considerable uncertainties surrounding the ongoing operation and future cash-flow generating capability of Sakhalin, an impairment assessment was required, and management determined that the carrying value of the asset group was not recoverable. As a result, the Corporation’s first quarter earnings include after-tax charges of $3.4 billion largely representing the impairment of its operations related to Sakhalin. On a before-tax basis, the charges amounted to $4.6 billion, substantially all of which is reflected in the line captioned “Depreciation and depletion (including impairments)” on the Condensed Consolidated Statement of Income. The Corporation's exit from the project would result in quantities estimated at 150 million oil-equivalent barrels no longer qualifying as proved reserves, which represented less than one percent of the Corporation's 18.5 billion oil-equivalent barrels of proved reserves at year-end 2021.</w:t>
      </w:r>
    </w:p>
    <w:p>
      <w:pPr>
        <w:spacing w:after="0" w:line="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assessment of fair value required the use of Level 3 inputs and assumptions that are based on the views of a likely market participant. As of March 31, the pool of market participants for Russia-based upstream assets was assessed as extremely limited. In arriving at a fair value for its interest in Sakhalin, the Corporation considered, among other things, the current state of sanctions, the regulatory environment within Russia, the statements and actions of potential market participants, and the range and risks of future cash flows that a market participant might consider. Given these significant uncertainties, the likelihood of a third-party market participant agreeing to engage in a transaction for the Corporation’s interest in Sakhalin, as of March 31, was judged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Litigation and Other Contingencies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A variety of claims have been made against ExxonMobil and certain of its consolidated subsidiaries in a number of pending lawsuits.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For purposes of our contingency disclosures, “significant” includes material matters, as well as other matters which management believes should be disclosed. ExxonMobil will continue to defend itself vigorously in these matters.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Contingencies. </w:t>
      </w:r>
      <w:r>
        <w:rPr>
          <w:rFonts w:ascii="Times New Roman" w:cs="Times New Roman" w:eastAsia="Times New Roman" w:hAnsi="Times New Roman"/>
          <w:sz w:val="18"/>
          <w:szCs w:val="18"/>
          <w:color w:val="auto"/>
        </w:rPr>
        <w:t>The Corporation and certain of its consolidated subsidiaries were contingently liable at March 31, 2022, for guarantees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loans and performance under contracts. Where guarantees for environmental remediation and other similar matters do not include a stated cap, the amounts reflect management’s estimate of the maximum potential exposure. These guarantees are not reasonably likely to have a material effect on the Corporation’s financial condition, changes in financial condition, revenues or expenses, results of operations, liquidity, capital expenditures or capital resources.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40" w:type="dxa"/>
            <w:vAlign w:val="bottom"/>
          </w:tcPr>
          <w:p>
            <w:pPr>
              <w:spacing w:after="0"/>
              <w:rPr>
                <w:sz w:val="16"/>
                <w:szCs w:val="16"/>
                <w:color w:val="auto"/>
              </w:rPr>
            </w:pPr>
          </w:p>
        </w:tc>
      </w:tr>
      <w:tr>
        <w:trPr>
          <w:trHeight w:val="37"/>
        </w:trPr>
        <w:tc>
          <w:tcPr>
            <w:tcW w:w="66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44"/>
        </w:trPr>
        <w:tc>
          <w:tcPr>
            <w:tcW w:w="6680" w:type="dxa"/>
            <w:vAlign w:val="bottom"/>
          </w:tcPr>
          <w:p>
            <w:pPr>
              <w:spacing w:after="0"/>
              <w:rPr>
                <w:sz w:val="12"/>
                <w:szCs w:val="12"/>
                <w:color w:val="auto"/>
              </w:rPr>
            </w:pPr>
          </w:p>
        </w:tc>
        <w:tc>
          <w:tcPr>
            <w:tcW w:w="1520" w:type="dxa"/>
            <w:vAlign w:val="bottom"/>
          </w:tcPr>
          <w:p>
            <w:pPr>
              <w:jc w:val="right"/>
              <w:ind w:right="197"/>
              <w:spacing w:after="0" w:line="145" w:lineRule="exact"/>
              <w:rPr>
                <w:sz w:val="20"/>
                <w:szCs w:val="20"/>
                <w:color w:val="auto"/>
              </w:rPr>
            </w:pPr>
            <w:r>
              <w:rPr>
                <w:rFonts w:ascii="Times New Roman" w:cs="Times New Roman" w:eastAsia="Times New Roman" w:hAnsi="Times New Roman"/>
                <w:sz w:val="14"/>
                <w:szCs w:val="14"/>
                <w:b w:val="1"/>
                <w:bCs w:val="1"/>
                <w:color w:val="auto"/>
              </w:rPr>
              <w:t>Equity Company</w:t>
            </w:r>
          </w:p>
        </w:tc>
        <w:tc>
          <w:tcPr>
            <w:tcW w:w="1760" w:type="dxa"/>
            <w:vAlign w:val="bottom"/>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Other Third-Party</w:t>
            </w:r>
          </w:p>
        </w:tc>
        <w:tc>
          <w:tcPr>
            <w:tcW w:w="1240" w:type="dxa"/>
            <w:vAlign w:val="bottom"/>
          </w:tcPr>
          <w:p>
            <w:pPr>
              <w:spacing w:after="0"/>
              <w:rPr>
                <w:sz w:val="12"/>
                <w:szCs w:val="12"/>
                <w:color w:val="auto"/>
              </w:rPr>
            </w:pPr>
          </w:p>
        </w:tc>
      </w:tr>
      <w:tr>
        <w:trPr>
          <w:trHeight w:val="222"/>
        </w:trPr>
        <w:tc>
          <w:tcPr>
            <w:tcW w:w="6680" w:type="dxa"/>
            <w:vAlign w:val="bottom"/>
          </w:tcPr>
          <w:p>
            <w:pPr>
              <w:spacing w:after="0"/>
              <w:rPr>
                <w:sz w:val="19"/>
                <w:szCs w:val="19"/>
                <w:color w:val="auto"/>
              </w:rPr>
            </w:pPr>
          </w:p>
        </w:tc>
        <w:tc>
          <w:tcPr>
            <w:tcW w:w="15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 xml:space="preserve">Obligations </w:t>
            </w:r>
            <w:r>
              <w:rPr>
                <w:rFonts w:ascii="Times New Roman" w:cs="Times New Roman" w:eastAsia="Times New Roman" w:hAnsi="Times New Roman"/>
                <w:sz w:val="14"/>
                <w:szCs w:val="14"/>
                <w:b w:val="1"/>
                <w:bCs w:val="1"/>
                <w:i w:val="1"/>
                <w:iCs w:val="1"/>
                <w:color w:val="auto"/>
              </w:rPr>
              <w:t>(1)</w:t>
            </w:r>
          </w:p>
        </w:tc>
        <w:tc>
          <w:tcPr>
            <w:tcW w:w="17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6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60" w:type="dxa"/>
            <w:vAlign w:val="bottom"/>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40" w:type="dxa"/>
            <w:vAlign w:val="bottom"/>
          </w:tcPr>
          <w:p>
            <w:pPr>
              <w:spacing w:after="0"/>
              <w:rPr>
                <w:sz w:val="16"/>
                <w:szCs w:val="16"/>
                <w:color w:val="auto"/>
              </w:rPr>
            </w:pPr>
          </w:p>
        </w:tc>
      </w:tr>
      <w:tr>
        <w:trPr>
          <w:trHeight w:val="25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Guarantees</w:t>
            </w:r>
          </w:p>
        </w:tc>
        <w:tc>
          <w:tcPr>
            <w:tcW w:w="15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66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Debt-related</w:t>
            </w:r>
          </w:p>
        </w:tc>
        <w:tc>
          <w:tcPr>
            <w:tcW w:w="15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1,152</w:t>
            </w:r>
          </w:p>
        </w:tc>
        <w:tc>
          <w:tcPr>
            <w:tcW w:w="1760" w:type="dxa"/>
            <w:vAlign w:val="bottom"/>
          </w:tcPr>
          <w:p>
            <w:pPr>
              <w:jc w:val="right"/>
              <w:ind w:right="300"/>
              <w:spacing w:after="0"/>
              <w:rPr>
                <w:sz w:val="20"/>
                <w:szCs w:val="20"/>
                <w:color w:val="auto"/>
              </w:rPr>
            </w:pPr>
            <w:r>
              <w:rPr>
                <w:rFonts w:ascii="Times New Roman" w:cs="Times New Roman" w:eastAsia="Times New Roman" w:hAnsi="Times New Roman"/>
                <w:sz w:val="18"/>
                <w:szCs w:val="18"/>
                <w:color w:val="auto"/>
              </w:rPr>
              <w:t>145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34"/>
        </w:trPr>
        <w:tc>
          <w:tcPr>
            <w:tcW w:w="66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830</w:t>
            </w:r>
          </w:p>
        </w:tc>
        <w:tc>
          <w:tcPr>
            <w:tcW w:w="17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8"/>
                <w:szCs w:val="18"/>
                <w:color w:val="auto"/>
              </w:rPr>
              <w:t>6,379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w:t>
            </w:r>
          </w:p>
        </w:tc>
      </w:tr>
      <w:tr>
        <w:trPr>
          <w:trHeight w:val="223"/>
        </w:trPr>
        <w:tc>
          <w:tcPr>
            <w:tcW w:w="6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1,982</w:t>
            </w:r>
          </w:p>
        </w:tc>
        <w:tc>
          <w:tcPr>
            <w:tcW w:w="17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8"/>
                <w:szCs w:val="18"/>
                <w:color w:val="auto"/>
              </w:rPr>
              <w:t>6,524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w:t>
            </w:r>
          </w:p>
        </w:tc>
      </w:tr>
    </w:tbl>
    <w:p>
      <w:pPr>
        <w:spacing w:after="0" w:line="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i w:val="1"/>
          <w:iCs w:val="1"/>
          <w:color w:val="auto"/>
        </w:rPr>
        <w:t>(1)</w:t>
      </w:r>
      <w:r>
        <w:rPr>
          <w:sz w:val="20"/>
          <w:szCs w:val="20"/>
          <w:color w:val="auto"/>
        </w:rPr>
        <w:tab/>
      </w:r>
      <w:r>
        <w:rPr>
          <w:rFonts w:ascii="Times New Roman" w:cs="Times New Roman" w:eastAsia="Times New Roman" w:hAnsi="Times New Roman"/>
          <w:sz w:val="18"/>
          <w:szCs w:val="18"/>
          <w:i w:val="1"/>
          <w:iCs w:val="1"/>
          <w:color w:val="auto"/>
        </w:rPr>
        <w:t>ExxonMobil share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operations and earnings of the Corporation and its affiliates throughout the world have been, and may in the future be, affected from time to time in varying degree by political developments and laws and regulations, such as forced divestiture of assets; restrictions on production, imports and exports; price controls; tax increases and retroactive tax claims; expropriation of property; cancellation of contract rights and environmental regulations. Both the likelihood of such occurrences and their overall effect upon the Corporation vary greatly from country to country and are not predictable.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Other Comprehensive Income Information</w:t>
      </w:r>
    </w:p>
    <w:p>
      <w:pPr>
        <w:spacing w:after="0" w:line="12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ExxonMobil Share of Accumulated Other</w:t>
            </w:r>
          </w:p>
        </w:tc>
        <w:tc>
          <w:tcPr>
            <w:tcW w:w="17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216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gridSpan w:val="2"/>
            <w:vMerge w:val="continue"/>
          </w:tcPr>
          <w:p>
            <w:pPr>
              <w:spacing w:after="0"/>
              <w:rPr>
                <w:sz w:val="12"/>
                <w:szCs w:val="12"/>
                <w:color w:val="auto"/>
              </w:rPr>
            </w:pPr>
          </w:p>
        </w:tc>
        <w:tc>
          <w:tcPr>
            <w:tcW w:w="17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Exchange Translation</w:t>
            </w:r>
          </w:p>
        </w:tc>
        <w:tc>
          <w:tcPr>
            <w:tcW w:w="2160" w:type="dxa"/>
            <w:vAlign w:val="bottom"/>
            <w:vMerge w:val="continue"/>
          </w:tcPr>
          <w:p>
            <w:pPr>
              <w:spacing w:after="0"/>
              <w:rPr>
                <w:sz w:val="12"/>
                <w:szCs w:val="12"/>
                <w:color w:val="auto"/>
              </w:rPr>
            </w:pPr>
          </w:p>
        </w:tc>
        <w:tc>
          <w:tcPr>
            <w:tcW w:w="14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8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 Income</w:t>
            </w:r>
          </w:p>
        </w:tc>
        <w:tc>
          <w:tcPr>
            <w:tcW w:w="170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160" w:type="dxa"/>
            <w:vAlign w:val="bottom"/>
          </w:tcPr>
          <w:p>
            <w:pPr>
              <w:jc w:val="right"/>
              <w:ind w:right="454"/>
              <w:spacing w:after="0" w:line="149" w:lineRule="exact"/>
              <w:rPr>
                <w:sz w:val="20"/>
                <w:szCs w:val="20"/>
                <w:color w:val="auto"/>
              </w:rPr>
            </w:pPr>
            <w:r>
              <w:rPr>
                <w:rFonts w:ascii="Times New Roman" w:cs="Times New Roman" w:eastAsia="Times New Roman" w:hAnsi="Times New Roman"/>
                <w:sz w:val="14"/>
                <w:szCs w:val="14"/>
                <w:b w:val="1"/>
                <w:bCs w:val="1"/>
                <w:color w:val="auto"/>
              </w:rPr>
              <w:t>Reserves Adjustment</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tcBorders>
              <w:top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60" w:type="dxa"/>
            <w:vAlign w:val="bottom"/>
          </w:tcPr>
          <w:p>
            <w:pPr>
              <w:jc w:val="right"/>
              <w:ind w:right="55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(10,614)</w:t>
            </w:r>
          </w:p>
        </w:tc>
        <w:tc>
          <w:tcPr>
            <w:tcW w:w="21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(6,091)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0" w:type="dxa"/>
            <w:vAlign w:val="bottom"/>
          </w:tcPr>
          <w:p>
            <w:pPr>
              <w:spacing w:after="0"/>
              <w:rPr>
                <w:sz w:val="1"/>
                <w:szCs w:val="1"/>
                <w:color w:val="auto"/>
              </w:rPr>
            </w:pPr>
          </w:p>
        </w:tc>
      </w:tr>
      <w:tr>
        <w:trPr>
          <w:trHeight w:val="180"/>
        </w:trPr>
        <w:tc>
          <w:tcPr>
            <w:tcW w:w="57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Current period change excluding amounts reclassified</w:t>
            </w:r>
          </w:p>
        </w:tc>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from accumulated other comprehensive income </w:t>
            </w:r>
            <w:r>
              <w:rPr>
                <w:rFonts w:ascii="Times New Roman" w:cs="Times New Roman" w:eastAsia="Times New Roman" w:hAnsi="Times New Roman"/>
                <w:sz w:val="14"/>
                <w:szCs w:val="14"/>
                <w:i w:val="1"/>
                <w:iCs w:val="1"/>
                <w:color w:val="auto"/>
              </w:rPr>
              <w:t>(1)</w:t>
            </w:r>
          </w:p>
        </w:tc>
        <w:tc>
          <w:tcPr>
            <w:tcW w:w="17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88</w:t>
            </w:r>
          </w:p>
        </w:tc>
        <w:tc>
          <w:tcPr>
            <w:tcW w:w="21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80"/>
        </w:trPr>
        <w:tc>
          <w:tcPr>
            <w:tcW w:w="57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1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369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change in accumulated other comprehensive income</w:t>
            </w:r>
          </w:p>
        </w:tc>
        <w:tc>
          <w:tcPr>
            <w:tcW w:w="1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88</w:t>
            </w:r>
          </w:p>
        </w:tc>
        <w:tc>
          <w:tcPr>
            <w:tcW w:w="2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527</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1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(10,526)</w:t>
            </w: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(5,564)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0" w:type="dxa"/>
            <w:vAlign w:val="bottom"/>
          </w:tcPr>
          <w:p>
            <w:pPr>
              <w:spacing w:after="0"/>
              <w:rPr>
                <w:sz w:val="1"/>
                <w:szCs w:val="1"/>
                <w:color w:val="auto"/>
              </w:rPr>
            </w:pPr>
          </w:p>
        </w:tc>
      </w:tr>
      <w:tr>
        <w:trPr>
          <w:trHeight w:val="421"/>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(11,499)</w:t>
            </w:r>
          </w:p>
        </w:tc>
        <w:tc>
          <w:tcPr>
            <w:tcW w:w="21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(2,265)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0" w:type="dxa"/>
            <w:vAlign w:val="bottom"/>
          </w:tcPr>
          <w:p>
            <w:pPr>
              <w:spacing w:after="0"/>
              <w:rPr>
                <w:sz w:val="1"/>
                <w:szCs w:val="1"/>
                <w:color w:val="auto"/>
              </w:rPr>
            </w:pPr>
          </w:p>
        </w:tc>
      </w:tr>
      <w:tr>
        <w:trPr>
          <w:trHeight w:val="180"/>
        </w:trPr>
        <w:tc>
          <w:tcPr>
            <w:tcW w:w="57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Current period change excluding amounts reclassified</w:t>
            </w:r>
          </w:p>
        </w:tc>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from accumulated other comprehensive income </w:t>
            </w:r>
            <w:r>
              <w:rPr>
                <w:rFonts w:ascii="Times New Roman" w:cs="Times New Roman" w:eastAsia="Times New Roman" w:hAnsi="Times New Roman"/>
                <w:sz w:val="14"/>
                <w:szCs w:val="14"/>
                <w:i w:val="1"/>
                <w:iCs w:val="1"/>
                <w:color w:val="auto"/>
              </w:rPr>
              <w:t>(1)</w:t>
            </w:r>
          </w:p>
        </w:tc>
        <w:tc>
          <w:tcPr>
            <w:tcW w:w="17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661</w:t>
            </w:r>
          </w:p>
        </w:tc>
        <w:tc>
          <w:tcPr>
            <w:tcW w:w="21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180"/>
        </w:trPr>
        <w:tc>
          <w:tcPr>
            <w:tcW w:w="57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1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87</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change in accumulated other comprehensive income</w:t>
            </w:r>
          </w:p>
        </w:tc>
        <w:tc>
          <w:tcPr>
            <w:tcW w:w="1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661</w:t>
            </w:r>
          </w:p>
        </w:tc>
        <w:tc>
          <w:tcPr>
            <w:tcW w:w="2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189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(10,838)</w:t>
            </w: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(2,076)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40" w:right="20" w:hanging="332"/>
        <w:spacing w:after="0" w:line="284" w:lineRule="auto"/>
        <w:tabs>
          <w:tab w:leader="none" w:pos="332"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Cumulative Foreign Exchange Translation Adjustment includes net investment hedge gain/(loss) net of taxes of $79 million and $191 million in 2022 and 2021, respectively.</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Amounts Reclassified Out of Accumulated Other</w:t>
      </w: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 Income - Before-tax Income/(Expense)</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and settlement of postretirement benefits reserves</w:t>
      </w:r>
    </w:p>
    <w:p>
      <w:pPr>
        <w:ind w:left="520"/>
        <w:spacing w:after="0"/>
        <w:rPr>
          <w:sz w:val="20"/>
          <w:szCs w:val="20"/>
          <w:color w:val="auto"/>
        </w:rPr>
      </w:pPr>
      <w:r>
        <w:rPr>
          <w:rFonts w:ascii="Times New Roman" w:cs="Times New Roman" w:eastAsia="Times New Roman" w:hAnsi="Times New Roman"/>
          <w:sz w:val="18"/>
          <w:szCs w:val="18"/>
          <w:color w:val="auto"/>
        </w:rPr>
        <w:t>adjustment included in net periodic benefit costs</w:t>
      </w:r>
    </w:p>
    <w:p>
      <w:pPr>
        <w:spacing w:after="0" w:line="16" w:lineRule="exact"/>
        <w:rPr>
          <w:sz w:val="20"/>
          <w:szCs w:val="20"/>
          <w:color w:val="auto"/>
        </w:rPr>
      </w:pPr>
    </w:p>
    <w:p>
      <w:pPr>
        <w:ind w:left="520" w:right="2540"/>
        <w:spacing w:after="0" w:line="237" w:lineRule="auto"/>
        <w:rPr>
          <w:sz w:val="20"/>
          <w:szCs w:val="20"/>
          <w:color w:val="auto"/>
        </w:rPr>
      </w:pPr>
      <w:r>
        <w:rPr>
          <w:rFonts w:ascii="Times New Roman" w:cs="Times New Roman" w:eastAsia="Times New Roman" w:hAnsi="Times New Roman"/>
          <w:sz w:val="18"/>
          <w:szCs w:val="18"/>
          <w:color w:val="auto"/>
        </w:rPr>
        <w:t>(Statement of Income line: Non-service pension and postretirement benefit expense)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Tax (Expense)/Credit For</w:t>
      </w: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Components of Other Comprehensive Income</w:t>
      </w: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exchange translation adjustment</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Postretirement benefits reserves adjustment (excluding</w:t>
      </w:r>
    </w:p>
    <w:p>
      <w:pPr>
        <w:ind w:left="520"/>
        <w:spacing w:after="0"/>
        <w:rPr>
          <w:sz w:val="20"/>
          <w:szCs w:val="20"/>
          <w:color w:val="auto"/>
        </w:rPr>
      </w:pPr>
      <w:r>
        <w:rPr>
          <w:rFonts w:ascii="Times New Roman" w:cs="Times New Roman" w:eastAsia="Times New Roman" w:hAnsi="Times New Roman"/>
          <w:sz w:val="18"/>
          <w:szCs w:val="18"/>
          <w:color w:val="auto"/>
        </w:rPr>
        <w:t>amortization)</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and settlement of postretirement benefits reserves</w:t>
      </w:r>
    </w:p>
    <w:p>
      <w:pPr>
        <w:ind w:left="520"/>
        <w:spacing w:after="0"/>
        <w:rPr>
          <w:sz w:val="20"/>
          <w:szCs w:val="20"/>
          <w:color w:val="auto"/>
        </w:rPr>
      </w:pPr>
      <w:r>
        <w:rPr>
          <w:rFonts w:ascii="Times New Roman" w:cs="Times New Roman" w:eastAsia="Times New Roman" w:hAnsi="Times New Roman"/>
          <w:sz w:val="18"/>
          <w:szCs w:val="18"/>
          <w:color w:val="auto"/>
        </w:rPr>
        <w:t>adjustment included in net periodic benefit costs</w:t>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13335</wp:posOffset>
            </wp:positionV>
            <wp:extent cx="155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1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50800</wp:posOffset>
            </wp:positionV>
            <wp:extent cx="1551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60" w:hanging="1414"/>
        <w:spacing w:after="0"/>
        <w:tabs>
          <w:tab w:leader="none" w:pos="1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w:t>
      </w:r>
    </w:p>
    <w:p>
      <w:pPr>
        <w:spacing w:after="0" w:line="200" w:lineRule="exact"/>
        <w:rPr>
          <w:sz w:val="20"/>
          <w:szCs w:val="20"/>
          <w:color w:val="auto"/>
        </w:rPr>
      </w:pPr>
    </w:p>
    <w:p>
      <w:pPr>
        <w:spacing w:after="0" w:line="25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22225</wp:posOffset>
            </wp:positionV>
            <wp:extent cx="1551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50800</wp:posOffset>
            </wp:positionV>
            <wp:extent cx="1551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23" w:lineRule="exact"/>
        <w:rPr>
          <w:sz w:val="20"/>
          <w:szCs w:val="20"/>
          <w:color w:val="auto"/>
        </w:rPr>
      </w:pPr>
    </w:p>
    <w:p>
      <w:pPr>
        <w:ind w:left="1760" w:hanging="1424"/>
        <w:spacing w:after="0"/>
        <w:tabs>
          <w:tab w:leader="none" w:pos="1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p>
    <w:p>
      <w:pPr>
        <w:spacing w:after="0" w:line="212" w:lineRule="exact"/>
        <w:rPr>
          <w:sz w:val="20"/>
          <w:szCs w:val="20"/>
          <w:color w:val="auto"/>
        </w:rPr>
      </w:pPr>
    </w:p>
    <w:p>
      <w:pPr>
        <w:ind w:left="1760" w:hanging="1424"/>
        <w:spacing w:after="0"/>
        <w:tabs>
          <w:tab w:leader="none" w:pos="1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212" w:lineRule="exact"/>
        <w:rPr>
          <w:sz w:val="20"/>
          <w:szCs w:val="20"/>
          <w:color w:val="auto"/>
        </w:rPr>
      </w:pPr>
    </w:p>
    <w:p>
      <w:pPr>
        <w:ind w:left="1660" w:hanging="1324"/>
        <w:spacing w:after="0"/>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17145</wp:posOffset>
            </wp:positionV>
            <wp:extent cx="155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16" w:lineRule="exact"/>
        <w:rPr>
          <w:sz w:val="20"/>
          <w:szCs w:val="20"/>
          <w:color w:val="auto"/>
        </w:rPr>
      </w:pPr>
    </w:p>
    <w:p>
      <w:pPr>
        <w:ind w:left="1660" w:hanging="1324"/>
        <w:spacing w:after="0"/>
        <w:tabs>
          <w:tab w:leader="none" w:pos="1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17145</wp:posOffset>
            </wp:positionV>
            <wp:extent cx="1551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40" w:space="720"/>
            <w:col w:w="2080"/>
          </w:cols>
          <w:pgMar w:left="320" w:top="887"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34"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740" w:type="dxa"/>
            <w:vAlign w:val="bottom"/>
          </w:tcPr>
          <w:p>
            <w:pPr>
              <w:spacing w:after="0"/>
              <w:rPr>
                <w:sz w:val="17"/>
                <w:szCs w:val="17"/>
                <w:color w:val="auto"/>
              </w:rPr>
            </w:pPr>
          </w:p>
        </w:tc>
        <w:tc>
          <w:tcPr>
            <w:tcW w:w="140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6"/>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74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income (loss) attributable to ExxonMobil </w:t>
            </w:r>
            <w:r>
              <w:rPr>
                <w:rFonts w:ascii="Times New Roman" w:cs="Times New Roman" w:eastAsia="Times New Roman" w:hAnsi="Times New Roman"/>
                <w:sz w:val="18"/>
                <w:szCs w:val="18"/>
                <w:i w:val="1"/>
                <w:iCs w:val="1"/>
                <w:color w:val="auto"/>
              </w:rPr>
              <w:t>(millions of dollars)</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5,480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29"/>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outstanding </w:t>
            </w:r>
            <w:r>
              <w:rPr>
                <w:rFonts w:ascii="Times New Roman" w:cs="Times New Roman" w:eastAsia="Times New Roman" w:hAnsi="Times New Roman"/>
                <w:sz w:val="18"/>
                <w:szCs w:val="18"/>
                <w:i w:val="1"/>
                <w:iCs w:val="1"/>
                <w:color w:val="auto"/>
              </w:rPr>
              <w:t>(millions of shares)</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4,266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4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Earnings (loss) per common share </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i w:val="1"/>
                <w:iCs w:val="1"/>
                <w:color w:val="auto"/>
              </w:rPr>
              <w:t>(1)</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1.28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3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Dividends paid per common share </w:t>
            </w:r>
            <w:r>
              <w:rPr>
                <w:rFonts w:ascii="Times New Roman" w:cs="Times New Roman" w:eastAsia="Times New Roman" w:hAnsi="Times New Roman"/>
                <w:sz w:val="18"/>
                <w:szCs w:val="18"/>
                <w:i w:val="1"/>
                <w:iCs w:val="1"/>
                <w:color w:val="auto"/>
              </w:rPr>
              <w:t>(dollars)</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0.88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The calculation of earnings (loss) per common share and earnings (loss) per common share – assuming dilution are the same in each period shown.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Pension and Other Postretirement Benefits</w:t>
      </w:r>
    </w:p>
    <w:p>
      <w:pPr>
        <w:spacing w:after="0" w:line="128"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74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0"/>
        </w:trPr>
        <w:tc>
          <w:tcPr>
            <w:tcW w:w="87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16"/>
                <w:szCs w:val="16"/>
                <w:color w:val="auto"/>
              </w:rPr>
            </w:pPr>
          </w:p>
        </w:tc>
      </w:tr>
      <w:tr>
        <w:trPr>
          <w:trHeight w:val="250"/>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 of net benefit cost</w:t>
            </w:r>
          </w:p>
        </w:tc>
        <w:tc>
          <w:tcPr>
            <w:tcW w:w="18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9"/>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Benefits - U.S.</w:t>
            </w:r>
          </w:p>
        </w:tc>
        <w:tc>
          <w:tcPr>
            <w:tcW w:w="18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 cost</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179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cost</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129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(140)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pension enhancement and curtailment/settlement cost</w:t>
            </w:r>
          </w:p>
        </w:tc>
        <w:tc>
          <w:tcPr>
            <w:tcW w:w="18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benefit cost</w:t>
            </w:r>
          </w:p>
        </w:tc>
        <w:tc>
          <w:tcPr>
            <w:tcW w:w="18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237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421"/>
        </w:trPr>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Benefits - Non-U.S.</w:t>
            </w: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 cost</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150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cost</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160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(213)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pension enhancement and curtailment/settlement cost</w:t>
            </w:r>
          </w:p>
        </w:tc>
        <w:tc>
          <w:tcPr>
            <w:tcW w:w="18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benefit cost</w:t>
            </w:r>
          </w:p>
        </w:tc>
        <w:tc>
          <w:tcPr>
            <w:tcW w:w="18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156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421"/>
        </w:trPr>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9"/>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 cost</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cost</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benefit cost</w:t>
            </w:r>
          </w:p>
        </w:tc>
        <w:tc>
          <w:tcPr>
            <w:tcW w:w="18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84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7. Financial Instruments and Derivatives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The estimated fair value of financial instruments at March 31, 2022 and December 31, 2021, and the related hierarchy level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measurement was as follows: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Derivative assets </w:t>
      </w:r>
      <w:r>
        <w:rPr>
          <w:rFonts w:ascii="Times New Roman" w:cs="Times New Roman" w:eastAsia="Times New Roman" w:hAnsi="Times New Roman"/>
          <w:sz w:val="14"/>
          <w:szCs w:val="14"/>
          <w:i w:val="1"/>
          <w:iCs w:val="1"/>
          <w:color w:val="auto"/>
        </w:rPr>
        <w:t>(1)</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Advances to/receivables</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xml:space="preserve">from equity companies </w:t>
      </w:r>
      <w:r>
        <w:rPr>
          <w:rFonts w:ascii="Times New Roman" w:cs="Times New Roman" w:eastAsia="Times New Roman" w:hAnsi="Times New Roman"/>
          <w:sz w:val="14"/>
          <w:szCs w:val="14"/>
          <w:i w:val="1"/>
          <w:iCs w:val="1"/>
          <w:color w:val="auto"/>
        </w:rPr>
        <w:t>(2)(6)</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Other long-term</w:t>
      </w:r>
    </w:p>
    <w:p>
      <w:pPr>
        <w:spacing w:after="0" w:line="8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 xml:space="preserve">financial assets </w:t>
      </w:r>
      <w:r>
        <w:rPr>
          <w:rFonts w:ascii="Times New Roman" w:cs="Times New Roman" w:eastAsia="Times New Roman" w:hAnsi="Times New Roman"/>
          <w:sz w:val="14"/>
          <w:szCs w:val="14"/>
          <w:i w:val="1"/>
          <w:iCs w:val="1"/>
          <w:color w:val="auto"/>
        </w:rPr>
        <w:t>(3)</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Derivative liabilities </w:t>
      </w:r>
      <w:r>
        <w:rPr>
          <w:rFonts w:ascii="Times New Roman" w:cs="Times New Roman" w:eastAsia="Times New Roman" w:hAnsi="Times New Roman"/>
          <w:sz w:val="14"/>
          <w:szCs w:val="14"/>
          <w:i w:val="1"/>
          <w:iCs w:val="1"/>
          <w:color w:val="auto"/>
        </w:rPr>
        <w:t>(4)</w:t>
      </w:r>
    </w:p>
    <w:p>
      <w:pPr>
        <w:spacing w:after="0" w:line="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4"/>
          <w:szCs w:val="14"/>
          <w:i w:val="1"/>
          <w:iCs w:val="1"/>
          <w:color w:val="auto"/>
        </w:rPr>
        <w:t>(5)</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Long-term obligations</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xml:space="preserve">to equity companies </w:t>
      </w:r>
      <w:r>
        <w:rPr>
          <w:rFonts w:ascii="Times New Roman" w:cs="Times New Roman" w:eastAsia="Times New Roman" w:hAnsi="Times New Roman"/>
          <w:sz w:val="14"/>
          <w:szCs w:val="14"/>
          <w:i w:val="1"/>
          <w:iCs w:val="1"/>
          <w:color w:val="auto"/>
        </w:rPr>
        <w:t>(6)</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Other long-term</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xml:space="preserve">financial liabilities </w:t>
      </w:r>
      <w:r>
        <w:rPr>
          <w:rFonts w:ascii="Times New Roman" w:cs="Times New Roman" w:eastAsia="Times New Roman" w:hAnsi="Times New Roman"/>
          <w:sz w:val="14"/>
          <w:szCs w:val="14"/>
          <w:i w:val="1"/>
          <w:i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Derivative assets </w:t>
      </w:r>
      <w:r>
        <w:rPr>
          <w:rFonts w:ascii="Times New Roman" w:cs="Times New Roman" w:eastAsia="Times New Roman" w:hAnsi="Times New Roman"/>
          <w:sz w:val="14"/>
          <w:szCs w:val="14"/>
          <w:i w:val="1"/>
          <w:iCs w:val="1"/>
          <w:color w:val="auto"/>
        </w:rPr>
        <w:t>(1)</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Advances to/receivables</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xml:space="preserve">from equity companies </w:t>
      </w:r>
      <w:r>
        <w:rPr>
          <w:rFonts w:ascii="Times New Roman" w:cs="Times New Roman" w:eastAsia="Times New Roman" w:hAnsi="Times New Roman"/>
          <w:sz w:val="14"/>
          <w:szCs w:val="14"/>
          <w:i w:val="1"/>
          <w:iCs w:val="1"/>
          <w:color w:val="auto"/>
        </w:rPr>
        <w:t>(2)(6)</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Other long-term</w:t>
      </w:r>
    </w:p>
    <w:p>
      <w:pPr>
        <w:spacing w:after="0" w:line="8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 xml:space="preserve">financial assets </w:t>
      </w:r>
      <w:r>
        <w:rPr>
          <w:rFonts w:ascii="Times New Roman" w:cs="Times New Roman" w:eastAsia="Times New Roman" w:hAnsi="Times New Roman"/>
          <w:sz w:val="14"/>
          <w:szCs w:val="14"/>
          <w:i w:val="1"/>
          <w:iCs w:val="1"/>
          <w:color w:val="auto"/>
        </w:rPr>
        <w:t>(3)</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Derivative liabilities </w:t>
      </w:r>
      <w:r>
        <w:rPr>
          <w:rFonts w:ascii="Times New Roman" w:cs="Times New Roman" w:eastAsia="Times New Roman" w:hAnsi="Times New Roman"/>
          <w:sz w:val="14"/>
          <w:szCs w:val="14"/>
          <w:i w:val="1"/>
          <w:iCs w:val="1"/>
          <w:color w:val="auto"/>
        </w:rPr>
        <w:t>(4)</w:t>
      </w:r>
    </w:p>
    <w:p>
      <w:pPr>
        <w:spacing w:after="0" w:line="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4"/>
          <w:szCs w:val="14"/>
          <w:i w:val="1"/>
          <w:iCs w:val="1"/>
          <w:color w:val="auto"/>
        </w:rPr>
        <w:t>(5)</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Long-term obligations</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xml:space="preserve">to equity companies </w:t>
      </w:r>
      <w:r>
        <w:rPr>
          <w:rFonts w:ascii="Times New Roman" w:cs="Times New Roman" w:eastAsia="Times New Roman" w:hAnsi="Times New Roman"/>
          <w:sz w:val="14"/>
          <w:szCs w:val="14"/>
          <w:i w:val="1"/>
          <w:iCs w:val="1"/>
          <w:color w:val="auto"/>
        </w:rPr>
        <w:t>(6)</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Other long-term</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xml:space="preserve">financial liabilities </w:t>
      </w:r>
      <w:r>
        <w:rPr>
          <w:rFonts w:ascii="Times New Roman" w:cs="Times New Roman" w:eastAsia="Times New Roman" w:hAnsi="Times New Roman"/>
          <w:sz w:val="14"/>
          <w:szCs w:val="14"/>
          <w:i w:val="1"/>
          <w:iCs w:val="1"/>
          <w:color w:val="auto"/>
        </w:rPr>
        <w:t>(7)</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restart"/>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Difference</w:t>
            </w: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Gross</w:t>
            </w:r>
          </w:p>
        </w:tc>
        <w:tc>
          <w:tcPr>
            <w:tcW w:w="120" w:type="dxa"/>
            <w:vAlign w:val="bottom"/>
          </w:tcPr>
          <w:p>
            <w:pPr>
              <w:spacing w:after="0"/>
              <w:rPr>
                <w:sz w:val="10"/>
                <w:szCs w:val="10"/>
                <w:color w:val="auto"/>
              </w:rPr>
            </w:pP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160" w:type="dxa"/>
            <w:vAlign w:val="bottom"/>
            <w:gridSpan w:val="2"/>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 Carrying</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Counterparty</w:t>
            </w:r>
          </w:p>
        </w:tc>
        <w:tc>
          <w:tcPr>
            <w:tcW w:w="10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1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&amp; Liabilities</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Netting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8"/>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6,886</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0" w:type="dxa"/>
            <w:vAlign w:val="bottom"/>
          </w:tcPr>
          <w:p>
            <w:pPr>
              <w:spacing w:after="0"/>
              <w:rPr>
                <w:sz w:val="1"/>
                <w:szCs w:val="1"/>
                <w:color w:val="auto"/>
              </w:rPr>
            </w:pPr>
          </w:p>
        </w:tc>
      </w:tr>
      <w:tr>
        <w:trPr>
          <w:trHeight w:val="446"/>
        </w:trPr>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8,557</w:t>
            </w:r>
          </w:p>
        </w:tc>
        <w:tc>
          <w:tcPr>
            <w:tcW w:w="0" w:type="dxa"/>
            <w:vAlign w:val="bottom"/>
          </w:tcPr>
          <w:p>
            <w:pPr>
              <w:spacing w:after="0"/>
              <w:rPr>
                <w:sz w:val="1"/>
                <w:szCs w:val="1"/>
                <w:color w:val="auto"/>
              </w:rPr>
            </w:pPr>
          </w:p>
        </w:tc>
      </w:tr>
      <w:tr>
        <w:trPr>
          <w:trHeight w:val="446"/>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0" w:type="dxa"/>
            <w:vAlign w:val="bottom"/>
          </w:tcPr>
          <w:p>
            <w:pPr>
              <w:spacing w:after="0"/>
              <w:rPr>
                <w:sz w:val="1"/>
                <w:szCs w:val="1"/>
                <w:color w:val="auto"/>
              </w:rPr>
            </w:pPr>
          </w:p>
        </w:tc>
      </w:tr>
      <w:tr>
        <w:trPr>
          <w:trHeight w:val="445"/>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0" w:type="dxa"/>
            <w:vAlign w:val="bottom"/>
          </w:tcPr>
          <w:p>
            <w:pPr>
              <w:spacing w:after="0"/>
              <w:rPr>
                <w:sz w:val="1"/>
                <w:szCs w:val="1"/>
                <w:color w:val="auto"/>
              </w:rPr>
            </w:pP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40,367</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40,445</w:t>
            </w:r>
          </w:p>
        </w:tc>
        <w:tc>
          <w:tcPr>
            <w:tcW w:w="120" w:type="dxa"/>
            <w:vAlign w:val="bottom"/>
          </w:tcPr>
          <w:p>
            <w:pPr>
              <w:spacing w:after="0"/>
              <w:rPr>
                <w:sz w:val="21"/>
                <w:szCs w:val="21"/>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40,305</w:t>
            </w:r>
          </w:p>
        </w:tc>
        <w:tc>
          <w:tcPr>
            <w:tcW w:w="0" w:type="dxa"/>
            <w:vAlign w:val="bottom"/>
          </w:tcPr>
          <w:p>
            <w:pPr>
              <w:spacing w:after="0"/>
              <w:rPr>
                <w:sz w:val="1"/>
                <w:szCs w:val="1"/>
                <w:color w:val="auto"/>
              </w:rPr>
            </w:pPr>
          </w:p>
        </w:tc>
      </w:tr>
      <w:tr>
        <w:trPr>
          <w:trHeight w:val="445"/>
        </w:trPr>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0" w:type="dxa"/>
            <w:vAlign w:val="bottom"/>
          </w:tcPr>
          <w:p>
            <w:pPr>
              <w:spacing w:after="0"/>
              <w:rPr>
                <w:sz w:val="1"/>
                <w:szCs w:val="1"/>
                <w:color w:val="auto"/>
              </w:rPr>
            </w:pPr>
          </w:p>
        </w:tc>
      </w:tr>
      <w:tr>
        <w:trPr>
          <w:trHeight w:val="446"/>
        </w:trPr>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769"/>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Gross</w:t>
            </w:r>
          </w:p>
        </w:tc>
        <w:tc>
          <w:tcPr>
            <w:tcW w:w="120" w:type="dxa"/>
            <w:vAlign w:val="bottom"/>
          </w:tcPr>
          <w:p>
            <w:pPr>
              <w:spacing w:after="0"/>
              <w:rPr>
                <w:sz w:val="10"/>
                <w:szCs w:val="10"/>
                <w:color w:val="auto"/>
              </w:rPr>
            </w:pP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160" w:type="dxa"/>
            <w:vAlign w:val="bottom"/>
            <w:gridSpan w:val="2"/>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 Carrying</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vMerge w:val="restart"/>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vMerge w:val="restart"/>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vMerge w:val="restart"/>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Counterparty</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&amp; Liabilities</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Netting</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95"/>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445"/>
        </w:trPr>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w:t>
            </w:r>
          </w:p>
        </w:tc>
        <w:tc>
          <w:tcPr>
            <w:tcW w:w="0" w:type="dxa"/>
            <w:vAlign w:val="bottom"/>
          </w:tcPr>
          <w:p>
            <w:pPr>
              <w:spacing w:after="0"/>
              <w:rPr>
                <w:sz w:val="1"/>
                <w:szCs w:val="1"/>
                <w:color w:val="auto"/>
              </w:rPr>
            </w:pPr>
          </w:p>
        </w:tc>
      </w:tr>
      <w:tr>
        <w:trPr>
          <w:trHeight w:val="445"/>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445"/>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0" w:type="dxa"/>
            <w:vAlign w:val="bottom"/>
          </w:tcPr>
          <w:p>
            <w:pPr>
              <w:spacing w:after="0"/>
              <w:rPr>
                <w:sz w:val="1"/>
                <w:szCs w:val="1"/>
                <w:color w:val="auto"/>
              </w:rPr>
            </w:pPr>
          </w:p>
        </w:tc>
      </w:tr>
      <w:tr>
        <w:trPr>
          <w:trHeight w:val="243"/>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44,454</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44,545</w:t>
            </w:r>
          </w:p>
        </w:tc>
        <w:tc>
          <w:tcPr>
            <w:tcW w:w="120" w:type="dxa"/>
            <w:vAlign w:val="bottom"/>
          </w:tcPr>
          <w:p>
            <w:pPr>
              <w:spacing w:after="0"/>
              <w:rPr>
                <w:sz w:val="21"/>
                <w:szCs w:val="21"/>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41,667</w:t>
            </w:r>
          </w:p>
        </w:tc>
        <w:tc>
          <w:tcPr>
            <w:tcW w:w="0" w:type="dxa"/>
            <w:vAlign w:val="bottom"/>
          </w:tcPr>
          <w:p>
            <w:pPr>
              <w:spacing w:after="0"/>
              <w:rPr>
                <w:sz w:val="1"/>
                <w:szCs w:val="1"/>
                <w:color w:val="auto"/>
              </w:rPr>
            </w:pPr>
          </w:p>
        </w:tc>
      </w:tr>
      <w:tr>
        <w:trPr>
          <w:trHeight w:val="445"/>
        </w:trPr>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0" w:type="dxa"/>
            <w:vAlign w:val="bottom"/>
          </w:tcPr>
          <w:p>
            <w:pPr>
              <w:spacing w:after="0"/>
              <w:rPr>
                <w:sz w:val="1"/>
                <w:szCs w:val="1"/>
                <w:color w:val="auto"/>
              </w:rPr>
            </w:pPr>
          </w:p>
        </w:tc>
      </w:tr>
      <w:tr>
        <w:trPr>
          <w:trHeight w:val="446"/>
        </w:trPr>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20" w:type="dxa"/>
            <w:vAlign w:val="bottom"/>
          </w:tcPr>
          <w:p>
            <w:pPr>
              <w:spacing w:after="0"/>
              <w:rPr>
                <w:sz w:val="24"/>
                <w:szCs w:val="24"/>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2">
            <w:col w:w="2940" w:space="480"/>
            <w:col w:w="7820"/>
          </w:cols>
          <w:pgMar w:left="320" w:top="887" w:right="339" w:bottom="1440" w:gutter="0" w:footer="0" w:header="0"/>
          <w:type w:val="continuous"/>
        </w:sectPr>
      </w:pPr>
    </w:p>
    <w:p>
      <w:pPr>
        <w:ind w:left="320" w:hanging="312"/>
        <w:spacing w:after="0"/>
        <w:tabs>
          <w:tab w:leader="none" w:pos="3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lines: Notes and accounts receivable - net and Other assets, including intangibles - net</w:t>
      </w:r>
    </w:p>
    <w:p>
      <w:pPr>
        <w:spacing w:after="0" w:line="19"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 Investments, advances and long-term receivables</w:t>
      </w:r>
    </w:p>
    <w:p>
      <w:pPr>
        <w:spacing w:after="0" w:line="11"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lines: Investments, advances and long-term receivables and Other assets, including intangibles - net</w:t>
      </w:r>
    </w:p>
    <w:p>
      <w:pPr>
        <w:spacing w:after="0" w:line="14"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lines: Accounts payable and accrued liabilities and Other long-term obligations</w:t>
      </w:r>
    </w:p>
    <w:p>
      <w:pPr>
        <w:spacing w:after="0" w:line="14"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Excluding finance lease obligations</w:t>
      </w:r>
    </w:p>
    <w:p>
      <w:pPr>
        <w:spacing w:after="0" w:line="14" w:lineRule="exact"/>
        <w:rPr>
          <w:rFonts w:ascii="Times New Roman" w:cs="Times New Roman" w:eastAsia="Times New Roman" w:hAnsi="Times New Roman"/>
          <w:sz w:val="14"/>
          <w:szCs w:val="14"/>
          <w:i w:val="1"/>
          <w:iCs w:val="1"/>
          <w:color w:val="auto"/>
        </w:rPr>
      </w:pPr>
    </w:p>
    <w:p>
      <w:pPr>
        <w:ind w:left="340" w:hanging="332"/>
        <w:spacing w:after="0" w:line="251" w:lineRule="auto"/>
        <w:tabs>
          <w:tab w:leader="none" w:pos="332"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Advances to/receivables from equity companies and long-term obligations to equity companies are mainly designated as hierarchy level 3 inputs. The fair value is calculated by discounting the remaining obligations by a rate consistent with the credit quality and industry of the company.</w:t>
      </w:r>
    </w:p>
    <w:p>
      <w:pPr>
        <w:ind w:left="340" w:hanging="332"/>
        <w:spacing w:after="0" w:line="283" w:lineRule="auto"/>
        <w:tabs>
          <w:tab w:leader="none" w:pos="332"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 Other long-term obligations. Includes contingent consideration related to a prior year acquisition where fair value is based on expected drilling activities and discount rates.</w:t>
      </w:r>
    </w:p>
    <w:p>
      <w:pPr>
        <w:spacing w:after="0" w:line="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respectively, the Corporation had $1,347 million and $641 million of collateral under master netting arrangements not offset against the derivatives on the Consolidated Balance Sheet, primarily related to initial margin requirements.</w:t>
      </w:r>
    </w:p>
    <w:p>
      <w:pPr>
        <w:sectPr>
          <w:pgSz w:w="11900" w:h="16838" w:orient="portrait"/>
          <w:cols w:equalWidth="0" w:num="1">
            <w:col w:w="11240"/>
          </w:cols>
          <w:pgMar w:left="320" w:top="887" w:right="339"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may use non-derivative financial instruments, such as its foreign currency-denominated debt, as hedges of its net investments in certain foreign subsidiaries. Under this method, the change in the carrying value of the financial instruments due to foreign exchange fluctuations is reported in accumulated other comprehensive income. As of March 31, 2022, the Corporation has designated $5.0 billion of its Euro-denominated long-term debt and related accrued interest as a net investment hedge of its European business. The net investment hedge is deemed to be perfectly effective.</w:t>
      </w:r>
    </w:p>
    <w:p>
      <w:pPr>
        <w:spacing w:after="0" w:line="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Corporation had undrawn short-term committed lines of credit of $10.7 billion and undrawn long-term committed lines of credit of $0.6 billion as of first quarter 2022.</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The Corporation’s size, strong capital structure, geographic diversity and the complementary nature of the Upstream,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Downstream and Chemical businesses reduce the Corporation’s enterprise-wide risk from changes in commodity prices, currency rates and interest rates. In addition, the Corporation uses commodity-based contracts, including derivatives, to manage commodity price risk and to generate returns from trading. Commodity contracts held for trading purposes are presented in the Consolidated Statement of Income on a net basis in the line “Sales and other operating revenue.” The Corporation’s commodity derivatives are not accounted for under hedge accounting. At times, the Corporation also enters into currency and interest rate derivatives, none of which are material to the Corporation’s financial position as of March 31, 2022 and December 31, 2021, or results of operations for the periods ended March 31, 2022 and 2021.</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associated with the Corporation’s derivative position is mitigated by several factors, including the use of derivative clearing exchanges and the quality of and financial limits placed on derivative counterparties. The Corporation maintains a system of controls that includes the authorization, reporting and monitoring of derivative activity.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notional long/(short) position of derivative instruments at March 31, 2022 and December 31, 2021, was as follows:</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6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40" w:type="dxa"/>
            <w:vAlign w:val="bottom"/>
          </w:tcPr>
          <w:p>
            <w:pPr>
              <w:spacing w:after="0"/>
              <w:rPr>
                <w:sz w:val="17"/>
                <w:szCs w:val="17"/>
                <w:color w:val="auto"/>
              </w:rPr>
            </w:pPr>
          </w:p>
        </w:tc>
        <w:tc>
          <w:tcPr>
            <w:tcW w:w="160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5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w:t>
            </w:r>
          </w:p>
        </w:tc>
        <w:tc>
          <w:tcPr>
            <w:tcW w:w="1040" w:type="dxa"/>
            <w:vAlign w:val="bottom"/>
          </w:tcPr>
          <w:p>
            <w:pPr>
              <w:spacing w:after="0"/>
              <w:rPr>
                <w:sz w:val="15"/>
                <w:szCs w:val="15"/>
                <w:color w:val="auto"/>
              </w:rPr>
            </w:pPr>
          </w:p>
        </w:tc>
      </w:tr>
      <w:tr>
        <w:trPr>
          <w:trHeight w:val="237"/>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Crude oil (barrels)</w:t>
            </w:r>
          </w:p>
        </w:tc>
        <w:tc>
          <w:tcPr>
            <w:tcW w:w="1600" w:type="dxa"/>
            <w:vAlign w:val="bottom"/>
          </w:tcPr>
          <w:p>
            <w:pPr>
              <w:jc w:val="right"/>
              <w:ind w:right="399"/>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Petroleum products (barrels)</w:t>
            </w: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Natural gas (MMBTUs)</w:t>
            </w:r>
          </w:p>
        </w:tc>
        <w:tc>
          <w:tcPr>
            <w:tcW w:w="160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Realized and unrealized gains/(losses) on derivative instruments that were recognized in the Consolidated Statement of Income are included in the following lines on a before-tax basis:</w:t>
      </w:r>
    </w:p>
    <w:p>
      <w:pPr>
        <w:spacing w:after="0" w:line="2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740" w:type="dxa"/>
            <w:vAlign w:val="bottom"/>
          </w:tcPr>
          <w:p>
            <w:pPr>
              <w:spacing w:after="0"/>
              <w:rPr>
                <w:sz w:val="17"/>
                <w:szCs w:val="17"/>
                <w:color w:val="auto"/>
              </w:rPr>
            </w:pPr>
          </w:p>
        </w:tc>
        <w:tc>
          <w:tcPr>
            <w:tcW w:w="1820" w:type="dxa"/>
            <w:vAlign w:val="bottom"/>
            <w:tcBorders>
              <w:top w:val="single" w:sz="8" w:color="auto"/>
            </w:tcBorders>
          </w:tcPr>
          <w:p>
            <w:pPr>
              <w:jc w:val="right"/>
              <w:ind w:right="10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6"/>
        </w:trPr>
        <w:tc>
          <w:tcPr>
            <w:tcW w:w="8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87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15"/>
                <w:szCs w:val="15"/>
                <w:color w:val="auto"/>
              </w:rPr>
            </w:pPr>
          </w:p>
        </w:tc>
      </w:tr>
      <w:tr>
        <w:trPr>
          <w:trHeight w:val="25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18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(2,535)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product purchases</w:t>
            </w:r>
          </w:p>
        </w:tc>
        <w:tc>
          <w:tcPr>
            <w:tcW w:w="18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7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rPr>
              <w:t>(2,561)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8. Disclosures about Segments and Related Information</w:t>
      </w:r>
    </w:p>
    <w:p>
      <w:pPr>
        <w:spacing w:after="0" w:line="47"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874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11"/>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After Income Tax</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18"/>
                <w:szCs w:val="18"/>
                <w:color w:val="auto"/>
              </w:rPr>
            </w:pPr>
          </w:p>
        </w:tc>
      </w:tr>
      <w:tr>
        <w:trPr>
          <w:trHeight w:val="229"/>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Upstream</w:t>
            </w:r>
          </w:p>
        </w:tc>
        <w:tc>
          <w:tcPr>
            <w:tcW w:w="18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2,376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Non-U.S. </w:t>
            </w:r>
            <w:r>
              <w:rPr>
                <w:rFonts w:ascii="Times New Roman" w:cs="Times New Roman" w:eastAsia="Times New Roman" w:hAnsi="Times New Roman"/>
                <w:sz w:val="14"/>
                <w:szCs w:val="14"/>
                <w:i w:val="1"/>
                <w:iCs w:val="1"/>
                <w:color w:val="auto"/>
              </w:rPr>
              <w:t>(1)</w:t>
            </w:r>
          </w:p>
        </w:tc>
        <w:tc>
          <w:tcPr>
            <w:tcW w:w="182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2,112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30"/>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Downstream</w:t>
            </w:r>
          </w:p>
        </w:tc>
        <w:tc>
          <w:tcPr>
            <w:tcW w:w="18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685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(353)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Chemical</w:t>
            </w:r>
          </w:p>
        </w:tc>
        <w:tc>
          <w:tcPr>
            <w:tcW w:w="18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819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535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8"/>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Corporate and Financing </w:t>
            </w:r>
            <w:r>
              <w:rPr>
                <w:rFonts w:ascii="Times New Roman" w:cs="Times New Roman" w:eastAsia="Times New Roman" w:hAnsi="Times New Roman"/>
                <w:sz w:val="14"/>
                <w:szCs w:val="14"/>
                <w:i w:val="1"/>
                <w:iCs w:val="1"/>
                <w:color w:val="auto"/>
              </w:rPr>
              <w:t>(1)</w:t>
            </w:r>
          </w:p>
        </w:tc>
        <w:tc>
          <w:tcPr>
            <w:tcW w:w="18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(694)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3"/>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total</w:t>
            </w:r>
          </w:p>
        </w:tc>
        <w:tc>
          <w:tcPr>
            <w:tcW w:w="18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5,480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r>
    </w:tbl>
    <w:p>
      <w:pPr>
        <w:spacing w:after="0" w:line="196" w:lineRule="exact"/>
        <w:rPr>
          <w:sz w:val="20"/>
          <w:szCs w:val="20"/>
          <w:color w:val="auto"/>
        </w:rPr>
      </w:pPr>
    </w:p>
    <w:p>
      <w:pPr>
        <w:ind w:left="360" w:right="220" w:hanging="334"/>
        <w:spacing w:after="0" w:line="253" w:lineRule="auto"/>
        <w:tabs>
          <w:tab w:leader="none" w:pos="249"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Results for 2022 include charges of $3.3 billion in non-U.S. Upstream and $0.1 billion in Corporate and Financing associated with the Corporation's interest in Sakhalin-1. (See Note 2 to Condensed Consolidated Financial Statements)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and Other Operating Revenue</w:t>
            </w: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Upstream</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2,656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29"/>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Non-U.S.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6,343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29"/>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Downstream</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25,356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w:t>
            </w:r>
          </w:p>
        </w:tc>
      </w:tr>
      <w:tr>
        <w:trPr>
          <w:trHeight w:val="229"/>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Non-U.S.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43,609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28,613</w:t>
            </w:r>
          </w:p>
        </w:tc>
      </w:tr>
      <w:tr>
        <w:trPr>
          <w:trHeight w:val="230"/>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Chemical</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3,982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Non-U.S.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5,781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34"/>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and Financing</w:t>
            </w: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total</w:t>
            </w: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87,734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57,552</w:t>
            </w:r>
          </w:p>
        </w:tc>
      </w:tr>
      <w:tr>
        <w:trPr>
          <w:trHeight w:val="421"/>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Intersegment Revenue</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Upstream</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6,191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Non-U.S.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10,835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r>
      <w:tr>
        <w:trPr>
          <w:trHeight w:val="230"/>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Downstream</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8,261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Non-U.S.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9,503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30"/>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Chemical</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2,863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9"/>
        </w:trPr>
        <w:tc>
          <w:tcPr>
            <w:tcW w:w="8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Non-U.S.</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4"/>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and Financing</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Geographic</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740" w:type="dxa"/>
            <w:vAlign w:val="bottom"/>
          </w:tcPr>
          <w:p>
            <w:pPr>
              <w:spacing w:after="0"/>
              <w:rPr>
                <w:sz w:val="16"/>
                <w:szCs w:val="16"/>
                <w:color w:val="auto"/>
              </w:rPr>
            </w:pPr>
          </w:p>
        </w:tc>
        <w:tc>
          <w:tcPr>
            <w:tcW w:w="18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and Other Operating Revenue</w:t>
            </w:r>
          </w:p>
        </w:tc>
        <w:tc>
          <w:tcPr>
            <w:tcW w:w="182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84"/>
        </w:trPr>
        <w:tc>
          <w:tcPr>
            <w:tcW w:w="8740" w:type="dxa"/>
            <w:vAlign w:val="bottom"/>
          </w:tcPr>
          <w:p>
            <w:pPr>
              <w:spacing w:after="0"/>
              <w:rPr>
                <w:sz w:val="15"/>
                <w:szCs w:val="15"/>
                <w:color w:val="auto"/>
              </w:rPr>
            </w:pPr>
          </w:p>
        </w:tc>
        <w:tc>
          <w:tcPr>
            <w:tcW w:w="1820" w:type="dxa"/>
            <w:vAlign w:val="bottom"/>
          </w:tcPr>
          <w:p>
            <w:pPr>
              <w:jc w:val="center"/>
              <w:ind w:left="576"/>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15"/>
                <w:szCs w:val="15"/>
                <w:color w:val="auto"/>
              </w:rPr>
            </w:pPr>
          </w:p>
        </w:tc>
      </w:tr>
      <w:tr>
        <w:trPr>
          <w:trHeight w:val="25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31,994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w:t>
            </w:r>
          </w:p>
        </w:tc>
      </w:t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55,740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36,498</w:t>
            </w:r>
          </w:p>
        </w:tc>
      </w:tr>
      <w:tr>
        <w:trPr>
          <w:trHeight w:val="223"/>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87,734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57,552</w:t>
            </w:r>
          </w:p>
        </w:tc>
      </w:tr>
      <w:tr>
        <w:trPr>
          <w:trHeight w:val="425"/>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Significant Non-U.S. revenue sources include: </w:t>
            </w:r>
            <w:r>
              <w:rPr>
                <w:rFonts w:ascii="Times New Roman" w:cs="Times New Roman" w:eastAsia="Times New Roman" w:hAnsi="Times New Roman"/>
                <w:sz w:val="14"/>
                <w:szCs w:val="14"/>
                <w:i w:val="1"/>
                <w:iCs w:val="1"/>
                <w:color w:val="auto"/>
              </w:rPr>
              <w:t>(1)</w:t>
            </w: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8"/>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182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7,548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29"/>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182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6,995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30"/>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182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4,356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29"/>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Singapore</w:t>
            </w:r>
          </w:p>
        </w:tc>
        <w:tc>
          <w:tcPr>
            <w:tcW w:w="182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4,322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29"/>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Belgium</w:t>
            </w:r>
          </w:p>
        </w:tc>
        <w:tc>
          <w:tcPr>
            <w:tcW w:w="182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2,836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34"/>
        </w:trPr>
        <w:tc>
          <w:tcPr>
            <w:tcW w:w="8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Italy</w:t>
            </w:r>
          </w:p>
        </w:tc>
        <w:tc>
          <w:tcPr>
            <w:tcW w:w="182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2,836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r>
    </w:tbl>
    <w:p>
      <w:pPr>
        <w:spacing w:after="0" w:line="155" w:lineRule="exact"/>
        <w:rPr>
          <w:sz w:val="20"/>
          <w:szCs w:val="20"/>
          <w:color w:val="auto"/>
        </w:rPr>
      </w:pPr>
    </w:p>
    <w:p>
      <w:pPr>
        <w:ind w:left="340" w:hanging="332"/>
        <w:spacing w:after="0" w:line="284"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Revenue is determined by primary country of operations. Excludes certain sales and other operating revenues in Non-U.S. operations where attribution to a specific country is not practicable.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Divestment Activities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2022, the Corporation signed an agreement with Seplat Energy Offshore Limited for the sale of Mobil Producing Nigeria Unlimited. The agreement is subject to certain conditions precedent and government approvals. If these are attained, the transaction would be expected to close no earlier than mid-year 2022. The agreed sales price is subject to interim period adjustments from January 1, 2021 to the closing date, and has potential for further adjustments based on commodity prices and production levels. Assuming a mid-2022 closing date and based on currently available information, the Corporation expects to recognize a loss of approximately $500 million when and if the potential divestment ultimately meets held-for-sale criteria under ASC 360, following the resolution of certain conditions precedent noted above.</w:t>
      </w:r>
    </w:p>
    <w:p>
      <w:pPr>
        <w:spacing w:after="0" w:line="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the end of the first quarter, the Corporation executed an agreement for the sale of ExxonMobil Exploration and Production Romania, consisting of certain unproved Upstream assets, to Romgaz S.A. The transaction is anticipated to close mid-year 2022, and the Corporation expects to recognize a gain on the sale of approximately $300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COVID-19 pandemic, industry investment to maintain and increase production capacity was restrained to preserve capital, resulting in underinvestment and supply tightness as demand for petroleum and petrochemical products recovered. Across late 2021 and early 2022, this dynamic, along with supply chain constraints, and a continuation of demand recovery led to a steady increase in oil and natural gas prices. In the first quarter of 2022, tightness in the oil and natural gas markets was further exacerbated by Russia’s invasion of Ukraine and subsequent sanctions imposed upon business and other activities in Russia. The price of Brent crude oil and certain regional natural gas indicators increased to levels not seen for several years. Additionally, by the end of the first quarter, refining margins improved to levels above the 10-year range, and the tight supply and demand balance is expected to persist.</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early March, in response to Russia’s military action in Ukraine, the Corporation announced that it plans to discontinue operations on the Sakhalin-1 project (“Sakhalin”) and develop steps to exit the venture. The Corporation remains focused on protecting the safety of employees, operations, and the environment. The Corporation is complying with all applicable laws and sanctions and is currently engaged in transitioning Sakhalin-1 operating activities to another party.</w:t>
      </w:r>
    </w:p>
    <w:p>
      <w:pPr>
        <w:spacing w:after="0" w:line="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Corporation’s first quarter results include after-tax charges of $3.4 billion largely representing the impairment of its operations related to Sakhalin (see Note 2 to Condensed Consolidated Financial Statements). Efforts to transition operatorship to a third party and exit the venture is expected to result in limited hydrocarbon sales and cash flows for the Corporation’s account during the second quarter of 2022, and none following that period. For reference, excluding the impact of impairments and other charges, after-tax earnings related to the Corporation’s interest in Sakhalin in the first quarter were approximately $0.2 billion, and combined oil and gas production was approximately 65 thousand oil-equivalent barrels per day. The Corporation's exit from the project would result in quantities estimated at 150 million oil-equivalent barrels no longer qualifying as proved reserves, which represented less than one percent of the Corporation's 18.5 billion oil-equivalent barrels of proved reserves at year-end 2021.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EARNINGS SUMMARY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Earnings (loss) excluding Identified Items, are earnings (loss) excluding individually significant non-operational events with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Upstream</w:t>
            </w:r>
          </w:p>
        </w:tc>
        <w:tc>
          <w:tcPr>
            <w:tcW w:w="21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Downstream</w:t>
            </w:r>
          </w:p>
        </w:tc>
        <w:tc>
          <w:tcPr>
            <w:tcW w:w="66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Chemical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and</w:t>
            </w:r>
          </w:p>
        </w:tc>
        <w:tc>
          <w:tcPr>
            <w:tcW w:w="640" w:type="dxa"/>
            <w:vAlign w:val="bottom"/>
            <w:vMerge w:val="restart"/>
          </w:tcPr>
          <w:p>
            <w:pPr>
              <w:ind w:left="280"/>
              <w:spacing w:after="0" w:line="135"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7"/>
        </w:trPr>
        <w:tc>
          <w:tcPr>
            <w:tcW w:w="2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760" w:type="dxa"/>
            <w:vAlign w:val="bottom"/>
            <w:vMerge w:val="continue"/>
          </w:tcPr>
          <w:p>
            <w:pPr>
              <w:spacing w:after="0"/>
              <w:rPr>
                <w:sz w:val="2"/>
                <w:szCs w:val="2"/>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w w:val="98"/>
              </w:rPr>
              <w:t>U.S.</w:t>
            </w:r>
          </w:p>
        </w:tc>
        <w:tc>
          <w:tcPr>
            <w:tcW w:w="14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U.S.</w:t>
            </w: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U.S.</w:t>
            </w: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12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7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7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89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ectPr>
          <w:pgSz w:w="11900" w:h="16838" w:orient="portrait"/>
          <w:cols w:equalWidth="0" w:num="1">
            <w:col w:w="11240"/>
          </w:cols>
          <w:pgMar w:left="320" w:top="887"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(loss) (U.S. GAAP)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Identified Items</w:t>
      </w:r>
    </w:p>
    <w:p>
      <w:pPr>
        <w:spacing w:after="0" w:line="23" w:lineRule="exact"/>
        <w:rPr>
          <w:sz w:val="20"/>
          <w:szCs w:val="20"/>
          <w:color w:val="auto"/>
        </w:rPr>
      </w:pPr>
    </w:p>
    <w:p>
      <w:pPr>
        <w:ind w:left="240" w:right="720"/>
        <w:spacing w:after="0" w:line="266" w:lineRule="auto"/>
        <w:rPr>
          <w:sz w:val="20"/>
          <w:szCs w:val="20"/>
          <w:color w:val="auto"/>
        </w:rPr>
      </w:pPr>
      <w:r>
        <w:rPr>
          <w:rFonts w:ascii="Times New Roman" w:cs="Times New Roman" w:eastAsia="Times New Roman" w:hAnsi="Times New Roman"/>
          <w:sz w:val="18"/>
          <w:szCs w:val="18"/>
          <w:color w:val="auto"/>
        </w:rPr>
        <w:t>Impairments Other - Russia impacts</w:t>
      </w:r>
    </w:p>
    <w:p>
      <w:pPr>
        <w:ind w:left="20"/>
        <w:spacing w:after="0" w:line="245" w:lineRule="auto"/>
        <w:rPr>
          <w:sz w:val="20"/>
          <w:szCs w:val="20"/>
          <w:color w:val="auto"/>
        </w:rPr>
      </w:pPr>
      <w:r>
        <w:rPr>
          <w:rFonts w:ascii="Times New Roman" w:cs="Times New Roman" w:eastAsia="Times New Roman" w:hAnsi="Times New Roman"/>
          <w:sz w:val="18"/>
          <w:szCs w:val="18"/>
          <w:color w:val="auto"/>
        </w:rPr>
        <w:t>Earnings (loss) excluding Identified Items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2,376</w:t>
            </w: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2,112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535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(694)</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5,480</w:t>
            </w:r>
          </w:p>
        </w:tc>
      </w:tr>
      <w:tr>
        <w:trPr>
          <w:trHeight w:val="45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(2,877)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(2,975)</w:t>
            </w:r>
          </w:p>
        </w:tc>
      </w:tr>
      <w:tr>
        <w:trPr>
          <w:trHeight w:val="234"/>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(378)</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(378)</w:t>
            </w:r>
          </w:p>
        </w:tc>
      </w:tr>
      <w:tr>
        <w:trPr>
          <w:trHeight w:val="30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2,376</w:t>
            </w: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5,367</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535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(596)</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8,833</w:t>
            </w:r>
          </w:p>
        </w:tc>
      </w:tr>
      <w:tr>
        <w:trPr>
          <w:trHeight w:val="94"/>
        </w:trPr>
        <w:tc>
          <w:tcPr>
            <w:tcW w:w="9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2">
            <w:col w:w="2600" w:space="180"/>
            <w:col w:w="8460"/>
          </w:cols>
          <w:pgMar w:left="320" w:top="887" w:right="3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Upstream</w:t>
            </w:r>
          </w:p>
        </w:tc>
        <w:tc>
          <w:tcPr>
            <w:tcW w:w="21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Downstream</w:t>
            </w:r>
          </w:p>
        </w:tc>
        <w:tc>
          <w:tcPr>
            <w:tcW w:w="66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Chemical</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and</w:t>
            </w:r>
          </w:p>
        </w:tc>
        <w:tc>
          <w:tcPr>
            <w:tcW w:w="980" w:type="dxa"/>
            <w:vAlign w:val="bottom"/>
            <w:vMerge w:val="restart"/>
          </w:tcPr>
          <w:p>
            <w:pPr>
              <w:ind w:left="300"/>
              <w:spacing w:after="0" w:line="13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800" w:type="dxa"/>
            <w:vAlign w:val="bottom"/>
            <w:vMerge w:val="continue"/>
          </w:tcPr>
          <w:p>
            <w:pPr>
              <w:spacing w:after="0"/>
              <w:rPr>
                <w:sz w:val="2"/>
                <w:szCs w:val="2"/>
                <w:color w:val="auto"/>
              </w:rPr>
            </w:pP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w w:val="91"/>
              </w:rPr>
              <w:t>U.S.</w:t>
            </w:r>
          </w:p>
        </w:tc>
        <w:tc>
          <w:tcPr>
            <w:tcW w:w="14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U.S.</w:t>
            </w: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U.S.</w:t>
            </w: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Non-U.S.</w:t>
            </w:r>
          </w:p>
        </w:tc>
        <w:tc>
          <w:tcPr>
            <w:tcW w:w="12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8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8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440" w:type="dxa"/>
            <w:vAlign w:val="bottom"/>
            <w:tcBorders>
              <w:bottom w:val="single" w:sz="8" w:color="auto"/>
            </w:tcBorders>
            <w:gridSpan w:val="2"/>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160" w:type="dxa"/>
            <w:vAlign w:val="bottom"/>
            <w:tcBorders>
              <w:bottom w:val="single" w:sz="8" w:color="auto"/>
            </w:tcBorders>
            <w:gridSpan w:val="2"/>
            <w:vMerge w:val="continue"/>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20" w:type="dxa"/>
            <w:vAlign w:val="bottom"/>
            <w:gridSpan w:val="3"/>
          </w:tcPr>
          <w:p>
            <w:pPr>
              <w:ind w:left="60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(U.S. GAAP)</w:t>
            </w:r>
          </w:p>
        </w:tc>
        <w:tc>
          <w:tcPr>
            <w:tcW w:w="64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363</w:t>
            </w:r>
          </w:p>
        </w:tc>
        <w:tc>
          <w:tcPr>
            <w:tcW w:w="134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8"/>
              </w:rPr>
              <w:t>2,191</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66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715</w:t>
            </w:r>
          </w:p>
        </w:tc>
        <w:tc>
          <w:tcPr>
            <w:tcW w:w="134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6"/>
              </w:rPr>
              <w:t>700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(849)</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2,730</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Items</w:t>
            </w: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Severance charges</w:t>
            </w:r>
          </w:p>
        </w:tc>
        <w:tc>
          <w:tcPr>
            <w:tcW w:w="64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gridSpan w:val="2"/>
          </w:tcPr>
          <w:p>
            <w:pPr>
              <w:jc w:val="center"/>
              <w:ind w:left="174"/>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55"/>
        </w:trPr>
        <w:tc>
          <w:tcPr>
            <w:tcW w:w="28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Earnings (loss) excluding Identified</w:t>
            </w:r>
          </w:p>
        </w:tc>
        <w:tc>
          <w:tcPr>
            <w:tcW w:w="640" w:type="dxa"/>
            <w:vAlign w:val="bottom"/>
            <w:vMerge w:val="restart"/>
          </w:tcPr>
          <w:p>
            <w:pPr>
              <w:jc w:val="center"/>
              <w:ind w:left="272"/>
              <w:spacing w:after="0"/>
              <w:rPr>
                <w:sz w:val="20"/>
                <w:szCs w:val="20"/>
                <w:color w:val="auto"/>
              </w:rPr>
            </w:pPr>
            <w:r>
              <w:rPr>
                <w:rFonts w:ascii="Times New Roman" w:cs="Times New Roman" w:eastAsia="Times New Roman" w:hAnsi="Times New Roman"/>
                <w:sz w:val="18"/>
                <w:szCs w:val="18"/>
                <w:color w:val="auto"/>
              </w:rPr>
              <w:t>363</w:t>
            </w:r>
          </w:p>
        </w:tc>
        <w:tc>
          <w:tcPr>
            <w:tcW w:w="1340" w:type="dxa"/>
            <w:vAlign w:val="bottom"/>
            <w:vMerge w:val="restart"/>
          </w:tcPr>
          <w:p>
            <w:pPr>
              <w:jc w:val="center"/>
              <w:ind w:left="254"/>
              <w:spacing w:after="0"/>
              <w:rPr>
                <w:sz w:val="20"/>
                <w:szCs w:val="20"/>
                <w:color w:val="auto"/>
              </w:rPr>
            </w:pPr>
            <w:r>
              <w:rPr>
                <w:rFonts w:ascii="Times New Roman" w:cs="Times New Roman" w:eastAsia="Times New Roman" w:hAnsi="Times New Roman"/>
                <w:sz w:val="18"/>
                <w:szCs w:val="18"/>
                <w:color w:val="auto"/>
                <w:w w:val="98"/>
              </w:rPr>
              <w:t>2,191</w:t>
            </w:r>
          </w:p>
        </w:tc>
        <w:tc>
          <w:tcPr>
            <w:tcW w:w="1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(113)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3"/>
                <w:szCs w:val="13"/>
                <w:color w:val="auto"/>
              </w:rPr>
            </w:pPr>
          </w:p>
        </w:tc>
        <w:tc>
          <w:tcPr>
            <w:tcW w:w="660" w:type="dxa"/>
            <w:vAlign w:val="bottom"/>
            <w:vMerge w:val="restart"/>
          </w:tcPr>
          <w:p>
            <w:pPr>
              <w:jc w:val="center"/>
              <w:ind w:left="232"/>
              <w:spacing w:after="0"/>
              <w:rPr>
                <w:sz w:val="20"/>
                <w:szCs w:val="20"/>
                <w:color w:val="auto"/>
              </w:rPr>
            </w:pPr>
            <w:r>
              <w:rPr>
                <w:rFonts w:ascii="Times New Roman" w:cs="Times New Roman" w:eastAsia="Times New Roman" w:hAnsi="Times New Roman"/>
                <w:sz w:val="18"/>
                <w:szCs w:val="18"/>
                <w:color w:val="auto"/>
                <w:w w:val="96"/>
              </w:rPr>
              <w:t>715</w:t>
            </w:r>
          </w:p>
        </w:tc>
        <w:tc>
          <w:tcPr>
            <w:tcW w:w="1340" w:type="dxa"/>
            <w:vAlign w:val="bottom"/>
            <w:vMerge w:val="restart"/>
          </w:tcPr>
          <w:p>
            <w:pPr>
              <w:jc w:val="center"/>
              <w:ind w:left="234"/>
              <w:spacing w:after="0"/>
              <w:rPr>
                <w:sz w:val="20"/>
                <w:szCs w:val="20"/>
                <w:color w:val="auto"/>
              </w:rPr>
            </w:pPr>
            <w:r>
              <w:rPr>
                <w:rFonts w:ascii="Times New Roman" w:cs="Times New Roman" w:eastAsia="Times New Roman" w:hAnsi="Times New Roman"/>
                <w:sz w:val="18"/>
                <w:szCs w:val="18"/>
                <w:color w:val="auto"/>
                <w:w w:val="96"/>
              </w:rPr>
              <w:t>700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(818)</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2,761</w:t>
            </w:r>
          </w:p>
        </w:tc>
        <w:tc>
          <w:tcPr>
            <w:tcW w:w="0" w:type="dxa"/>
            <w:vAlign w:val="bottom"/>
          </w:tcPr>
          <w:p>
            <w:pPr>
              <w:spacing w:after="0"/>
              <w:rPr>
                <w:sz w:val="1"/>
                <w:szCs w:val="1"/>
                <w:color w:val="auto"/>
              </w:rPr>
            </w:pPr>
          </w:p>
        </w:tc>
      </w:tr>
      <w:tr>
        <w:trPr>
          <w:trHeight w:val="149"/>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Items</w:t>
            </w:r>
          </w:p>
        </w:tc>
        <w:tc>
          <w:tcPr>
            <w:tcW w:w="6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800" w:type="dxa"/>
            <w:vAlign w:val="bottom"/>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discussion to Corporate earnings (loss) mean net income (loss) attributable to ExxonMobil (U.S. GAAP) from the Consolidated Statement of Income. Unless otherwise indicated, references to earnings (loss), Upstream, Downstream,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Chemical and Corporate and Financing segment earnings (loss), and earnings (loss) per share are ExxonMobil's share after excluding amounts attributable to noncontrolling interests.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FIRST QUARTER 2022 RESULTS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first quarter 2022 earnings were $5.5 billion, or $1.28 per diluted share, compared with earnings of $2.7 billion a year earlier. The increase in earnings was driven by higher Upstream realizations and Downstream margins partly offset by charges related to the company's Russia Sakhalin-1 operation.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Oil-equivalent production was 3.7 million barrels per day, down 3 percent from the prior year. Excluding entitlement effects, divestments, and government mandates, oil-equivalent production was down 2 percent from the prior year.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distributed $3.8 billion in dividends to shareholders and bought back $2.1 billion of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UPSTREAM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Upstream Financial Results</w:t>
      </w:r>
    </w:p>
    <w:p>
      <w:pPr>
        <w:spacing w:after="0" w:line="47"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740" w:type="dxa"/>
            <w:vAlign w:val="bottom"/>
          </w:tcPr>
          <w:p>
            <w:pPr>
              <w:spacing w:after="0"/>
              <w:rPr>
                <w:sz w:val="16"/>
                <w:szCs w:val="16"/>
                <w:color w:val="auto"/>
              </w:rPr>
            </w:pPr>
          </w:p>
        </w:tc>
        <w:tc>
          <w:tcPr>
            <w:tcW w:w="1820" w:type="dxa"/>
            <w:vAlign w:val="bottom"/>
            <w:tcBorders>
              <w:top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3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(U.S. GAAP)</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20"/>
                <w:szCs w:val="20"/>
                <w:color w:val="auto"/>
              </w:rPr>
            </w:pPr>
          </w:p>
        </w:tc>
      </w:tr>
      <w:tr>
        <w:trPr>
          <w:trHeight w:val="230"/>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2,376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4"/>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2,112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23"/>
        </w:trPr>
        <w:tc>
          <w:tcPr>
            <w:tcW w:w="8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4,488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1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14"/>
                <w:szCs w:val="14"/>
                <w:i w:val="1"/>
                <w:iCs w:val="1"/>
                <w:color w:val="auto"/>
              </w:rPr>
              <w:t>(1)</w:t>
            </w: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3"/>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(3,255)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(3,255)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Earnings (loss) excluding Identified Items </w:t>
            </w:r>
            <w:r>
              <w:rPr>
                <w:rFonts w:ascii="Times New Roman" w:cs="Times New Roman" w:eastAsia="Times New Roman" w:hAnsi="Times New Roman"/>
                <w:sz w:val="14"/>
                <w:szCs w:val="14"/>
                <w:i w:val="1"/>
                <w:iCs w:val="1"/>
                <w:color w:val="auto"/>
              </w:rPr>
              <w:t>(1)</w:t>
            </w: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3"/>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2,376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4"/>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5,367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23"/>
        </w:trPr>
        <w:tc>
          <w:tcPr>
            <w:tcW w:w="8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7,743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Upstream Earnings Factor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86250" cy="1800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625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Price – Higher realizations increased earnings by $5,930 million as average realizations for crude oil increased 68%, while natural gas realizations increased 137%.</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Volume – Unfavorable volume and mix effects decreased earnings by $810 million reflecting impacts from the reduced Groningen production limit, higher downtime including the effects of weather, and lower entitlements due to prices, partly offset by growth in the Permian Basin and Guyana.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All other items increased earnings by $70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14"/>
          <w:szCs w:val="14"/>
          <w:i w:val="1"/>
          <w:iCs w:val="1"/>
          <w:color w:val="auto"/>
        </w:rPr>
        <w:t>(1)</w:t>
      </w:r>
      <w:r>
        <w:rPr>
          <w:rFonts w:ascii="Times New Roman" w:cs="Times New Roman" w:eastAsia="Times New Roman" w:hAnsi="Times New Roman"/>
          <w:sz w:val="18"/>
          <w:szCs w:val="18"/>
          <w:color w:val="auto"/>
        </w:rPr>
        <w:t xml:space="preserve"> – 1Q 2022 $(3,255) million loss as a result of the company's decision to discontinue operations at the Russia Sakhalin-1 project.</w:t>
      </w:r>
    </w:p>
    <w:p>
      <w:pPr>
        <w:spacing w:after="0" w:line="61"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Refer to Functional Earnings Summary for definition of Identified Items and earnings (loss) excluding Identified Items.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Upstream Operational Results</w:t>
      </w:r>
    </w:p>
    <w:p>
      <w:pPr>
        <w:spacing w:after="0" w:line="39"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740" w:type="dxa"/>
            <w:vAlign w:val="bottom"/>
          </w:tcPr>
          <w:p>
            <w:pPr>
              <w:spacing w:after="0"/>
              <w:rPr>
                <w:sz w:val="17"/>
                <w:szCs w:val="17"/>
                <w:color w:val="auto"/>
              </w:rPr>
            </w:pPr>
          </w:p>
        </w:tc>
        <w:tc>
          <w:tcPr>
            <w:tcW w:w="140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6"/>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Production of crude oil, natural gas liquids, bitumen and synthetic oil</w:t>
            </w: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production</w:t>
            </w: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753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Canada/Other Americas</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474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Europe</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Africa</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257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Asia</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738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34"/>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Australia/Oceania</w:t>
            </w: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Worldwide</w:t>
            </w: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2,266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421"/>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Natural gas production available for sale</w:t>
            </w: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production</w:t>
            </w: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cubic feet daily)</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2,777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Canada/Other Americas</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Europe</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770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Africa</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Asia</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3,340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34"/>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Australia/Oceania</w:t>
            </w: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1,325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23"/>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Worldwide</w:t>
            </w: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8,452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0" w:type="dxa"/>
            <w:vAlign w:val="bottom"/>
          </w:tcPr>
          <w:p>
            <w:pPr>
              <w:spacing w:after="0"/>
              <w:rPr>
                <w:sz w:val="1"/>
                <w:szCs w:val="1"/>
                <w:color w:val="auto"/>
              </w:rPr>
            </w:pPr>
          </w:p>
        </w:tc>
      </w:tr>
      <w:tr>
        <w:trPr>
          <w:trHeight w:val="388"/>
        </w:trPr>
        <w:tc>
          <w:tcPr>
            <w:tcW w:w="8740" w:type="dxa"/>
            <w:vAlign w:val="bottom"/>
          </w:tcPr>
          <w:p>
            <w:pPr>
              <w:spacing w:after="0"/>
              <w:rPr>
                <w:sz w:val="24"/>
                <w:szCs w:val="24"/>
                <w:color w:val="auto"/>
              </w:rPr>
            </w:pP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(thousands of oil-equivalent barrels daily)</w:t>
            </w:r>
          </w:p>
        </w:tc>
        <w:tc>
          <w:tcPr>
            <w:tcW w:w="0" w:type="dxa"/>
            <w:vAlign w:val="bottom"/>
          </w:tcPr>
          <w:p>
            <w:pPr>
              <w:spacing w:after="0"/>
              <w:rPr>
                <w:sz w:val="1"/>
                <w:szCs w:val="1"/>
                <w:color w:val="auto"/>
              </w:rPr>
            </w:pPr>
          </w:p>
        </w:tc>
      </w:tr>
      <w:tr>
        <w:trPr>
          <w:trHeight w:val="28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Oil-equivalent production </w:t>
            </w:r>
            <w:r>
              <w:rPr>
                <w:rFonts w:ascii="Times New Roman" w:cs="Times New Roman" w:eastAsia="Times New Roman" w:hAnsi="Times New Roman"/>
                <w:sz w:val="14"/>
                <w:szCs w:val="14"/>
                <w:i w:val="1"/>
                <w:iCs w:val="1"/>
                <w:color w:val="auto"/>
              </w:rPr>
              <w:t>(1)</w:t>
            </w: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3,675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40" w:hanging="214"/>
        <w:spacing w:after="0"/>
        <w:tabs>
          <w:tab w:leader="none" w:pos="2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Natural gas is converted to an oil-equivalent basis at six million cubic feet per one thousand barrels.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1Q 2022 versus 1Q 2021</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Liquids production – 2.3 million barrels per day increased 8 thousand barrels per day from 2021, reflecting easing government mandated curtailments, growth in the Permian Basin and Guyana, partly offset by higher downtime including the effects of weather, lower entitlements due to higher prices, and divestment impacts.</w:t>
      </w:r>
    </w:p>
    <w:p>
      <w:pPr>
        <w:spacing w:after="0" w:line="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Natural gas production available for sale – 8.5 billion cubic feet per day decreased 721 million cubic feet per day from 2021, reflecting impacts from the reduced Groningen production limit, divestments, and entitlements.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Upstream Additional Information</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36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9"/>
        </w:trPr>
        <w:tc>
          <w:tcPr>
            <w:tcW w:w="93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r>
      <w:tr>
        <w:trPr>
          <w:trHeight w:val="242"/>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Volumes reconciliation </w:t>
            </w:r>
            <w:r>
              <w:rPr>
                <w:rFonts w:ascii="Times New Roman" w:cs="Times New Roman" w:eastAsia="Times New Roman" w:hAnsi="Times New Roman"/>
                <w:sz w:val="18"/>
                <w:szCs w:val="18"/>
                <w:color w:val="auto"/>
              </w:rPr>
              <w:t>(Oil-equivalent production)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i w:val="1"/>
                <w:iCs w:val="1"/>
                <w:color w:val="auto"/>
              </w:rPr>
              <w:t>(1)</w:t>
            </w:r>
          </w:p>
        </w:tc>
        <w:tc>
          <w:tcPr>
            <w:tcW w:w="1860" w:type="dxa"/>
            <w:vAlign w:val="bottom"/>
          </w:tcPr>
          <w:p>
            <w:pPr>
              <w:spacing w:after="0"/>
              <w:rPr>
                <w:sz w:val="21"/>
                <w:szCs w:val="21"/>
                <w:color w:val="auto"/>
              </w:rPr>
            </w:pPr>
          </w:p>
        </w:tc>
      </w:tr>
      <w:tr>
        <w:trPr>
          <w:trHeight w:val="238"/>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230"/>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Entitlements - Net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Entitlements - Price / Spend / Other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Mandates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Divestments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9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r>
    </w:tbl>
    <w:p>
      <w:pPr>
        <w:spacing w:after="0" w:line="3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Natural gas is converted to an oil-equivalent basis at six million cubic feet per one thousand barrels.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descriptions of ExxonMobil’s volumes reconciliation factors which are provided to facilitate understanding of the terms.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Entitlements - Net Interest </w:t>
      </w:r>
      <w:r>
        <w:rPr>
          <w:rFonts w:ascii="Times New Roman" w:cs="Times New Roman" w:eastAsia="Times New Roman" w:hAnsi="Times New Roman"/>
          <w:sz w:val="18"/>
          <w:szCs w:val="18"/>
          <w:color w:val="auto"/>
        </w:rPr>
        <w:t>are changes to ExxonMobil’s share of production volumes caused by non-operational changes to volume-determining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factors consist of net interest changes specified in Production Sharing Contracts (PSCs) which typically occur when cumulative investment returns or production volumes achieve defined thresholds, changes in equity upon achieving pay-out in partner investment carry situations, equity redeterminations as specified in venture agreements, or as a result of the termination or expiry of a concession. Once a net interest change has occurred, it typically will not be reversed by subsequent events, such as lower crude oil prices.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Entitlements - Price, Spend and Other </w:t>
      </w:r>
      <w:r>
        <w:rPr>
          <w:rFonts w:ascii="Times New Roman" w:cs="Times New Roman" w:eastAsia="Times New Roman" w:hAnsi="Times New Roman"/>
          <w:sz w:val="18"/>
          <w:szCs w:val="18"/>
          <w:color w:val="auto"/>
        </w:rPr>
        <w:t>are changes to ExxonMobil’s share of production volumes resulting from temporary changes to non-operational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volume-determining factors. These factors include changes in oil and gas prices or spending levels from one period to another. According to the terms of contractual arrangements or government royalty regimes, price or spending variability can increase or decrease royalty burdens and/or volumes attributable to ExxonMobil. For example, at higher prices, fewer barrels are required for ExxonMobil to recover its costs. These effects generally vary from period to period with field spending patterns or market prices for oil and natural gas. Such factors can also include other temporary changes in net interest as dictated by specific provisions in production agreements.</w:t>
      </w:r>
    </w:p>
    <w:p>
      <w:pPr>
        <w:spacing w:after="0" w:line="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 Mandates </w:t>
      </w:r>
      <w:r>
        <w:rPr>
          <w:rFonts w:ascii="Times New Roman" w:cs="Times New Roman" w:eastAsia="Times New Roman" w:hAnsi="Times New Roman"/>
          <w:sz w:val="18"/>
          <w:szCs w:val="18"/>
          <w:color w:val="auto"/>
        </w:rPr>
        <w:t>are changes to ExxonMobil's sustainable production levels due to temporary non-operational production limits imposed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governments, generally upon a sector, type or method of production.</w:t>
      </w:r>
    </w:p>
    <w:p>
      <w:pPr>
        <w:spacing w:after="0" w:line="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Divestments </w:t>
      </w:r>
      <w:r>
        <w:rPr>
          <w:rFonts w:ascii="Times New Roman" w:cs="Times New Roman" w:eastAsia="Times New Roman" w:hAnsi="Times New Roman"/>
          <w:sz w:val="18"/>
          <w:szCs w:val="18"/>
          <w:color w:val="auto"/>
        </w:rPr>
        <w:t>are reductions in ExxonMobil’s production arising from commercial arrangements to fully or partially reduce equity in a field or asset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financial or other economic consideration.</w:t>
      </w:r>
    </w:p>
    <w:p>
      <w:pPr>
        <w:spacing w:after="0" w:line="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comprise all other operational and non-operational factors not covered by the above definitions that may affect volumes attributable to ExxonMobil.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factors include, but are not limited to, production enhancements from project and work program activities, acquisitions including additions from asset exchanges, downtime, market demand, natural field decline, and any fiscal or commercial terms that do not affect entitlements.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DOWNSTREAM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Downstream Financial Results</w:t>
      </w:r>
    </w:p>
    <w:p>
      <w:pPr>
        <w:spacing w:after="0" w:line="47"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740" w:type="dxa"/>
            <w:vAlign w:val="bottom"/>
          </w:tcPr>
          <w:p>
            <w:pPr>
              <w:spacing w:after="0"/>
              <w:rPr>
                <w:sz w:val="16"/>
                <w:szCs w:val="16"/>
                <w:color w:val="auto"/>
              </w:rPr>
            </w:pPr>
          </w:p>
        </w:tc>
        <w:tc>
          <w:tcPr>
            <w:tcW w:w="1820" w:type="dxa"/>
            <w:vAlign w:val="bottom"/>
            <w:tcBorders>
              <w:top w:val="single" w:sz="8" w:color="auto"/>
            </w:tcBorders>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3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(U.S. GAAP)</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20"/>
                <w:szCs w:val="20"/>
                <w:color w:val="auto"/>
              </w:rPr>
            </w:pPr>
          </w:p>
        </w:tc>
      </w:tr>
      <w:tr>
        <w:trPr>
          <w:trHeight w:val="229"/>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6"/>
              </w:rPr>
              <w:t>685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8"/>
                <w:szCs w:val="18"/>
                <w:color w:val="auto"/>
                <w:w w:val="97"/>
              </w:rPr>
              <w:t>(353)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8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8"/>
                <w:szCs w:val="18"/>
                <w:color w:val="auto"/>
                <w:w w:val="96"/>
              </w:rPr>
              <w:t>332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Earnings (loss) excluding Identified Items </w:t>
            </w:r>
            <w:r>
              <w:rPr>
                <w:rFonts w:ascii="Times New Roman" w:cs="Times New Roman" w:eastAsia="Times New Roman" w:hAnsi="Times New Roman"/>
                <w:sz w:val="14"/>
                <w:szCs w:val="14"/>
                <w:i w:val="1"/>
                <w:iCs w:val="1"/>
                <w:color w:val="auto"/>
              </w:rPr>
              <w:t>(1)</w:t>
            </w: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3"/>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6"/>
              </w:rPr>
              <w:t>685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8"/>
                <w:szCs w:val="18"/>
                <w:color w:val="auto"/>
                <w:w w:val="97"/>
              </w:rPr>
              <w:t>(353)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8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8"/>
                <w:szCs w:val="18"/>
                <w:color w:val="auto"/>
                <w:w w:val="96"/>
              </w:rPr>
              <w:t>332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r>
    </w:tbl>
    <w:p>
      <w:pPr>
        <w:spacing w:after="0" w:line="142"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Refer to Functional Earnings Summary for definition of Identified Items and earnings (loss) excluding Identified Items.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Downstream Earnings Factor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86250" cy="1800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625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Margins – Higher margins increased earnings by $310 million. Improved refining margins were partially offset by unfavorable unsettled derivative impacts.</w:t>
      </w:r>
    </w:p>
    <w:p>
      <w:pPr>
        <w:spacing w:after="0" w:line="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Volume – Favorable volume and mix effects increased earnings by $180 million, primarily due to the absence of prior year reliability impacts from winter storm Uri.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All other items increased earnings by $230 million, driven by the absence of terminal conversion impacts in the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Downstream Operational Results</w:t>
      </w:r>
    </w:p>
    <w:p>
      <w:pPr>
        <w:spacing w:after="0" w:line="47"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740" w:type="dxa"/>
            <w:vAlign w:val="bottom"/>
          </w:tcPr>
          <w:p>
            <w:pPr>
              <w:spacing w:after="0"/>
              <w:rPr>
                <w:sz w:val="16"/>
                <w:szCs w:val="16"/>
                <w:color w:val="auto"/>
              </w:rPr>
            </w:pPr>
          </w:p>
        </w:tc>
        <w:tc>
          <w:tcPr>
            <w:tcW w:w="1400" w:type="dxa"/>
            <w:vAlign w:val="bottom"/>
            <w:tcBorders>
              <w:top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6"/>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Refinery throughput</w:t>
            </w: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740" w:type="dxa"/>
            <w:vAlign w:val="bottom"/>
            <w:vMerge w:val="continue"/>
          </w:tcPr>
          <w:p>
            <w:pPr>
              <w:spacing w:after="0"/>
              <w:rPr>
                <w:sz w:val="17"/>
                <w:szCs w:val="17"/>
                <w:color w:val="auto"/>
              </w:rPr>
            </w:pPr>
          </w:p>
        </w:tc>
        <w:tc>
          <w:tcPr>
            <w:tcW w:w="2480" w:type="dxa"/>
            <w:vAlign w:val="bottom"/>
            <w:gridSpan w:val="2"/>
          </w:tcPr>
          <w:p>
            <w:pPr>
              <w:jc w:val="right"/>
              <w:ind w:right="351"/>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1,685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399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Europe</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1,193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Asia Pacific</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537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4"/>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169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Worldwide</w:t>
            </w:r>
          </w:p>
        </w:tc>
        <w:tc>
          <w:tcPr>
            <w:tcW w:w="14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3,983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42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Petroleum product sales </w:t>
            </w:r>
            <w:r>
              <w:rPr>
                <w:rFonts w:ascii="Times New Roman" w:cs="Times New Roman" w:eastAsia="Times New Roman" w:hAnsi="Times New Roman"/>
                <w:sz w:val="14"/>
                <w:szCs w:val="14"/>
                <w:i w:val="1"/>
                <w:iCs w:val="1"/>
                <w:color w:val="auto"/>
              </w:rPr>
              <w:t>(1)</w:t>
            </w: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2,256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Europe</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1,345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Asia Pacific</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644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4"/>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471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Worldwide</w:t>
            </w:r>
          </w:p>
        </w:tc>
        <w:tc>
          <w:tcPr>
            <w:tcW w:w="14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5,158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18"/>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Gasoline, naphthas</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2,114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Heating oils, kerosene, diesel oils</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1,722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30"/>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Aviation fuels</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289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Heavy fuels</w:t>
            </w:r>
          </w:p>
        </w:tc>
        <w:tc>
          <w:tcPr>
            <w:tcW w:w="14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249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4"/>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Specialty petroleum products</w:t>
            </w:r>
          </w:p>
        </w:tc>
        <w:tc>
          <w:tcPr>
            <w:tcW w:w="14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784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3"/>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Worldwide</w:t>
            </w:r>
          </w:p>
        </w:tc>
        <w:tc>
          <w:tcPr>
            <w:tcW w:w="14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5,158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80" w:hanging="218"/>
        <w:spacing w:after="0"/>
        <w:tabs>
          <w:tab w:leader="none" w:pos="28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Data reported net of purchases/sales contracts with the same counterparty.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CHEMICAL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Chemical Financial Results</w:t>
      </w:r>
    </w:p>
    <w:p>
      <w:pPr>
        <w:spacing w:after="0" w:line="39"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740" w:type="dxa"/>
            <w:vAlign w:val="bottom"/>
          </w:tcPr>
          <w:p>
            <w:pPr>
              <w:spacing w:after="0"/>
              <w:rPr>
                <w:sz w:val="17"/>
                <w:szCs w:val="17"/>
                <w:color w:val="auto"/>
              </w:rPr>
            </w:pPr>
          </w:p>
        </w:tc>
        <w:tc>
          <w:tcPr>
            <w:tcW w:w="1820" w:type="dxa"/>
            <w:vAlign w:val="bottom"/>
            <w:tcBorders>
              <w:top w:val="single" w:sz="8" w:color="auto"/>
            </w:tcBorders>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3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(U.S. GAAP)</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20"/>
                <w:szCs w:val="20"/>
                <w:color w:val="auto"/>
              </w:rPr>
            </w:pPr>
          </w:p>
        </w:tc>
      </w:tr>
      <w:tr>
        <w:trPr>
          <w:trHeight w:val="230"/>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819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34"/>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535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8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1,354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Earnings (loss) excluding Identified Items </w:t>
            </w:r>
            <w:r>
              <w:rPr>
                <w:rFonts w:ascii="Times New Roman" w:cs="Times New Roman" w:eastAsia="Times New Roman" w:hAnsi="Times New Roman"/>
                <w:sz w:val="14"/>
                <w:szCs w:val="14"/>
                <w:i w:val="1"/>
                <w:iCs w:val="1"/>
                <w:color w:val="auto"/>
              </w:rPr>
              <w:t>(2)</w:t>
            </w: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3"/>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819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34"/>
        </w:trPr>
        <w:tc>
          <w:tcPr>
            <w:tcW w:w="8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Non-U.S.</w:t>
            </w:r>
          </w:p>
        </w:tc>
        <w:tc>
          <w:tcPr>
            <w:tcW w:w="18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535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87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1,354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bl>
    <w:p>
      <w:pPr>
        <w:spacing w:after="0" w:line="155" w:lineRule="exact"/>
        <w:rPr>
          <w:sz w:val="20"/>
          <w:szCs w:val="20"/>
          <w:color w:val="auto"/>
        </w:rPr>
      </w:pPr>
    </w:p>
    <w:p>
      <w:pPr>
        <w:ind w:left="260" w:hanging="207"/>
        <w:spacing w:after="0"/>
        <w:tabs>
          <w:tab w:leader="none" w:pos="26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Refer to Functional Earnings Summary for definition of Identified Items and earnings (loss) excluding Identified Items.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Chemical Earnings Factor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86250" cy="180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Margins – Lower margins decreased earnings by $20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 Favorable volume and mix effects increased earnings by $70 million, primarily due to higher U.S. sales.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All other items decreased earnings by $110 million, primarily driven by increased project and planned maintenance spend.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Chemical Operational Results</w:t>
      </w:r>
    </w:p>
    <w:p>
      <w:pPr>
        <w:spacing w:after="0" w:line="4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700" w:type="dxa"/>
            <w:vAlign w:val="bottom"/>
          </w:tcPr>
          <w:p>
            <w:pPr>
              <w:spacing w:after="0"/>
              <w:rPr>
                <w:sz w:val="16"/>
                <w:szCs w:val="16"/>
                <w:color w:val="auto"/>
              </w:rPr>
            </w:pPr>
          </w:p>
        </w:tc>
        <w:tc>
          <w:tcPr>
            <w:tcW w:w="1400" w:type="dxa"/>
            <w:vAlign w:val="bottom"/>
            <w:tcBorders>
              <w:top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6"/>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Chemical prime product sales </w:t>
            </w:r>
            <w:r>
              <w:rPr>
                <w:rFonts w:ascii="Times New Roman" w:cs="Times New Roman" w:eastAsia="Times New Roman" w:hAnsi="Times New Roman"/>
                <w:sz w:val="14"/>
                <w:szCs w:val="14"/>
                <w:i w:val="1"/>
                <w:iCs w:val="1"/>
                <w:color w:val="auto"/>
              </w:rPr>
              <w:t>(1)</w:t>
            </w:r>
          </w:p>
        </w:tc>
        <w:tc>
          <w:tcPr>
            <w:tcW w:w="2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700" w:type="dxa"/>
            <w:vAlign w:val="bottom"/>
            <w:vMerge w:val="continue"/>
          </w:tcPr>
          <w:p>
            <w:pPr>
              <w:spacing w:after="0"/>
              <w:rPr>
                <w:sz w:val="18"/>
                <w:szCs w:val="18"/>
                <w:color w:val="auto"/>
              </w:rPr>
            </w:pPr>
          </w:p>
        </w:tc>
        <w:tc>
          <w:tcPr>
            <w:tcW w:w="2520" w:type="dxa"/>
            <w:vAlign w:val="bottom"/>
            <w:gridSpan w:val="2"/>
          </w:tcPr>
          <w:p>
            <w:pPr>
              <w:jc w:val="right"/>
              <w:ind w:right="415"/>
              <w:spacing w:after="0"/>
              <w:rPr>
                <w:sz w:val="20"/>
                <w:szCs w:val="20"/>
                <w:color w:val="auto"/>
              </w:rPr>
            </w:pPr>
            <w:r>
              <w:rPr>
                <w:rFonts w:ascii="Times New Roman" w:cs="Times New Roman" w:eastAsia="Times New Roman" w:hAnsi="Times New Roman"/>
                <w:sz w:val="14"/>
                <w:szCs w:val="14"/>
                <w:i w:val="1"/>
                <w:iCs w:val="1"/>
                <w:color w:val="auto"/>
              </w:rPr>
              <w:t>(thousands of metric tons)</w:t>
            </w:r>
          </w:p>
        </w:tc>
        <w:tc>
          <w:tcPr>
            <w:tcW w:w="0" w:type="dxa"/>
            <w:vAlign w:val="bottom"/>
          </w:tcPr>
          <w:p>
            <w:pPr>
              <w:spacing w:after="0"/>
              <w:rPr>
                <w:sz w:val="1"/>
                <w:szCs w:val="1"/>
                <w:color w:val="auto"/>
              </w:rPr>
            </w:pPr>
          </w:p>
        </w:tc>
      </w:tr>
      <w:tr>
        <w:trPr>
          <w:trHeight w:val="238"/>
        </w:trPr>
        <w:tc>
          <w:tcPr>
            <w:tcW w:w="8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2,704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34"/>
        </w:trPr>
        <w:tc>
          <w:tcPr>
            <w:tcW w:w="8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Non-U.S.</w:t>
            </w:r>
          </w:p>
        </w:tc>
        <w:tc>
          <w:tcPr>
            <w:tcW w:w="14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color w:val="auto"/>
              </w:rPr>
              <w:t>4,033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223"/>
        </w:trPr>
        <w:tc>
          <w:tcPr>
            <w:tcW w:w="8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Worldwide</w:t>
            </w:r>
          </w:p>
        </w:tc>
        <w:tc>
          <w:tcPr>
            <w:tcW w:w="14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color w:val="auto"/>
              </w:rPr>
              <w:t>6,737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Data reported net of purchases/sales contracts with the same counterparty.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Financing Financial Results</w:t>
      </w:r>
    </w:p>
    <w:p>
      <w:pPr>
        <w:spacing w:after="0" w:line="39"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74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ind w:right="10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0"/>
        </w:trPr>
        <w:tc>
          <w:tcPr>
            <w:tcW w:w="87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16"/>
                <w:szCs w:val="16"/>
                <w:color w:val="auto"/>
              </w:rPr>
            </w:pPr>
          </w:p>
        </w:tc>
      </w:tr>
      <w:tr>
        <w:trPr>
          <w:trHeight w:val="23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(U.S. GAAP)</w:t>
            </w:r>
          </w:p>
        </w:tc>
        <w:tc>
          <w:tcPr>
            <w:tcW w:w="18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(694)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41"/>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14"/>
                <w:szCs w:val="14"/>
                <w:i w:val="1"/>
                <w:iCs w:val="1"/>
                <w:color w:val="auto"/>
              </w:rPr>
              <w:t>(1)</w:t>
            </w:r>
          </w:p>
        </w:tc>
        <w:tc>
          <w:tcPr>
            <w:tcW w:w="18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rPr>
              <w:t>(98)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Earnings (loss) excluding Identified Items </w:t>
            </w:r>
            <w:r>
              <w:rPr>
                <w:rFonts w:ascii="Times New Roman" w:cs="Times New Roman" w:eastAsia="Times New Roman" w:hAnsi="Times New Roman"/>
                <w:sz w:val="14"/>
                <w:szCs w:val="14"/>
                <w:i w:val="1"/>
                <w:iCs w:val="1"/>
                <w:color w:val="auto"/>
              </w:rPr>
              <w:t>(1)</w:t>
            </w:r>
          </w:p>
        </w:tc>
        <w:tc>
          <w:tcPr>
            <w:tcW w:w="18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rPr>
              <w:t>(596)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bl>
    <w:p>
      <w:pPr>
        <w:spacing w:after="0" w:line="3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Financing expenses were $694 million for the first quarter of 2022, down $155 million from the first quarter of 2021, reflecting lower pension-related corporate costs and the absence of prior year severance charges, partly offset by Russia Sakhalin impacts.</w:t>
      </w:r>
    </w:p>
    <w:p>
      <w:pPr>
        <w:spacing w:after="0" w:line="38"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Refer to Functional Earnings Summary for definition of Identified Items and earnings (loss) excluding Identified Items.</w:t>
      </w:r>
    </w:p>
    <w:p>
      <w:pPr>
        <w:spacing w:after="0" w:line="200" w:lineRule="exact"/>
        <w:rPr>
          <w:rFonts w:ascii="Times New Roman" w:cs="Times New Roman" w:eastAsia="Times New Roman" w:hAnsi="Times New Roman"/>
          <w:sz w:val="14"/>
          <w:szCs w:val="14"/>
          <w:i w:val="1"/>
          <w:iCs w:val="1"/>
          <w:color w:val="auto"/>
        </w:rPr>
      </w:pPr>
    </w:p>
    <w:p>
      <w:pPr>
        <w:spacing w:after="0" w:line="200" w:lineRule="exact"/>
        <w:rPr>
          <w:rFonts w:ascii="Times New Roman" w:cs="Times New Roman" w:eastAsia="Times New Roman" w:hAnsi="Times New Roman"/>
          <w:sz w:val="14"/>
          <w:szCs w:val="14"/>
          <w:i w:val="1"/>
          <w:iCs w:val="1"/>
          <w:color w:val="auto"/>
        </w:rPr>
      </w:pPr>
    </w:p>
    <w:p>
      <w:pPr>
        <w:spacing w:after="0" w:line="200" w:lineRule="exact"/>
        <w:rPr>
          <w:rFonts w:ascii="Times New Roman" w:cs="Times New Roman" w:eastAsia="Times New Roman" w:hAnsi="Times New Roman"/>
          <w:sz w:val="14"/>
          <w:szCs w:val="14"/>
          <w:i w:val="1"/>
          <w:iCs w:val="1"/>
          <w:color w:val="auto"/>
        </w:rPr>
      </w:pPr>
    </w:p>
    <w:p>
      <w:pPr>
        <w:spacing w:after="0" w:line="315" w:lineRule="exact"/>
        <w:rPr>
          <w:rFonts w:ascii="Times New Roman" w:cs="Times New Roman" w:eastAsia="Times New Roman" w:hAnsi="Times New Roman"/>
          <w:sz w:val="14"/>
          <w:szCs w:val="14"/>
          <w:i w:val="1"/>
          <w:iCs w:val="1"/>
          <w:color w:val="auto"/>
        </w:rPr>
      </w:pPr>
    </w:p>
    <w:p>
      <w:pPr>
        <w:ind w:left="554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8"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74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0"/>
        </w:trPr>
        <w:tc>
          <w:tcPr>
            <w:tcW w:w="87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16"/>
                <w:szCs w:val="16"/>
                <w:color w:val="auto"/>
              </w:rPr>
            </w:pPr>
          </w:p>
        </w:tc>
      </w:tr>
      <w:tr>
        <w:trPr>
          <w:trHeight w:val="23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8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activities</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14,788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r>
      <w:tr>
        <w:trPr>
          <w:trHeight w:val="230"/>
        </w:trPr>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Investing activities</w:t>
            </w:r>
          </w:p>
        </w:tc>
        <w:tc>
          <w:tcPr>
            <w:tcW w:w="18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(3,945)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 activities</w:t>
            </w:r>
          </w:p>
        </w:tc>
        <w:tc>
          <w:tcPr>
            <w:tcW w:w="18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(6,713)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8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142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18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4,272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30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11,074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319"/>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operations and asset sales</w:t>
            </w: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9"/>
        </w:trPr>
        <w:tc>
          <w:tcPr>
            <w:tcW w:w="8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 (U.S. GAAP)</w:t>
            </w:r>
          </w:p>
        </w:tc>
        <w:tc>
          <w:tcPr>
            <w:tcW w:w="182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14,788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r>
      <w:tr>
        <w:trPr>
          <w:trHeight w:val="189"/>
        </w:trPr>
        <w:tc>
          <w:tcPr>
            <w:tcW w:w="874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color w:val="auto"/>
              </w:rPr>
              <w:t>Proceeds associated with sales of subsidiaries, property, plant &amp;</w:t>
            </w:r>
          </w:p>
        </w:tc>
        <w:tc>
          <w:tcPr>
            <w:tcW w:w="18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4"/>
        </w:trPr>
        <w:tc>
          <w:tcPr>
            <w:tcW w:w="87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equipment, and sales and returns of investments</w:t>
            </w:r>
          </w:p>
        </w:tc>
        <w:tc>
          <w:tcPr>
            <w:tcW w:w="18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293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operations and asset sales</w:t>
            </w:r>
          </w:p>
        </w:tc>
        <w:tc>
          <w:tcPr>
            <w:tcW w:w="18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15,081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r>
    </w:tbl>
    <w:p>
      <w:pPr>
        <w:spacing w:after="0" w:line="12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Because of the ongoing nature of our asset management and divestment program,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operations and asset sales in the first quarter of 2022 was $15.1 billion, an increase of $5.5 billion from the comparable 2021 period primarily reflecting higher earnings.</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totaled $14.8 billion for the first three months of 2022, $5.5 billion higher than 2021. Net income including noncontrolling interests was $5.8 billion, an increase of $3.0 billion from the prior year period. The adjustment for the noncash provision of $8.9 billion for depreciation and depletion was up $3.9 billion from 2021. Changes in operational working capital were a contribution of $1.1 billion, compared to a contribution of $2.0 billion in the prior year period. All other items net decreased cash flows by $0.9 billion in 2022 versus a reduction of $0.5 billion in 2021. See the Condensed Consolidated Statement of Cash Flows for additional details.</w:t>
      </w:r>
    </w:p>
    <w:p>
      <w:pPr>
        <w:spacing w:after="0" w:line="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Investing activities for the first three months of 2022 used net cash of $3.9 billion, an increase of $1.6 billion compared to the prior year. Spending for additions to property, plant and equipment of $3.9 billion was $1.5 billion higher than 2021. Proceeds from asset sales of $0.3 billion were essentially flat with the prior year. Net investments and advances increased $0.1 billion to $0.3 billion.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$6.7 billion in the first three months of 2022, including $2.1 billion for the purchase of 26.2 million shares of ExxonMobil stock, as the Corporation initiated its previously announced buyback program in the quarter. This compares to net cash used in financing activities of $7.8 billion in the prior year, reflecting long-term debt repayments of $4.1 billion during the first three months of 2021. On April 29, 2022, the company announced that it is increasing its share repurchase program from up to $10 billion to a total of up to $30 billion through 2023. The stock repurchase program does not obligate the company to acquire any particular amount of common stock, and it may be discontinued or resumed at any time. The timing and amount of shares actually repurchased in the future will depend on market, business, and other factors.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debt at the end of the first quarter of 2022 was $47.5 billion compared to $47.7 billion at year-end 2021. The Corporation's debt to total capital ratio was 21.2 percent at the end of the first quarter of 2022 compared to 21.4 percent at year-end 2021. The net debt to capital ratio was 17.1 percent at the end of the first quarter, a decrease of 1.8 percentage points from year-end 2021. The Corporation's capital allocation priorities continue to be investing in advantaged projects, strengthening the balance sheet and paying a reliable dividend.</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has access to significant capacity of long-term and short-term liquidity. In addition to cash balances, commercial paper continues to provide short-term liquidity, and is reflected in "Notes and loans payable" on the Consolidated Balance Sheet. Cash and cash equivalents was $11.1 billion at the end of the first quarter of 2022. The Corporation had undrawn short-term committed lines of credit of $10.7 billion and undrawn long-term committed lines of credit of $0.6 billion as of first quarter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distributed a total of $3.8 billion to shareholders in the first three months of 2022 through dividends.</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Corporation, as part of its ongoing asset management program, continues to evaluate its mix of assets for potential upgrade. Because of the ongoing nature of this program, dispositions will continue to be made from time to time which will result in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either gains or losses. Additionally, the Corporation continues to evaluate opportunities to enhance its business portfolio through acquisitions of assets or companies, and enters into such transactions from time to time. Key criteria for evaluating acquisitions include potential for future growth and attractive current valuations. Acquisitions may be made with cash, shares of the Corporation’s common stock, or both.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and other contingencies are discussed in Note 3 to the unaudited condensed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4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460" w:type="dxa"/>
            <w:vAlign w:val="bottom"/>
          </w:tcPr>
          <w:p>
            <w:pPr>
              <w:spacing w:after="0"/>
              <w:rPr>
                <w:sz w:val="17"/>
                <w:szCs w:val="17"/>
                <w:color w:val="auto"/>
              </w:rPr>
            </w:pPr>
          </w:p>
        </w:tc>
        <w:tc>
          <w:tcPr>
            <w:tcW w:w="200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84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60" w:type="dxa"/>
            <w:vAlign w:val="bottom"/>
          </w:tcPr>
          <w:p>
            <w:pPr>
              <w:spacing w:after="0"/>
              <w:rPr>
                <w:sz w:val="16"/>
                <w:szCs w:val="16"/>
                <w:color w:val="auto"/>
              </w:rPr>
            </w:pPr>
          </w:p>
        </w:tc>
      </w:tr>
      <w:tr>
        <w:trPr>
          <w:trHeight w:val="235"/>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2,806</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796</w:t>
            </w:r>
          </w:p>
        </w:tc>
      </w:tr>
      <w:tr>
        <w:trPr>
          <w:trHeight w:val="232"/>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00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40 %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1"/>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other taxes and duties </w:t>
            </w:r>
            <w:r>
              <w:rPr>
                <w:rFonts w:ascii="Times New Roman" w:cs="Times New Roman" w:eastAsia="Times New Roman" w:hAnsi="Times New Roman"/>
                <w:sz w:val="14"/>
                <w:szCs w:val="14"/>
                <w:i w:val="1"/>
                <w:iCs w:val="1"/>
                <w:color w:val="auto"/>
              </w:rPr>
              <w:t>(1)</w:t>
            </w:r>
          </w:p>
        </w:tc>
        <w:tc>
          <w:tcPr>
            <w:tcW w:w="20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8,449</w:t>
            </w: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7,283</w:t>
            </w:r>
          </w:p>
        </w:tc>
      </w:tr>
      <w:tr>
        <w:trPr>
          <w:trHeight w:val="230"/>
        </w:trPr>
        <w:tc>
          <w:tcPr>
            <w:tcW w:w="8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11,255</w:t>
            </w: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8,079</w:t>
            </w:r>
          </w:p>
        </w:tc>
      </w:tr>
    </w:tbl>
    <w:p>
      <w:pPr>
        <w:spacing w:after="0" w:line="344" w:lineRule="exact"/>
        <w:rPr>
          <w:sz w:val="20"/>
          <w:szCs w:val="20"/>
          <w:color w:val="auto"/>
        </w:rPr>
      </w:pPr>
    </w:p>
    <w:p>
      <w:pPr>
        <w:ind w:left="340" w:hanging="332"/>
        <w:spacing w:after="0" w:line="284" w:lineRule="auto"/>
        <w:tabs>
          <w:tab w:leader="none" w:pos="332"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Includes “Other taxes and duties” plus taxes that are included in “Production and manufacturing expenses” and “Selling, general and administrative expenses”.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taxes were $11.3 billion for the first quarter of 2022, an increase of $3.2 billion from 2021. Income tax expense was $2.8 billion compared to $0.8 billion in the prior year reflecting higher commodity prices. The effective income tax rate of 40 percent compared to 33 percent in the prior year period primarily due to a change in mix of results in jurisdictions with varying tax rates. Total other taxes and duties increased by $1.2 billion to $8.4 billion.</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Corporation has various ongoing U.S. federal income tax positions at issue with the Internal Revenue Service (IRS) for tax years beginning in 2006. The Corporation filed a refund suit for tax years 2006-2009 in U.S. federal district court (District Court) with respect to the positions at issue for those years. On February 24, 2020, the Corporation received an adverse ruling on this suit. The IRS has asserted penalties associated with several of those positions. The Corporation has not recognized the penalties as an expense because the Corporation does not expect the penalties to be sustained under applicable law. On January 13, 2021, the District Court ruled that no penalties apply to the Corporation's positions in this suit. The Corporation and the government have appealed the District Court's rulings to the U.S. Court of Appeals for the Fifth Circuit (Fifth Circuit). Proceedings in the Fifth Circuit are continuing.</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4, 2022, the Corporation also filed a refund suit for tax years 2010-2011 in District Court with respect to the positions at issue for those years. The Corporation has not recognized asserted penalties for 2010-2011 as an expense because the Corporation does not expect the penalties to be sustained under applicable law. Unfavorable resolution of all positions at issue with the IRS would not have a material adverse effect on the Corporation’s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CAPITAL AND EXPLORATION EXPENDITURES</w:t>
      </w:r>
    </w:p>
    <w:p>
      <w:pPr>
        <w:spacing w:after="0" w:line="134"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74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0"/>
        </w:trPr>
        <w:tc>
          <w:tcPr>
            <w:tcW w:w="87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16"/>
                <w:szCs w:val="16"/>
                <w:color w:val="auto"/>
              </w:rPr>
            </w:pPr>
          </w:p>
        </w:tc>
      </w:tr>
      <w:tr>
        <w:trPr>
          <w:trHeight w:val="23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Upstream (including exploration expenses)</w:t>
            </w:r>
          </w:p>
        </w:tc>
        <w:tc>
          <w:tcPr>
            <w:tcW w:w="182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3,879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29"/>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Downstream</w:t>
            </w:r>
          </w:p>
        </w:tc>
        <w:tc>
          <w:tcPr>
            <w:tcW w:w="182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577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Chemical</w:t>
            </w:r>
          </w:p>
        </w:tc>
        <w:tc>
          <w:tcPr>
            <w:tcW w:w="182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448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4,904</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and exploration expenditures in the first quarter of 2022 were $4.9 billion, up 57 percent from the first quarter of 2021. The Corporation plans to invest in the range of $21 billion to $24 billion in 2022. Actual spending could vary depending on the progress of individual projects and property acquisitions.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related to outlooks; projections; descriptions of strategic, operating, and financial plans and objectives; statements of future ambitions and plans; and other statements of future events or conditions, are forward-looking statements. Actual future results, including financial and operating performance; total capital expenditures and mix, including allocations of capital to low carbon solutions; cost reductions and efficiency gains, including the ability to meet or exceed announced cost and expense reduction objectives; cash flow, dividends and shareholder returns, including the timing and amounts of share repurchases; future debt levels and credit ratings; business and project plans, timing, costs, capacities and returns; and resource recoveries and production rates could differ materially due to a number of factors. These include global or regional changes in the supply and demand for oil, natural gas, petrochemicals, and feedstocks and other market conditions that impact prices and differentials for our products; variable impacts of trading activities on our margins and results each quarter; actions of competitors and commercial counterparties; the outcome of commercial negotiations, including final agreed terms and conditions; the ability to access debt markets; the ultimate impacts of COVID-19, including the extent and nature of further outbreaks and the effects of government responses on people and economies; reservoir performance, including variability and timing factors applicable to unconventional resources; the outcome of exploration projects; timely completion of development and other construction projects; final management approval of future projects and any changes in the scope, terms, or costs of such projects as approved; changes in law, taxes, or regulation including environmental regulations, trade sanctions, and timely granting of governmental permits and certifications; government policies and support and market demand for low carbon technologies; war, and other political or security disturbances; opportunities for potential investments or divestments and satisfaction of applicable conditions to closing, including regulatory approvals; the capture of efficiencies within and between business lines and the ability to maintain near-term cost reductions as ongoing efficiencies; unforeseen technical or operating difficulties and unplanned maintenance; the development and competitiveness of alternative energy and emission reduction technologies; the results of research programs and the ability to bring new technologies to commercial scale on a cost-competitive basis; and other factors discussed under Item 1A. Risk Factors of ExxonMobil’s 2021 Form 10-K.</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“project” as used in this report can refer to a variety of different activities and does not necessarily have the same meaning as in any government payment transparency reports.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market risks for the three months ended March 31, 2022, does not differ materially from that discussed under Item 7A of the registrant's Annual Report on Form 10-K for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indicated in the certifications in Exhibit 31 of this report, the Corporation’s Chief Executive Officer, Chief Financial Officer and Principal Accounting Officer have evaluated the Corporation’s disclosure controls and procedures as of March 31, 2022.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 There were no changes during the Corporation’s last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 has elected to use a $1 million threshold for disclosing environmental proceedings.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22, 2022, the Oil Conservation Division of the New Mexico Department of Energy, Minerals and Natural Resources (the “Department”) announced that it issued notices of violation and cumulative associated administrative civil penalties of $2,247,100 to XTO Permian Operating, LLC (“XTO”) alleging XTO failed to comply with certain operational and reporting requirements relating to four salt water disposal wells. A hearing is scheduled for May 18, 2022, but may be delayed by the Department in order to negotiate a potential resolution</w:t>
      </w:r>
      <w:r>
        <w:rPr>
          <w:rFonts w:ascii="Calibri" w:cs="Calibri" w:eastAsia="Calibri" w:hAnsi="Calibri"/>
          <w:sz w:val="19"/>
          <w:szCs w:val="19"/>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relevant portions of Note 3 of this Quarterly Report on Form 10-Q for further information on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 for Quarter Ended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1"/>
                <w:szCs w:val="11"/>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196"/>
        </w:trPr>
        <w:tc>
          <w:tcPr>
            <w:tcW w:w="3340" w:type="dxa"/>
            <w:vAlign w:val="bottom"/>
            <w:gridSpan w:val="2"/>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i w:val="1"/>
                <w:iCs w:val="1"/>
                <w:color w:val="auto"/>
              </w:rPr>
              <w:t>(1)</w:t>
            </w:r>
          </w:p>
        </w:tc>
        <w:tc>
          <w:tcPr>
            <w:tcW w:w="12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12"/>
                <w:szCs w:val="12"/>
                <w:i w:val="1"/>
                <w:iCs w:val="1"/>
                <w:color w:val="auto"/>
              </w:rPr>
              <w:t>(2)</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(Billions of dollars)</w:t>
            </w:r>
          </w:p>
        </w:tc>
        <w:tc>
          <w:tcPr>
            <w:tcW w:w="0" w:type="dxa"/>
            <w:vAlign w:val="bottom"/>
          </w:tcPr>
          <w:p>
            <w:pPr>
              <w:spacing w:after="0"/>
              <w:rPr>
                <w:sz w:val="1"/>
                <w:szCs w:val="1"/>
                <w:color w:val="auto"/>
              </w:rPr>
            </w:pPr>
          </w:p>
        </w:tc>
      </w:tr>
      <w:tr>
        <w:trPr>
          <w:trHeight w:val="224"/>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2022</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5,764,362</w:t>
            </w:r>
          </w:p>
        </w:tc>
        <w:tc>
          <w:tcPr>
            <w:tcW w:w="12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5,639,871</w:t>
            </w:r>
          </w:p>
        </w:tc>
        <w:tc>
          <w:tcPr>
            <w:tcW w:w="1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$29.6</w:t>
            </w:r>
          </w:p>
        </w:tc>
        <w:tc>
          <w:tcPr>
            <w:tcW w:w="0" w:type="dxa"/>
            <w:vAlign w:val="bottom"/>
          </w:tcPr>
          <w:p>
            <w:pPr>
              <w:spacing w:after="0"/>
              <w:rPr>
                <w:sz w:val="1"/>
                <w:szCs w:val="1"/>
                <w:color w:val="auto"/>
              </w:rPr>
            </w:pPr>
          </w:p>
        </w:tc>
      </w:tr>
      <w:tr>
        <w:trPr>
          <w:trHeight w:val="229"/>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8,320,607</w:t>
            </w:r>
          </w:p>
        </w:tc>
        <w:tc>
          <w:tcPr>
            <w:tcW w:w="2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$78.69</w:t>
            </w:r>
          </w:p>
        </w:tc>
        <w:tc>
          <w:tcPr>
            <w:tcW w:w="1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8,320,607</w:t>
            </w:r>
          </w:p>
        </w:tc>
        <w:tc>
          <w:tcPr>
            <w:tcW w:w="2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$28.9</w:t>
            </w:r>
          </w:p>
        </w:tc>
        <w:tc>
          <w:tcPr>
            <w:tcW w:w="0" w:type="dxa"/>
            <w:vAlign w:val="bottom"/>
          </w:tcPr>
          <w:p>
            <w:pPr>
              <w:spacing w:after="0"/>
              <w:rPr>
                <w:sz w:val="1"/>
                <w:szCs w:val="1"/>
                <w:color w:val="auto"/>
              </w:rPr>
            </w:pPr>
          </w:p>
        </w:tc>
      </w:tr>
      <w:tr>
        <w:trPr>
          <w:trHeight w:val="234"/>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12,197,886</w:t>
            </w:r>
          </w:p>
        </w:tc>
        <w:tc>
          <w:tcPr>
            <w:tcW w:w="2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$82.32</w:t>
            </w:r>
          </w:p>
        </w:tc>
        <w:tc>
          <w:tcPr>
            <w:tcW w:w="1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12,197,886</w:t>
            </w:r>
          </w:p>
        </w:tc>
        <w:tc>
          <w:tcPr>
            <w:tcW w:w="2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$27.9</w:t>
            </w:r>
          </w:p>
        </w:tc>
        <w:tc>
          <w:tcPr>
            <w:tcW w:w="0" w:type="dxa"/>
            <w:vAlign w:val="bottom"/>
          </w:tcPr>
          <w:p>
            <w:pPr>
              <w:spacing w:after="0"/>
              <w:rPr>
                <w:sz w:val="1"/>
                <w:szCs w:val="1"/>
                <w:color w:val="auto"/>
              </w:rPr>
            </w:pPr>
          </w:p>
        </w:tc>
      </w:tr>
      <w:tr>
        <w:trPr>
          <w:trHeight w:val="22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26,282,855</w:t>
            </w:r>
          </w:p>
        </w:tc>
        <w:tc>
          <w:tcPr>
            <w:tcW w:w="2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$78.63</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26,158,364</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the Corporation did not issue or sell any unregistered equity securities</w:t>
      </w:r>
      <w:r>
        <w:rPr>
          <w:rFonts w:ascii="Calibri" w:cs="Calibri" w:eastAsia="Calibri" w:hAnsi="Calibri"/>
          <w:sz w:val="19"/>
          <w:szCs w:val="19"/>
          <w:color w:val="auto"/>
        </w:rPr>
        <w:t>.</w:t>
      </w:r>
    </w:p>
    <w:p>
      <w:pPr>
        <w:spacing w:after="0" w:line="96" w:lineRule="exact"/>
        <w:rPr>
          <w:sz w:val="20"/>
          <w:szCs w:val="20"/>
          <w:color w:val="auto"/>
        </w:rPr>
      </w:pPr>
    </w:p>
    <w:p>
      <w:pPr>
        <w:ind w:left="220" w:hanging="212"/>
        <w:spacing w:after="0"/>
        <w:tabs>
          <w:tab w:leader="none" w:pos="2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Includes shares withheld from participants in the company's incentive program for personal income taxes.</w:t>
      </w:r>
    </w:p>
    <w:p>
      <w:pPr>
        <w:spacing w:after="0" w:line="103" w:lineRule="exact"/>
        <w:rPr>
          <w:rFonts w:ascii="Times New Roman" w:cs="Times New Roman" w:eastAsia="Times New Roman" w:hAnsi="Times New Roman"/>
          <w:sz w:val="14"/>
          <w:szCs w:val="14"/>
          <w:i w:val="1"/>
          <w:iCs w:val="1"/>
          <w:color w:val="auto"/>
        </w:rPr>
      </w:pPr>
    </w:p>
    <w:p>
      <w:pPr>
        <w:jc w:val="both"/>
        <w:ind w:firstLine="8"/>
        <w:spacing w:after="0" w:line="267" w:lineRule="auto"/>
        <w:tabs>
          <w:tab w:leader="none" w:pos="215"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i w:val="1"/>
          <w:iCs w:val="1"/>
          <w:color w:val="auto"/>
        </w:rPr>
        <w:t>In its earnings release dated April 29, 2022, the Corporation stated that the company has increased its share repurchase program from up to $10 billion to a total of up to $30 billion through 2023. Purchases in the first quarter of 2022 were made under terms intended to qualify for exemption under Rules 10b-18 and 10b5-1.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380" w:type="dxa"/>
            <w:vAlign w:val="bottom"/>
            <w:gridSpan w:val="2"/>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783"/>
        </w:trPr>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Chief Executive Officer.</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Chief Financial Officer.</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Principal Accounting Officer.</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(pursuant to Sarbanes-Oxley Section 906) by Chief Executive Officer.</w:t>
            </w: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(pursuant to Sarbanes-Oxley Section 906) by Chief Financial Officer.</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3</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(pursuant to Sarbanes-Oxley Section 906) by Principal Accounting Officer.</w:t>
            </w:r>
          </w:p>
        </w:tc>
      </w:tr>
      <w:tr>
        <w:trPr>
          <w:trHeight w:val="245"/>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Interactive Data Files (formatted as Inline XBRL).</w:t>
            </w:r>
          </w:p>
        </w:tc>
      </w:tr>
      <w:tr>
        <w:trPr>
          <w:trHeight w:val="23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0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34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ectPr>
          <w:pgSz w:w="11900" w:h="16838" w:orient="portrait"/>
          <w:cols w:equalWidth="0" w:num="1">
            <w:col w:w="11240"/>
          </w:cols>
          <w:pgMar w:left="320" w:top="887"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4, 2022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-1329055</wp:posOffset>
            </wp:positionH>
            <wp:positionV relativeFrom="paragraph">
              <wp:posOffset>24765</wp:posOffset>
            </wp:positionV>
            <wp:extent cx="3437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3">
            <w:col w:w="4280" w:space="720"/>
            <w:col w:w="2200" w:space="720"/>
            <w:col w:w="3320"/>
          </w:cols>
          <w:pgMar w:left="320" w:top="887" w:right="339" w:bottom="1440" w:gutter="0" w:footer="0" w:header="0"/>
          <w:type w:val="continuous"/>
        </w:sectPr>
      </w:pPr>
    </w:p>
    <w:p>
      <w:pPr>
        <w:jc w:val="center"/>
        <w:ind w:left="5800"/>
        <w:spacing w:after="0"/>
        <w:rPr>
          <w:sz w:val="20"/>
          <w:szCs w:val="20"/>
          <w:color w:val="auto"/>
        </w:rPr>
      </w:pPr>
      <w:r>
        <w:rPr>
          <w:rFonts w:ascii="Times New Roman" w:cs="Times New Roman" w:eastAsia="Times New Roman" w:hAnsi="Times New Roman"/>
          <w:sz w:val="18"/>
          <w:szCs w:val="18"/>
          <w:color w:val="auto"/>
        </w:rPr>
        <w:t>Len M. Fox</w:t>
      </w:r>
    </w:p>
    <w:p>
      <w:pPr>
        <w:spacing w:after="0" w:line="2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7"/>
          <w:szCs w:val="17"/>
          <w:color w:val="auto"/>
        </w:rPr>
        <w:t>Vice President, Controller and</w:t>
      </w:r>
    </w:p>
    <w:p>
      <w:pPr>
        <w:spacing w:after="0" w:line="34"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887" w:right="33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Darren W. Woods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W. Woods, certify that:</w:t>
      </w:r>
    </w:p>
    <w:p>
      <w:pPr>
        <w:spacing w:after="0" w:line="25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Exxon Mobil Corporation;</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9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Darren W. Woods</w:t>
      </w:r>
    </w:p>
    <w:p>
      <w:pPr>
        <w:spacing w:after="0" w:line="2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44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Kathryn A. Mikells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Kathryn A. Mikells,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Exxon Mobil Corporation;</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9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KATHRYN A. MIKELLS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Kathryn A. Mikells</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44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Len M. Fox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Len M. Fox,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Exxon Mobil Corporation;</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9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Len M. Fox</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44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Darren W. Woods, the chief executive officer of Exxon Mobil Corporation (the “Company”), hereby certifies that, to his knowledge:</w:t>
      </w:r>
    </w:p>
    <w:p>
      <w:pPr>
        <w:spacing w:after="0" w:line="189" w:lineRule="exact"/>
        <w:rPr>
          <w:sz w:val="20"/>
          <w:szCs w:val="20"/>
          <w:color w:val="auto"/>
        </w:rPr>
      </w:pPr>
    </w:p>
    <w:p>
      <w:pPr>
        <w:ind w:left="580" w:hanging="329"/>
        <w:spacing w:after="0" w:line="282" w:lineRule="auto"/>
        <w:tabs>
          <w:tab w:leader="none" w:pos="5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as filed with the Securities and Exchange Commission on the date hereof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9146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Darren W. Woods</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Kathryn A. Mikells, the chief financial officer of Exxon Mobil Corporation (the “Company”), hereby certifies that, to her knowledge:</w:t>
      </w:r>
    </w:p>
    <w:p>
      <w:pPr>
        <w:spacing w:after="0" w:line="189" w:lineRule="exact"/>
        <w:rPr>
          <w:sz w:val="20"/>
          <w:szCs w:val="20"/>
          <w:color w:val="auto"/>
        </w:rPr>
      </w:pPr>
    </w:p>
    <w:p>
      <w:pPr>
        <w:ind w:left="580" w:hanging="329"/>
        <w:spacing w:after="0" w:line="282" w:lineRule="auto"/>
        <w:tabs>
          <w:tab w:leader="none" w:pos="5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as filed with the Securities and Exchange Commission on the date hereof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9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KATHRYN A. MIKELLS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914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Kathryn A. Mikells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240"/>
          </w:cols>
          <w:pgMar w:left="320" w:top="76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Len M. Fox, the principal accounting officer of Exxon Mobil Corporation (the “Company”), hereby certifies that, to his knowledge:</w:t>
      </w:r>
    </w:p>
    <w:p>
      <w:pPr>
        <w:spacing w:after="0" w:line="189" w:lineRule="exact"/>
        <w:rPr>
          <w:sz w:val="20"/>
          <w:szCs w:val="20"/>
          <w:color w:val="auto"/>
        </w:rPr>
      </w:pPr>
    </w:p>
    <w:p>
      <w:pPr>
        <w:ind w:left="580" w:hanging="329"/>
        <w:spacing w:after="0" w:line="282"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2022, as filed with the Securities and Exchange Commission on the date hereof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9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2914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Len M. Fox</w:t>
      </w:r>
    </w:p>
    <w:p>
      <w:pPr>
        <w:spacing w:after="0" w:line="2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93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20"/>
    </w:lvl>
  </w:abstractNum>
  <w:abstractNum w:abstractNumId="5">
    <w:nsid w:val="519B500D"/>
    <w:multiLevelType w:val="hybridMultilevel"/>
    <w:lvl w:ilvl="0">
      <w:lvlJc w:val="left"/>
      <w:lvlText w:val="(%1)"/>
      <w:numFmt w:val="decimal"/>
      <w:start w:val="22"/>
    </w:lvl>
  </w:abstractNum>
  <w:abstractNum w:abstractNumId="6">
    <w:nsid w:val="431BD7B7"/>
    <w:multiLevelType w:val="hybridMultilevel"/>
    <w:lvl w:ilvl="0">
      <w:lvlJc w:val="left"/>
      <w:lvlText w:val="(%1)"/>
      <w:numFmt w:val="decimal"/>
      <w:start w:val="40"/>
    </w:lvl>
  </w:abstractNum>
  <w:abstractNum w:abstractNumId="7">
    <w:nsid w:val="3F2DBA31"/>
    <w:multiLevelType w:val="hybridMultilevel"/>
    <w:lvl w:ilvl="0">
      <w:lvlJc w:val="left"/>
      <w:lvlText w:val="(%1)"/>
      <w:numFmt w:val="decimal"/>
      <w:start w:val="27"/>
    </w:lvl>
  </w:abstractNum>
  <w:abstractNum w:abstractNumId="8">
    <w:nsid w:val="7C83E458"/>
    <w:multiLevelType w:val="hybridMultilevel"/>
    <w:lvl w:ilvl="0">
      <w:lvlJc w:val="left"/>
      <w:lvlText w:val="(%1)"/>
      <w:numFmt w:val="decimal"/>
      <w:start w:val="89"/>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2"/>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2022-05-04T11:45:29Z</dcterms:created>
  <dcterms:modified xsi:type="dcterms:W3CDTF">2022-05-04T11:45:29Z</dcterms:modified>
</cp:coreProperties>
</file>