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30, 2020</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860" w:type="dxa"/>
            <w:vAlign w:val="bottom"/>
            <w:gridSpan w:val="2"/>
          </w:tcPr>
          <w:p>
            <w:pPr>
              <w:jc w:val="center"/>
              <w:ind w:left="950"/>
              <w:spacing w:after="0"/>
              <w:rPr>
                <w:sz w:val="20"/>
                <w:szCs w:val="20"/>
                <w:color w:val="auto"/>
              </w:rPr>
            </w:pPr>
            <w:r>
              <w:rPr>
                <w:rFonts w:ascii="Times New Roman" w:cs="Times New Roman" w:eastAsia="Times New Roman" w:hAnsi="Times New Roman"/>
                <w:sz w:val="22"/>
                <w:szCs w:val="22"/>
                <w:b w:val="1"/>
                <w:bCs w:val="1"/>
                <w:color w:val="auto"/>
                <w:w w:val="99"/>
              </w:rPr>
              <w:t>New Jersey</w:t>
            </w:r>
          </w:p>
        </w:tc>
        <w:tc>
          <w:tcPr>
            <w:tcW w:w="5300" w:type="dxa"/>
            <w:vAlign w:val="bottom"/>
          </w:tcPr>
          <w:p>
            <w:pPr>
              <w:ind w:left="2380"/>
              <w:spacing w:after="0"/>
              <w:rPr>
                <w:sz w:val="20"/>
                <w:szCs w:val="20"/>
                <w:color w:val="auto"/>
              </w:rPr>
            </w:pPr>
            <w:r>
              <w:rPr>
                <w:rFonts w:ascii="Times New Roman" w:cs="Times New Roman" w:eastAsia="Times New Roman" w:hAnsi="Times New Roman"/>
                <w:sz w:val="22"/>
                <w:szCs w:val="22"/>
                <w:b w:val="1"/>
                <w:bCs w:val="1"/>
                <w:color w:val="auto"/>
              </w:rPr>
              <w:t>1-2256</w:t>
            </w:r>
          </w:p>
        </w:tc>
        <w:tc>
          <w:tcPr>
            <w:tcW w:w="2880" w:type="dxa"/>
            <w:vAlign w:val="bottom"/>
            <w:gridSpan w:val="2"/>
          </w:tcPr>
          <w:p>
            <w:pPr>
              <w:jc w:val="center"/>
              <w:ind w:right="740"/>
              <w:spacing w:after="0"/>
              <w:rPr>
                <w:sz w:val="20"/>
                <w:szCs w:val="20"/>
                <w:color w:val="auto"/>
              </w:rPr>
            </w:pPr>
            <w:r>
              <w:rPr>
                <w:rFonts w:ascii="Times New Roman" w:cs="Times New Roman" w:eastAsia="Times New Roman" w:hAnsi="Times New Roman"/>
                <w:sz w:val="22"/>
                <w:szCs w:val="22"/>
                <w:b w:val="1"/>
                <w:bCs w:val="1"/>
                <w:color w:val="auto"/>
                <w:w w:val="99"/>
              </w:rPr>
              <w:t>13-5409005</w:t>
            </w:r>
          </w:p>
        </w:tc>
      </w:tr>
      <w:tr>
        <w:trPr>
          <w:trHeight w:val="180"/>
        </w:trPr>
        <w:tc>
          <w:tcPr>
            <w:tcW w:w="2860" w:type="dxa"/>
            <w:vAlign w:val="bottom"/>
            <w:gridSpan w:val="2"/>
          </w:tcPr>
          <w:p>
            <w:pPr>
              <w:jc w:val="center"/>
              <w:ind w:left="950"/>
              <w:spacing w:after="0" w:line="181" w:lineRule="exact"/>
              <w:rPr>
                <w:sz w:val="20"/>
                <w:szCs w:val="20"/>
                <w:color w:val="auto"/>
              </w:rPr>
            </w:pPr>
            <w:r>
              <w:rPr>
                <w:rFonts w:ascii="Times New Roman" w:cs="Times New Roman" w:eastAsia="Times New Roman" w:hAnsi="Times New Roman"/>
                <w:sz w:val="18"/>
                <w:szCs w:val="18"/>
                <w:color w:val="auto"/>
                <w:w w:val="99"/>
              </w:rPr>
              <w:t>(State or other</w:t>
            </w:r>
          </w:p>
        </w:tc>
        <w:tc>
          <w:tcPr>
            <w:tcW w:w="5300" w:type="dxa"/>
            <w:vAlign w:val="bottom"/>
          </w:tcPr>
          <w:p>
            <w:pPr>
              <w:ind w:left="220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880" w:type="dxa"/>
            <w:vAlign w:val="bottom"/>
            <w:gridSpan w:val="2"/>
          </w:tcPr>
          <w:p>
            <w:pPr>
              <w:jc w:val="center"/>
              <w:ind w:right="74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175"/>
        </w:trPr>
        <w:tc>
          <w:tcPr>
            <w:tcW w:w="2860" w:type="dxa"/>
            <w:vAlign w:val="bottom"/>
            <w:gridSpan w:val="2"/>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jurisdiction</w:t>
            </w:r>
          </w:p>
        </w:tc>
        <w:tc>
          <w:tcPr>
            <w:tcW w:w="5300" w:type="dxa"/>
            <w:vAlign w:val="bottom"/>
          </w:tcPr>
          <w:p>
            <w:pPr>
              <w:ind w:left="2200"/>
              <w:spacing w:after="0" w:line="176" w:lineRule="exact"/>
              <w:rPr>
                <w:sz w:val="20"/>
                <w:szCs w:val="20"/>
                <w:color w:val="auto"/>
              </w:rPr>
            </w:pPr>
            <w:r>
              <w:rPr>
                <w:rFonts w:ascii="Times New Roman" w:cs="Times New Roman" w:eastAsia="Times New Roman" w:hAnsi="Times New Roman"/>
                <w:sz w:val="18"/>
                <w:szCs w:val="18"/>
                <w:color w:val="auto"/>
              </w:rPr>
              <w:t>File Number)</w:t>
            </w:r>
          </w:p>
        </w:tc>
        <w:tc>
          <w:tcPr>
            <w:tcW w:w="2880" w:type="dxa"/>
            <w:vAlign w:val="bottom"/>
            <w:gridSpan w:val="2"/>
          </w:tcPr>
          <w:p>
            <w:pPr>
              <w:jc w:val="center"/>
              <w:ind w:right="740"/>
              <w:spacing w:after="0" w:line="176" w:lineRule="exact"/>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286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57"/>
        </w:trPr>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00" w:type="dxa"/>
            <w:vAlign w:val="bottom"/>
          </w:tcPr>
          <w:p>
            <w:pPr>
              <w:jc w:val="center"/>
              <w:ind w:left="190"/>
              <w:spacing w:after="0"/>
              <w:rPr>
                <w:sz w:val="20"/>
                <w:szCs w:val="20"/>
                <w:color w:val="auto"/>
              </w:rPr>
            </w:pPr>
            <w:r>
              <w:rPr>
                <w:rFonts w:ascii="Times New Roman" w:cs="Times New Roman" w:eastAsia="Times New Roman" w:hAnsi="Times New Roman"/>
                <w:sz w:val="22"/>
                <w:szCs w:val="22"/>
                <w:b w:val="1"/>
                <w:bCs w:val="1"/>
                <w:color w:val="auto"/>
                <w:w w:val="97"/>
              </w:rPr>
              <w:t>5959 Las Colinas Boulevard, Irving, Texas 75039-2298</w:t>
            </w: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4"/>
        </w:trPr>
        <w:tc>
          <w:tcPr>
            <w:tcW w:w="1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3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84"/>
        </w:trPr>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180" w:type="dxa"/>
            <w:vAlign w:val="bottom"/>
            <w:gridSpan w:val="3"/>
          </w:tcPr>
          <w:p>
            <w:pPr>
              <w:jc w:val="center"/>
              <w:ind w:right="26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(972) 940-6000</w:t>
            </w:r>
          </w:p>
        </w:tc>
      </w:tr>
      <w:tr>
        <w:trPr>
          <w:trHeight w:val="339"/>
        </w:trPr>
        <w:tc>
          <w:tcPr>
            <w:tcW w:w="18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60" w:type="dxa"/>
            <w:vAlign w:val="bottom"/>
          </w:tcPr>
          <w:p>
            <w:pPr>
              <w:spacing w:after="0"/>
              <w:rPr>
                <w:sz w:val="24"/>
                <w:szCs w:val="24"/>
                <w:color w:val="auto"/>
              </w:rPr>
            </w:pPr>
          </w:p>
        </w:tc>
      </w:tr>
      <w:tr>
        <w:trPr>
          <w:trHeight w:val="228"/>
        </w:trPr>
        <w:tc>
          <w:tcPr>
            <w:tcW w:w="1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3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71"/>
        </w:trPr>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00" w:type="dxa"/>
            <w:vAlign w:val="bottom"/>
          </w:tcPr>
          <w:p>
            <w:pPr>
              <w:jc w:val="center"/>
              <w:ind w:left="13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83"/>
        </w:trPr>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8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Name of Each Exchange</w:t>
            </w:r>
          </w:p>
        </w:tc>
      </w:tr>
      <w:tr>
        <w:trPr>
          <w:trHeight w:val="194"/>
        </w:trPr>
        <w:tc>
          <w:tcPr>
            <w:tcW w:w="2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53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color w:val="auto"/>
              </w:rPr>
              <w:t>Trading Symbol</w:t>
            </w:r>
          </w:p>
        </w:tc>
        <w:tc>
          <w:tcPr>
            <w:tcW w:w="2880" w:type="dxa"/>
            <w:vAlign w:val="bottom"/>
            <w:tcBorders>
              <w:bottom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on Which Registered</w:t>
            </w:r>
          </w:p>
        </w:tc>
      </w:tr>
      <w:tr>
        <w:trPr>
          <w:trHeight w:val="21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530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XOM</w:t>
            </w:r>
          </w:p>
        </w:tc>
        <w:tc>
          <w:tcPr>
            <w:tcW w:w="28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0.142% Notes due 2024</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XOM24B</w:t>
            </w:r>
          </w:p>
        </w:tc>
        <w:tc>
          <w:tcPr>
            <w:tcW w:w="28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2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0.524% Notes due 2028</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XOM28</w:t>
            </w:r>
          </w:p>
        </w:tc>
        <w:tc>
          <w:tcPr>
            <w:tcW w:w="28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0.835% Notes due 2032</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XOM32</w:t>
            </w:r>
          </w:p>
        </w:tc>
        <w:tc>
          <w:tcPr>
            <w:tcW w:w="28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1.408% Notes due 2039</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XOM39A</w:t>
            </w:r>
          </w:p>
        </w:tc>
        <w:tc>
          <w:tcPr>
            <w:tcW w:w="28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spacing w:after="0" w:line="184" w:lineRule="exact"/>
        <w:tabs>
          <w:tab w:leader="none" w:pos="30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Written communications pursuant to Rule 425 under the Securities Act (17 CFR 230.425)</w:t>
      </w:r>
    </w:p>
    <w:p>
      <w:pPr>
        <w:spacing w:after="0" w:line="167" w:lineRule="exact"/>
        <w:rPr>
          <w:sz w:val="24"/>
          <w:szCs w:val="24"/>
          <w:color w:val="auto"/>
        </w:rPr>
      </w:pPr>
    </w:p>
    <w:p>
      <w:pPr>
        <w:spacing w:after="0" w:line="184" w:lineRule="exact"/>
        <w:tabs>
          <w:tab w:leader="none" w:pos="30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Soliciting material pursuant to Rule 14a-12 under the Exchange Act (17 CFR 240.14a-12)</w:t>
      </w:r>
    </w:p>
    <w:p>
      <w:pPr>
        <w:spacing w:after="0" w:line="167" w:lineRule="exact"/>
        <w:rPr>
          <w:sz w:val="24"/>
          <w:szCs w:val="24"/>
          <w:color w:val="auto"/>
        </w:rPr>
      </w:pPr>
    </w:p>
    <w:p>
      <w:pPr>
        <w:spacing w:after="0" w:line="184" w:lineRule="exact"/>
        <w:tabs>
          <w:tab w:leader="none" w:pos="30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Pre-commencement communications pursuant to Rule 14d-2(b) under the Exchange Act (17 CFR 240.14d-2(b))</w:t>
      </w:r>
    </w:p>
    <w:p>
      <w:pPr>
        <w:spacing w:after="0" w:line="167" w:lineRule="exact"/>
        <w:rPr>
          <w:sz w:val="24"/>
          <w:szCs w:val="24"/>
          <w:color w:val="auto"/>
        </w:rPr>
      </w:pPr>
    </w:p>
    <w:p>
      <w:pPr>
        <w:spacing w:after="0" w:line="184" w:lineRule="exact"/>
        <w:tabs>
          <w:tab w:leader="none" w:pos="30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Pre-commencement communications pursuant to Rule 13e-4(c) under the Exchange Act (17 CFR 240.13e-4(c))</w:t>
      </w:r>
    </w:p>
    <w:p>
      <w:pPr>
        <w:spacing w:after="0" w:line="220"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575310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Regulation FD Disclosure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information is furnished pursuant to Item 7.01.</w:t>
      </w:r>
    </w:p>
    <w:p>
      <w:pPr>
        <w:spacing w:after="0" w:line="200" w:lineRule="exact"/>
        <w:rPr>
          <w:sz w:val="20"/>
          <w:szCs w:val="20"/>
          <w:color w:val="auto"/>
        </w:rPr>
      </w:pPr>
    </w:p>
    <w:p>
      <w:pPr>
        <w:sectPr>
          <w:pgSz w:w="11900" w:h="16838" w:orient="portrait"/>
          <w:cols w:equalWidth="0" w:num="2">
            <w:col w:w="1100" w:space="720"/>
            <w:col w:w="8299"/>
          </w:cols>
          <w:pgMar w:left="340" w:top="1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291" w:right="1440" w:bottom="1440" w:gutter="0" w:footer="0" w:header="0"/>
          <w:type w:val="continuous"/>
        </w:sectPr>
      </w:pPr>
    </w:p>
    <w:bookmarkStart w:id="2" w:name="page3"/>
    <w:bookmarkEnd w:id="2"/>
    <w:p>
      <w:pPr>
        <w:ind w:left="4660"/>
        <w:spacing w:after="0"/>
        <w:rPr>
          <w:sz w:val="20"/>
          <w:szCs w:val="20"/>
          <w:color w:val="auto"/>
        </w:rPr>
      </w:pPr>
      <w:r>
        <w:rPr>
          <w:rFonts w:ascii="Times New Roman" w:cs="Times New Roman" w:eastAsia="Times New Roman" w:hAnsi="Times New Roman"/>
          <w:sz w:val="20"/>
          <w:szCs w:val="20"/>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Exhibit No.</w:t>
            </w:r>
          </w:p>
        </w:tc>
        <w:tc>
          <w:tcPr>
            <w:tcW w:w="19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3980" w:type="dxa"/>
            <w:vAlign w:val="bottom"/>
          </w:tcPr>
          <w:p>
            <w:pPr>
              <w:spacing w:after="0"/>
              <w:rPr>
                <w:sz w:val="19"/>
                <w:szCs w:val="19"/>
                <w:color w:val="auto"/>
              </w:rPr>
            </w:pPr>
          </w:p>
        </w:tc>
      </w:tr>
      <w:tr>
        <w:trPr>
          <w:trHeight w:val="513"/>
        </w:trPr>
        <w:tc>
          <w:tcPr>
            <w:tcW w:w="920" w:type="dxa"/>
            <w:vAlign w:val="bottom"/>
          </w:tcPr>
          <w:p>
            <w:pPr>
              <w:spacing w:after="0"/>
              <w:rPr>
                <w:rFonts w:ascii="Times New Roman" w:cs="Times New Roman" w:eastAsia="Times New Roman" w:hAnsi="Times New Roman"/>
                <w:sz w:val="20"/>
                <w:szCs w:val="20"/>
                <w:u w:val="single" w:color="auto"/>
                <w:color w:val="0000FF"/>
              </w:rPr>
            </w:pPr>
            <w:hyperlink w:anchor="page5">
              <w:r>
                <w:rPr>
                  <w:rFonts w:ascii="Times New Roman" w:cs="Times New Roman" w:eastAsia="Times New Roman" w:hAnsi="Times New Roman"/>
                  <w:sz w:val="20"/>
                  <w:szCs w:val="20"/>
                  <w:u w:val="single" w:color="auto"/>
                  <w:color w:val="0000FF"/>
                </w:rPr>
                <w:t>99.1</w:t>
              </w:r>
            </w:hyperlink>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Exxon Mobil Corporation 4Q20 Earnings Considerations.</w:t>
            </w:r>
          </w:p>
        </w:tc>
      </w:tr>
      <w:tr>
        <w:trPr>
          <w:trHeight w:val="48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886" w:right="1440"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EXXON MOBIL CORPORATION</w:t>
      </w:r>
    </w:p>
    <w:p>
      <w:pPr>
        <w:sectPr>
          <w:pgSz w:w="11900" w:h="16838" w:orient="portrait"/>
          <w:cols w:equalWidth="0" w:num="1">
            <w:col w:w="10880"/>
          </w:cols>
          <w:pgMar w:left="320" w:top="886" w:right="6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December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21590</wp:posOffset>
            </wp:positionV>
            <wp:extent cx="303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5000" w:space="720"/>
            <w:col w:w="1240" w:space="720"/>
            <w:col w:w="3200"/>
          </w:cols>
          <w:pgMar w:left="320" w:top="886" w:right="699" w:bottom="1440" w:gutter="0" w:footer="0" w:header="0"/>
          <w:type w:val="continuous"/>
        </w:sectPr>
      </w:pPr>
    </w:p>
    <w:p>
      <w:pPr>
        <w:jc w:val="center"/>
        <w:ind w:left="6380"/>
        <w:spacing w:after="0"/>
        <w:rPr>
          <w:sz w:val="20"/>
          <w:szCs w:val="20"/>
          <w:color w:val="auto"/>
        </w:rPr>
      </w:pPr>
      <w:r>
        <w:rPr>
          <w:rFonts w:ascii="Times New Roman" w:cs="Times New Roman" w:eastAsia="Times New Roman" w:hAnsi="Times New Roman"/>
          <w:sz w:val="20"/>
          <w:szCs w:val="20"/>
          <w:color w:val="auto"/>
        </w:rPr>
        <w:t>David S. Rosenthal</w:t>
      </w:r>
    </w:p>
    <w:p>
      <w:pPr>
        <w:spacing w:after="0" w:line="27"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20"/>
          <w:szCs w:val="20"/>
          <w:color w:val="auto"/>
        </w:rPr>
        <w:t>Vice President and Controller</w:t>
      </w:r>
    </w:p>
    <w:p>
      <w:pPr>
        <w:spacing w:after="0" w:line="13"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9"/>
          <w:szCs w:val="19"/>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80"/>
          </w:cols>
          <w:pgMar w:left="320" w:top="886" w:right="699" w:bottom="1440" w:gutter="0" w:footer="0" w:header="0"/>
          <w:type w:val="continuous"/>
        </w:sectPr>
      </w:pPr>
    </w:p>
    <w:bookmarkStart w:id="4" w:name="page5"/>
    <w:bookmarkEnd w:id="4"/>
    <w:p>
      <w:pPr>
        <w:ind w:left="10240"/>
        <w:spacing w:after="0"/>
        <w:rPr>
          <w:sz w:val="20"/>
          <w:szCs w:val="20"/>
          <w:color w:val="auto"/>
        </w:rPr>
      </w:pPr>
      <w:r>
        <w:rPr>
          <w:rFonts w:ascii="Arial" w:cs="Arial" w:eastAsia="Arial" w:hAnsi="Arial"/>
          <w:sz w:val="16"/>
          <w:szCs w:val="16"/>
          <w:b w:val="1"/>
          <w:bCs w:val="1"/>
          <w:color w:val="auto"/>
        </w:rPr>
        <w:t>EXHIBIT 99.1</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4Q20 Earnings Considerations</w:t>
      </w:r>
    </w:p>
    <w:p>
      <w:pPr>
        <w:spacing w:after="0" w:line="231"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To give perspective regarding market and planned factors affecting 4Q 2020 results, we are providing the following summary of factors management believes will impact 4Q 2020 results relative to 3Q 2020 results. These factors are generally limited to market dynamics, seasonal patterns, and planned activities. This list is not meant to be a comprehensive list of all changes between 3Q 2020 results and 4Q 2020 results or to provide an estimate of 4Q 2020 results for the Corporation. Further, this list may not account for all adjustments and charges required to fully reflect the changes in industry conditions.</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900" w:type="dxa"/>
            <w:vAlign w:val="bottom"/>
            <w:gridSpan w:val="2"/>
          </w:tcPr>
          <w:p>
            <w:pPr>
              <w:ind w:left="20"/>
              <w:spacing w:after="0"/>
              <w:rPr>
                <w:sz w:val="20"/>
                <w:szCs w:val="20"/>
                <w:color w:val="auto"/>
              </w:rPr>
            </w:pPr>
            <w:r>
              <w:rPr>
                <w:rFonts w:ascii="Arial" w:cs="Arial" w:eastAsia="Arial" w:hAnsi="Arial"/>
                <w:sz w:val="20"/>
                <w:szCs w:val="20"/>
                <w:i w:val="1"/>
                <w:iCs w:val="1"/>
                <w:color w:val="auto"/>
              </w:rPr>
              <w:t>$ billions</w:t>
            </w:r>
          </w:p>
        </w:tc>
        <w:tc>
          <w:tcPr>
            <w:tcW w:w="1760" w:type="dxa"/>
            <w:vAlign w:val="bottom"/>
          </w:tcPr>
          <w:p>
            <w:pPr>
              <w:ind w:left="340"/>
              <w:spacing w:after="0"/>
              <w:rPr>
                <w:sz w:val="20"/>
                <w:szCs w:val="20"/>
                <w:color w:val="auto"/>
              </w:rPr>
            </w:pPr>
            <w:r>
              <w:rPr>
                <w:rFonts w:ascii="Arial" w:cs="Arial" w:eastAsia="Arial" w:hAnsi="Arial"/>
                <w:sz w:val="20"/>
                <w:szCs w:val="20"/>
                <w:b w:val="1"/>
                <w:bCs w:val="1"/>
                <w:color w:val="auto"/>
              </w:rPr>
              <w:t>Upstream</w:t>
            </w:r>
          </w:p>
        </w:tc>
        <w:tc>
          <w:tcPr>
            <w:tcW w:w="1540" w:type="dxa"/>
            <w:vAlign w:val="bottom"/>
          </w:tcPr>
          <w:p>
            <w:pPr>
              <w:ind w:left="80"/>
              <w:spacing w:after="0"/>
              <w:rPr>
                <w:sz w:val="20"/>
                <w:szCs w:val="20"/>
                <w:color w:val="auto"/>
              </w:rPr>
            </w:pPr>
            <w:r>
              <w:rPr>
                <w:rFonts w:ascii="Arial" w:cs="Arial" w:eastAsia="Arial" w:hAnsi="Arial"/>
                <w:sz w:val="20"/>
                <w:szCs w:val="20"/>
                <w:b w:val="1"/>
                <w:bCs w:val="1"/>
                <w:color w:val="auto"/>
              </w:rPr>
              <w:t>Downstream</w:t>
            </w:r>
          </w:p>
        </w:tc>
        <w:tc>
          <w:tcPr>
            <w:tcW w:w="1400" w:type="dxa"/>
            <w:vAlign w:val="bottom"/>
          </w:tcPr>
          <w:p>
            <w:pPr>
              <w:ind w:left="260"/>
              <w:spacing w:after="0"/>
              <w:rPr>
                <w:sz w:val="20"/>
                <w:szCs w:val="20"/>
                <w:color w:val="auto"/>
              </w:rPr>
            </w:pPr>
            <w:r>
              <w:rPr>
                <w:rFonts w:ascii="Arial" w:cs="Arial" w:eastAsia="Arial" w:hAnsi="Arial"/>
                <w:sz w:val="20"/>
                <w:szCs w:val="20"/>
                <w:b w:val="1"/>
                <w:bCs w:val="1"/>
                <w:color w:val="auto"/>
              </w:rPr>
              <w:t>Chemical</w:t>
            </w:r>
          </w:p>
        </w:tc>
        <w:tc>
          <w:tcPr>
            <w:tcW w:w="1420" w:type="dxa"/>
            <w:vAlign w:val="bottom"/>
          </w:tcPr>
          <w:p>
            <w:pPr>
              <w:jc w:val="center"/>
              <w:ind w:left="1"/>
              <w:spacing w:after="0"/>
              <w:rPr>
                <w:sz w:val="20"/>
                <w:szCs w:val="20"/>
                <w:color w:val="auto"/>
              </w:rPr>
            </w:pPr>
            <w:r>
              <w:rPr>
                <w:rFonts w:ascii="Arial" w:cs="Arial" w:eastAsia="Arial" w:hAnsi="Arial"/>
                <w:sz w:val="20"/>
                <w:szCs w:val="20"/>
                <w:b w:val="1"/>
                <w:bCs w:val="1"/>
                <w:color w:val="auto"/>
                <w:w w:val="97"/>
              </w:rPr>
              <w:t>Corp &amp; Fin</w:t>
            </w:r>
          </w:p>
        </w:tc>
        <w:tc>
          <w:tcPr>
            <w:tcW w:w="1240" w:type="dxa"/>
            <w:vAlign w:val="bottom"/>
          </w:tcPr>
          <w:p>
            <w:pPr>
              <w:jc w:val="right"/>
              <w:ind w:right="24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75"/>
        </w:trPr>
        <w:tc>
          <w:tcPr>
            <w:tcW w:w="390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3Q20 earnings / (loss), U.S. GAAP</w:t>
            </w:r>
          </w:p>
        </w:tc>
        <w:tc>
          <w:tcPr>
            <w:tcW w:w="1760" w:type="dxa"/>
            <w:vAlign w:val="bottom"/>
            <w:tcBorders>
              <w:top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97"/>
              </w:rPr>
              <w:t>(0.4)</w:t>
            </w:r>
          </w:p>
        </w:tc>
        <w:tc>
          <w:tcPr>
            <w:tcW w:w="1540" w:type="dxa"/>
            <w:vAlign w:val="bottom"/>
            <w:tcBorders>
              <w:top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97"/>
              </w:rPr>
              <w:t>(0.2)</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rPr>
              <w:t>0.7</w:t>
            </w:r>
          </w:p>
        </w:tc>
        <w:tc>
          <w:tcPr>
            <w:tcW w:w="1420" w:type="dxa"/>
            <w:vAlign w:val="bottom"/>
            <w:tcBorders>
              <w:top w:val="single" w:sz="8" w:color="auto"/>
            </w:tcBorders>
          </w:tcPr>
          <w:p>
            <w:pPr>
              <w:jc w:val="center"/>
              <w:ind w:left="1"/>
              <w:spacing w:after="0"/>
              <w:rPr>
                <w:sz w:val="20"/>
                <w:szCs w:val="20"/>
                <w:color w:val="auto"/>
              </w:rPr>
            </w:pPr>
            <w:r>
              <w:rPr>
                <w:rFonts w:ascii="Arial" w:cs="Arial" w:eastAsia="Arial" w:hAnsi="Arial"/>
                <w:sz w:val="20"/>
                <w:szCs w:val="20"/>
                <w:b w:val="1"/>
                <w:bCs w:val="1"/>
                <w:color w:val="auto"/>
                <w:w w:val="97"/>
              </w:rPr>
              <w:t>(0.7)</w:t>
            </w:r>
          </w:p>
        </w:tc>
        <w:tc>
          <w:tcPr>
            <w:tcW w:w="124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(0.7)</w:t>
            </w:r>
          </w:p>
        </w:tc>
        <w:tc>
          <w:tcPr>
            <w:tcW w:w="0" w:type="dxa"/>
            <w:vAlign w:val="bottom"/>
          </w:tcPr>
          <w:p>
            <w:pPr>
              <w:spacing w:after="0"/>
              <w:rPr>
                <w:sz w:val="1"/>
                <w:szCs w:val="1"/>
                <w:color w:val="auto"/>
              </w:rPr>
            </w:pPr>
          </w:p>
        </w:tc>
      </w:tr>
      <w:tr>
        <w:trPr>
          <w:trHeight w:val="421"/>
        </w:trPr>
        <w:tc>
          <w:tcPr>
            <w:tcW w:w="39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3Q20 identified items</w:t>
            </w:r>
          </w:p>
        </w:tc>
        <w:tc>
          <w:tcPr>
            <w:tcW w:w="17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900" w:type="dxa"/>
            <w:vAlign w:val="bottom"/>
            <w:tcBorders>
              <w:left w:val="single" w:sz="8" w:color="auto"/>
            </w:tcBorders>
            <w:gridSpan w:val="2"/>
          </w:tcPr>
          <w:p>
            <w:pPr>
              <w:ind w:left="40"/>
              <w:spacing w:after="0" w:line="207" w:lineRule="exact"/>
              <w:rPr>
                <w:sz w:val="20"/>
                <w:szCs w:val="20"/>
                <w:color w:val="auto"/>
              </w:rPr>
            </w:pPr>
            <w:r>
              <w:rPr>
                <w:rFonts w:ascii="Arial" w:cs="Arial" w:eastAsia="Arial" w:hAnsi="Arial"/>
                <w:sz w:val="20"/>
                <w:szCs w:val="20"/>
                <w:color w:val="auto"/>
              </w:rPr>
              <w:t>3Q20 non-cash inventory valuation (lower</w:t>
            </w:r>
          </w:p>
        </w:tc>
        <w:tc>
          <w:tcPr>
            <w:tcW w:w="1760" w:type="dxa"/>
            <w:vAlign w:val="bottom"/>
          </w:tcPr>
          <w:p>
            <w:pPr>
              <w:jc w:val="center"/>
              <w:ind w:right="61"/>
              <w:spacing w:after="0" w:line="207" w:lineRule="exact"/>
              <w:rPr>
                <w:sz w:val="20"/>
                <w:szCs w:val="20"/>
                <w:color w:val="auto"/>
              </w:rPr>
            </w:pPr>
            <w:r>
              <w:rPr>
                <w:rFonts w:ascii="Arial" w:cs="Arial" w:eastAsia="Arial" w:hAnsi="Arial"/>
                <w:sz w:val="20"/>
                <w:szCs w:val="20"/>
                <w:color w:val="auto"/>
                <w:w w:val="97"/>
              </w:rPr>
              <w:t>(0.0)</w:t>
            </w:r>
          </w:p>
        </w:tc>
        <w:tc>
          <w:tcPr>
            <w:tcW w:w="1540" w:type="dxa"/>
            <w:vAlign w:val="bottom"/>
          </w:tcPr>
          <w:p>
            <w:pPr>
              <w:jc w:val="center"/>
              <w:ind w:right="81"/>
              <w:spacing w:after="0" w:line="207" w:lineRule="exact"/>
              <w:rPr>
                <w:sz w:val="20"/>
                <w:szCs w:val="20"/>
                <w:color w:val="auto"/>
              </w:rPr>
            </w:pPr>
            <w:r>
              <w:rPr>
                <w:rFonts w:ascii="Arial" w:cs="Arial" w:eastAsia="Arial" w:hAnsi="Arial"/>
                <w:sz w:val="20"/>
                <w:szCs w:val="20"/>
                <w:color w:val="auto"/>
              </w:rPr>
              <w:t>0.0</w:t>
            </w:r>
          </w:p>
        </w:tc>
        <w:tc>
          <w:tcPr>
            <w:tcW w:w="1400" w:type="dxa"/>
            <w:vAlign w:val="bottom"/>
          </w:tcPr>
          <w:p>
            <w:pPr>
              <w:jc w:val="center"/>
              <w:spacing w:after="0" w:line="207" w:lineRule="exact"/>
              <w:rPr>
                <w:sz w:val="20"/>
                <w:szCs w:val="20"/>
                <w:color w:val="auto"/>
              </w:rPr>
            </w:pPr>
            <w:r>
              <w:rPr>
                <w:rFonts w:ascii="Arial" w:cs="Arial" w:eastAsia="Arial" w:hAnsi="Arial"/>
                <w:sz w:val="20"/>
                <w:szCs w:val="20"/>
                <w:color w:val="auto"/>
              </w:rPr>
              <w:t>0.1</w:t>
            </w:r>
          </w:p>
        </w:tc>
        <w:tc>
          <w:tcPr>
            <w:tcW w:w="1420" w:type="dxa"/>
            <w:vAlign w:val="bottom"/>
          </w:tcPr>
          <w:p>
            <w:pPr>
              <w:spacing w:after="0"/>
              <w:rPr>
                <w:sz w:val="17"/>
                <w:szCs w:val="17"/>
                <w:color w:val="auto"/>
              </w:rPr>
            </w:pPr>
          </w:p>
        </w:tc>
        <w:tc>
          <w:tcPr>
            <w:tcW w:w="1240" w:type="dxa"/>
            <w:vAlign w:val="bottom"/>
            <w:tcBorders>
              <w:right w:val="single" w:sz="8" w:color="auto"/>
            </w:tcBorders>
          </w:tcPr>
          <w:p>
            <w:pPr>
              <w:jc w:val="right"/>
              <w:ind w:right="321"/>
              <w:spacing w:after="0" w:line="207" w:lineRule="exact"/>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71"/>
        </w:trPr>
        <w:tc>
          <w:tcPr>
            <w:tcW w:w="3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of cost or market) impacts</w:t>
            </w:r>
          </w:p>
        </w:tc>
        <w:tc>
          <w:tcPr>
            <w:tcW w:w="17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55"/>
        </w:trPr>
        <w:tc>
          <w:tcPr>
            <w:tcW w:w="3900" w:type="dxa"/>
            <w:vAlign w:val="bottom"/>
            <w:gridSpan w:val="2"/>
          </w:tcPr>
          <w:p>
            <w:pPr>
              <w:ind w:left="20"/>
              <w:spacing w:after="0"/>
              <w:rPr>
                <w:sz w:val="20"/>
                <w:szCs w:val="20"/>
                <w:color w:val="auto"/>
              </w:rPr>
            </w:pPr>
            <w:r>
              <w:rPr>
                <w:rFonts w:ascii="Arial" w:cs="Arial" w:eastAsia="Arial" w:hAnsi="Arial"/>
                <w:sz w:val="20"/>
                <w:szCs w:val="20"/>
                <w:b w:val="1"/>
                <w:bCs w:val="1"/>
                <w:color w:val="auto"/>
              </w:rPr>
              <w:t>3Q20 earnings / (loss) excluding</w:t>
            </w:r>
          </w:p>
        </w:tc>
        <w:tc>
          <w:tcPr>
            <w:tcW w:w="1760" w:type="dxa"/>
            <w:vAlign w:val="bottom"/>
          </w:tcPr>
          <w:p>
            <w:pPr>
              <w:jc w:val="center"/>
              <w:ind w:right="61"/>
              <w:spacing w:after="0"/>
              <w:rPr>
                <w:sz w:val="20"/>
                <w:szCs w:val="20"/>
                <w:color w:val="auto"/>
              </w:rPr>
            </w:pPr>
            <w:r>
              <w:rPr>
                <w:rFonts w:ascii="Arial" w:cs="Arial" w:eastAsia="Arial" w:hAnsi="Arial"/>
                <w:sz w:val="20"/>
                <w:szCs w:val="20"/>
                <w:b w:val="1"/>
                <w:bCs w:val="1"/>
                <w:color w:val="auto"/>
                <w:w w:val="97"/>
              </w:rPr>
              <w:t>(0.4)</w:t>
            </w:r>
          </w:p>
        </w:tc>
        <w:tc>
          <w:tcPr>
            <w:tcW w:w="1540" w:type="dxa"/>
            <w:vAlign w:val="bottom"/>
          </w:tcPr>
          <w:p>
            <w:pPr>
              <w:jc w:val="center"/>
              <w:ind w:right="81"/>
              <w:spacing w:after="0"/>
              <w:rPr>
                <w:sz w:val="20"/>
                <w:szCs w:val="20"/>
                <w:color w:val="auto"/>
              </w:rPr>
            </w:pPr>
            <w:r>
              <w:rPr>
                <w:rFonts w:ascii="Arial" w:cs="Arial" w:eastAsia="Arial" w:hAnsi="Arial"/>
                <w:sz w:val="20"/>
                <w:szCs w:val="20"/>
                <w:b w:val="1"/>
                <w:bCs w:val="1"/>
                <w:color w:val="auto"/>
                <w:w w:val="97"/>
              </w:rPr>
              <w:t>(0.2)</w:t>
            </w:r>
          </w:p>
        </w:tc>
        <w:tc>
          <w:tcPr>
            <w:tcW w:w="1400" w:type="dxa"/>
            <w:vAlign w:val="bottom"/>
          </w:tcPr>
          <w:p>
            <w:pPr>
              <w:jc w:val="center"/>
              <w:spacing w:after="0"/>
              <w:rPr>
                <w:sz w:val="20"/>
                <w:szCs w:val="20"/>
                <w:color w:val="auto"/>
              </w:rPr>
            </w:pPr>
            <w:r>
              <w:rPr>
                <w:rFonts w:ascii="Arial" w:cs="Arial" w:eastAsia="Arial" w:hAnsi="Arial"/>
                <w:sz w:val="20"/>
                <w:szCs w:val="20"/>
                <w:b w:val="1"/>
                <w:bCs w:val="1"/>
                <w:color w:val="auto"/>
              </w:rPr>
              <w:t>0.5</w:t>
            </w:r>
          </w:p>
        </w:tc>
        <w:tc>
          <w:tcPr>
            <w:tcW w:w="1420" w:type="dxa"/>
            <w:vAlign w:val="bottom"/>
          </w:tcPr>
          <w:p>
            <w:pPr>
              <w:jc w:val="center"/>
              <w:ind w:left="1"/>
              <w:spacing w:after="0"/>
              <w:rPr>
                <w:sz w:val="20"/>
                <w:szCs w:val="20"/>
                <w:color w:val="auto"/>
              </w:rPr>
            </w:pPr>
            <w:r>
              <w:rPr>
                <w:rFonts w:ascii="Arial" w:cs="Arial" w:eastAsia="Arial" w:hAnsi="Arial"/>
                <w:sz w:val="20"/>
                <w:szCs w:val="20"/>
                <w:b w:val="1"/>
                <w:bCs w:val="1"/>
                <w:color w:val="auto"/>
                <w:w w:val="97"/>
              </w:rPr>
              <w:t>(0.7)</w:t>
            </w:r>
          </w:p>
        </w:tc>
        <w:tc>
          <w:tcPr>
            <w:tcW w:w="1240" w:type="dxa"/>
            <w:vAlign w:val="bottom"/>
          </w:tcPr>
          <w:p>
            <w:pPr>
              <w:jc w:val="right"/>
              <w:ind w:right="261"/>
              <w:spacing w:after="0"/>
              <w:rPr>
                <w:sz w:val="20"/>
                <w:szCs w:val="20"/>
                <w:color w:val="auto"/>
              </w:rPr>
            </w:pPr>
            <w:r>
              <w:rPr>
                <w:rFonts w:ascii="Arial" w:cs="Arial" w:eastAsia="Arial" w:hAnsi="Arial"/>
                <w:sz w:val="20"/>
                <w:szCs w:val="20"/>
                <w:b w:val="1"/>
                <w:bCs w:val="1"/>
                <w:color w:val="auto"/>
              </w:rPr>
              <w:t>(0.8)</w:t>
            </w:r>
          </w:p>
        </w:tc>
        <w:tc>
          <w:tcPr>
            <w:tcW w:w="0" w:type="dxa"/>
            <w:vAlign w:val="bottom"/>
          </w:tcPr>
          <w:p>
            <w:pPr>
              <w:spacing w:after="0"/>
              <w:rPr>
                <w:sz w:val="1"/>
                <w:szCs w:val="1"/>
                <w:color w:val="auto"/>
              </w:rPr>
            </w:pPr>
          </w:p>
        </w:tc>
      </w:tr>
      <w:tr>
        <w:trPr>
          <w:trHeight w:val="281"/>
        </w:trPr>
        <w:tc>
          <w:tcPr>
            <w:tcW w:w="3900" w:type="dxa"/>
            <w:vAlign w:val="bottom"/>
            <w:gridSpan w:val="2"/>
          </w:tcPr>
          <w:p>
            <w:pPr>
              <w:ind w:left="20"/>
              <w:spacing w:after="0"/>
              <w:rPr>
                <w:sz w:val="20"/>
                <w:szCs w:val="20"/>
                <w:color w:val="auto"/>
              </w:rPr>
            </w:pPr>
            <w:r>
              <w:rPr>
                <w:rFonts w:ascii="Arial" w:cs="Arial" w:eastAsia="Arial" w:hAnsi="Arial"/>
                <w:sz w:val="20"/>
                <w:szCs w:val="20"/>
                <w:b w:val="1"/>
                <w:bCs w:val="1"/>
                <w:color w:val="auto"/>
              </w:rPr>
              <w:t>identified items</w:t>
            </w: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566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Estimated effects of market factors impacting 4Q20 results</w:t>
            </w:r>
          </w:p>
        </w:tc>
        <w:tc>
          <w:tcPr>
            <w:tcW w:w="1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Change in liquids prices</w:t>
            </w:r>
          </w:p>
        </w:tc>
        <w:tc>
          <w:tcPr>
            <w:tcW w:w="176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98"/>
              </w:rPr>
              <w:t>0.0 - 0.4</w:t>
            </w:r>
          </w:p>
        </w:tc>
        <w:tc>
          <w:tcPr>
            <w:tcW w:w="1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Change in gas prices</w:t>
            </w:r>
          </w:p>
        </w:tc>
        <w:tc>
          <w:tcPr>
            <w:tcW w:w="176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98"/>
              </w:rPr>
              <w:t>0.2 - 0.6</w:t>
            </w:r>
          </w:p>
        </w:tc>
        <w:tc>
          <w:tcPr>
            <w:tcW w:w="1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Change in Downstream refining margins</w:t>
            </w:r>
          </w:p>
        </w:tc>
        <w:tc>
          <w:tcPr>
            <w:tcW w:w="17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color w:val="auto"/>
                <w:w w:val="96"/>
              </w:rPr>
              <w:t>(0.1) - 0.1</w:t>
            </w:r>
          </w:p>
        </w:tc>
        <w:tc>
          <w:tcPr>
            <w:tcW w:w="1400" w:type="dxa"/>
            <w:vAlign w:val="bottom"/>
            <w:tcBorders>
              <w:bottom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Change in Chemical margins</w:t>
            </w:r>
          </w:p>
        </w:tc>
        <w:tc>
          <w:tcPr>
            <w:tcW w:w="17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0.2 - 0.4</w:t>
            </w:r>
          </w:p>
        </w:tc>
        <w:tc>
          <w:tcPr>
            <w:tcW w:w="1420" w:type="dxa"/>
            <w:vAlign w:val="bottom"/>
            <w:tcBorders>
              <w:bottom w:val="single" w:sz="8" w:color="auto"/>
              <w:right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900" w:type="dxa"/>
            <w:vAlign w:val="bottom"/>
            <w:tcBorders>
              <w:left w:val="single" w:sz="8" w:color="auto"/>
            </w:tcBorders>
            <w:gridSpan w:val="2"/>
          </w:tcPr>
          <w:p>
            <w:pPr>
              <w:ind w:left="40"/>
              <w:spacing w:after="0" w:line="207" w:lineRule="exact"/>
              <w:rPr>
                <w:sz w:val="20"/>
                <w:szCs w:val="20"/>
                <w:color w:val="auto"/>
              </w:rPr>
            </w:pPr>
            <w:r>
              <w:rPr>
                <w:rFonts w:ascii="Arial" w:cs="Arial" w:eastAsia="Arial" w:hAnsi="Arial"/>
                <w:sz w:val="20"/>
                <w:szCs w:val="20"/>
                <w:color w:val="auto"/>
              </w:rPr>
              <w:t>Change in mark-to-market derivative</w:t>
            </w:r>
          </w:p>
        </w:tc>
        <w:tc>
          <w:tcPr>
            <w:tcW w:w="1760" w:type="dxa"/>
            <w:vAlign w:val="bottom"/>
          </w:tcPr>
          <w:p>
            <w:pPr>
              <w:spacing w:after="0"/>
              <w:rPr>
                <w:sz w:val="18"/>
                <w:szCs w:val="18"/>
                <w:color w:val="auto"/>
              </w:rPr>
            </w:pPr>
          </w:p>
        </w:tc>
        <w:tc>
          <w:tcPr>
            <w:tcW w:w="1540" w:type="dxa"/>
            <w:vAlign w:val="bottom"/>
            <w:vMerge w:val="restart"/>
          </w:tcPr>
          <w:p>
            <w:pPr>
              <w:jc w:val="center"/>
              <w:ind w:right="81"/>
              <w:spacing w:after="0"/>
              <w:rPr>
                <w:sz w:val="20"/>
                <w:szCs w:val="20"/>
                <w:color w:val="auto"/>
              </w:rPr>
            </w:pPr>
            <w:r>
              <w:rPr>
                <w:rFonts w:ascii="Arial" w:cs="Arial" w:eastAsia="Arial" w:hAnsi="Arial"/>
                <w:sz w:val="20"/>
                <w:szCs w:val="20"/>
                <w:color w:val="auto"/>
                <w:w w:val="99"/>
              </w:rPr>
              <w:t>(0.3) - (0.1)</w:t>
            </w:r>
          </w:p>
        </w:tc>
        <w:tc>
          <w:tcPr>
            <w:tcW w:w="14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9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20"/>
                <w:szCs w:val="20"/>
                <w:color w:val="auto"/>
              </w:rPr>
              <w:t>impacts</w:t>
            </w:r>
          </w:p>
        </w:tc>
        <w:tc>
          <w:tcPr>
            <w:tcW w:w="17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900" w:type="dxa"/>
            <w:vAlign w:val="bottom"/>
            <w:tcBorders>
              <w:left w:val="single" w:sz="8" w:color="auto"/>
              <w:bottom w:val="single" w:sz="8" w:color="auto"/>
            </w:tcBorders>
            <w:gridSpan w:val="2"/>
            <w:vMerge w:val="continue"/>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3900" w:type="dxa"/>
            <w:vAlign w:val="bottom"/>
            <w:gridSpan w:val="2"/>
          </w:tcPr>
          <w:p>
            <w:pPr>
              <w:ind w:left="20"/>
              <w:spacing w:after="0"/>
              <w:rPr>
                <w:sz w:val="20"/>
                <w:szCs w:val="20"/>
                <w:color w:val="auto"/>
              </w:rPr>
            </w:pPr>
            <w:r>
              <w:rPr>
                <w:rFonts w:ascii="Arial" w:cs="Arial" w:eastAsia="Arial" w:hAnsi="Arial"/>
                <w:sz w:val="20"/>
                <w:szCs w:val="20"/>
                <w:b w:val="1"/>
                <w:bCs w:val="1"/>
                <w:color w:val="auto"/>
              </w:rPr>
              <w:t>Additional information:</w:t>
            </w: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200" w:type="dxa"/>
            <w:vAlign w:val="bottom"/>
            <w:tcBorders>
              <w:top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900" w:type="dxa"/>
            <w:vAlign w:val="bottom"/>
            <w:tcBorders>
              <w:left w:val="single" w:sz="8" w:color="auto"/>
            </w:tcBorders>
            <w:gridSpan w:val="2"/>
          </w:tcPr>
          <w:p>
            <w:pPr>
              <w:ind w:left="40"/>
              <w:spacing w:after="0" w:line="207" w:lineRule="exact"/>
              <w:rPr>
                <w:sz w:val="20"/>
                <w:szCs w:val="20"/>
                <w:color w:val="auto"/>
              </w:rPr>
            </w:pPr>
            <w:r>
              <w:rPr>
                <w:rFonts w:ascii="Arial" w:cs="Arial" w:eastAsia="Arial" w:hAnsi="Arial"/>
                <w:sz w:val="20"/>
                <w:szCs w:val="20"/>
                <w:color w:val="auto"/>
              </w:rPr>
              <w:t>Estimated impact of impairments</w:t>
            </w:r>
          </w:p>
        </w:tc>
        <w:tc>
          <w:tcPr>
            <w:tcW w:w="1760" w:type="dxa"/>
            <w:vAlign w:val="bottom"/>
            <w:vMerge w:val="restart"/>
          </w:tcPr>
          <w:p>
            <w:pPr>
              <w:jc w:val="center"/>
              <w:ind w:right="41"/>
              <w:spacing w:after="0"/>
              <w:rPr>
                <w:sz w:val="20"/>
                <w:szCs w:val="20"/>
                <w:color w:val="auto"/>
              </w:rPr>
            </w:pPr>
            <w:r>
              <w:rPr>
                <w:rFonts w:ascii="Arial" w:cs="Arial" w:eastAsia="Arial" w:hAnsi="Arial"/>
                <w:sz w:val="20"/>
                <w:szCs w:val="20"/>
                <w:color w:val="auto"/>
                <w:w w:val="99"/>
              </w:rPr>
              <w:t>(20.0) - (18.0)</w:t>
            </w:r>
          </w:p>
        </w:tc>
        <w:tc>
          <w:tcPr>
            <w:tcW w:w="1540" w:type="dxa"/>
            <w:vAlign w:val="bottom"/>
            <w:vMerge w:val="restart"/>
          </w:tcPr>
          <w:p>
            <w:pPr>
              <w:jc w:val="center"/>
              <w:ind w:right="81"/>
              <w:spacing w:after="0"/>
              <w:rPr>
                <w:sz w:val="20"/>
                <w:szCs w:val="20"/>
                <w:color w:val="auto"/>
              </w:rPr>
            </w:pPr>
            <w:r>
              <w:rPr>
                <w:rFonts w:ascii="Arial" w:cs="Arial" w:eastAsia="Arial" w:hAnsi="Arial"/>
                <w:sz w:val="20"/>
                <w:szCs w:val="20"/>
                <w:color w:val="auto"/>
                <w:w w:val="99"/>
              </w:rPr>
              <w:t>(0.3) - (0.2)</w:t>
            </w:r>
          </w:p>
        </w:tc>
        <w:tc>
          <w:tcPr>
            <w:tcW w:w="140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9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20"/>
                <w:szCs w:val="20"/>
                <w:color w:val="auto"/>
              </w:rPr>
              <w:t>(noncash)</w:t>
            </w:r>
          </w:p>
        </w:tc>
        <w:tc>
          <w:tcPr>
            <w:tcW w:w="17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900" w:type="dxa"/>
            <w:vAlign w:val="bottom"/>
            <w:tcBorders>
              <w:left w:val="single" w:sz="8" w:color="auto"/>
              <w:bottom w:val="single" w:sz="8" w:color="auto"/>
            </w:tcBorders>
            <w:gridSpan w:val="2"/>
            <w:vMerge w:val="continue"/>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3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Estimated impact of tax items (noncash)</w:t>
            </w:r>
          </w:p>
        </w:tc>
        <w:tc>
          <w:tcPr>
            <w:tcW w:w="176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97"/>
              </w:rPr>
              <w:t>(0.4) - (0.2)</w:t>
            </w:r>
          </w:p>
        </w:tc>
        <w:tc>
          <w:tcPr>
            <w:tcW w:w="154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color w:val="auto"/>
                <w:w w:val="99"/>
              </w:rPr>
              <w:t>(0.3) - (0.2)</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6"/>
              </w:rPr>
              <w:t>(0.1) - 0.1</w:t>
            </w:r>
          </w:p>
        </w:tc>
        <w:tc>
          <w:tcPr>
            <w:tcW w:w="1420" w:type="dxa"/>
            <w:vAlign w:val="bottom"/>
            <w:tcBorders>
              <w:bottom w:val="single" w:sz="8" w:color="auto"/>
              <w:right w:val="single" w:sz="8" w:color="auto"/>
            </w:tcBorders>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900" w:type="dxa"/>
            <w:vAlign w:val="bottom"/>
            <w:tcBorders>
              <w:left w:val="single" w:sz="8" w:color="auto"/>
            </w:tcBorders>
            <w:gridSpan w:val="2"/>
          </w:tcPr>
          <w:p>
            <w:pPr>
              <w:ind w:left="40"/>
              <w:spacing w:after="0" w:line="207" w:lineRule="exact"/>
              <w:rPr>
                <w:sz w:val="20"/>
                <w:szCs w:val="20"/>
                <w:color w:val="auto"/>
              </w:rPr>
            </w:pPr>
            <w:r>
              <w:rPr>
                <w:rFonts w:ascii="Arial" w:cs="Arial" w:eastAsia="Arial" w:hAnsi="Arial"/>
                <w:sz w:val="20"/>
                <w:szCs w:val="20"/>
                <w:color w:val="auto"/>
              </w:rPr>
              <w:t>Estimated effects of LIFO inventory</w:t>
            </w:r>
          </w:p>
        </w:tc>
        <w:tc>
          <w:tcPr>
            <w:tcW w:w="1760" w:type="dxa"/>
            <w:vAlign w:val="bottom"/>
          </w:tcPr>
          <w:p>
            <w:pPr>
              <w:spacing w:after="0"/>
              <w:rPr>
                <w:sz w:val="18"/>
                <w:szCs w:val="18"/>
                <w:color w:val="auto"/>
              </w:rPr>
            </w:pPr>
          </w:p>
        </w:tc>
        <w:tc>
          <w:tcPr>
            <w:tcW w:w="1540" w:type="dxa"/>
            <w:vAlign w:val="bottom"/>
            <w:vMerge w:val="restart"/>
          </w:tcPr>
          <w:p>
            <w:pPr>
              <w:jc w:val="center"/>
              <w:ind w:right="81"/>
              <w:spacing w:after="0"/>
              <w:rPr>
                <w:sz w:val="20"/>
                <w:szCs w:val="20"/>
                <w:color w:val="auto"/>
              </w:rPr>
            </w:pPr>
            <w:r>
              <w:rPr>
                <w:rFonts w:ascii="Arial" w:cs="Arial" w:eastAsia="Arial" w:hAnsi="Arial"/>
                <w:sz w:val="20"/>
                <w:szCs w:val="20"/>
                <w:color w:val="auto"/>
                <w:w w:val="98"/>
              </w:rPr>
              <w:t>0.0 - 0.2</w:t>
            </w:r>
          </w:p>
        </w:tc>
        <w:tc>
          <w:tcPr>
            <w:tcW w:w="1400" w:type="dxa"/>
            <w:vAlign w:val="bottom"/>
            <w:vMerge w:val="restart"/>
          </w:tcPr>
          <w:p>
            <w:pPr>
              <w:jc w:val="center"/>
              <w:spacing w:after="0"/>
              <w:rPr>
                <w:sz w:val="20"/>
                <w:szCs w:val="20"/>
                <w:color w:val="auto"/>
              </w:rPr>
            </w:pPr>
            <w:r>
              <w:rPr>
                <w:rFonts w:ascii="Arial" w:cs="Arial" w:eastAsia="Arial" w:hAnsi="Arial"/>
                <w:sz w:val="20"/>
                <w:szCs w:val="20"/>
                <w:color w:val="auto"/>
                <w:w w:val="96"/>
              </w:rPr>
              <w:t>(0.2) - 0.0</w:t>
            </w:r>
          </w:p>
        </w:tc>
        <w:tc>
          <w:tcPr>
            <w:tcW w:w="142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900" w:type="dxa"/>
            <w:vAlign w:val="bottom"/>
            <w:tcBorders>
              <w:left w:val="single" w:sz="8" w:color="auto"/>
              <w:bottom w:val="single" w:sz="8" w:color="auto"/>
            </w:tcBorders>
            <w:gridSpan w:val="2"/>
          </w:tcPr>
          <w:p>
            <w:pPr>
              <w:ind w:left="40"/>
              <w:spacing w:after="0" w:line="272" w:lineRule="exact"/>
              <w:rPr>
                <w:sz w:val="20"/>
                <w:szCs w:val="20"/>
                <w:color w:val="auto"/>
              </w:rPr>
            </w:pPr>
            <w:r>
              <w:rPr>
                <w:rFonts w:ascii="Arial" w:cs="Arial" w:eastAsia="Arial" w:hAnsi="Arial"/>
                <w:sz w:val="20"/>
                <w:szCs w:val="20"/>
                <w:color w:val="auto"/>
              </w:rPr>
              <w:t>accumulations and drawdowns</w:t>
            </w:r>
            <w:r>
              <w:rPr>
                <w:rFonts w:ascii="Arial" w:cs="Arial" w:eastAsia="Arial" w:hAnsi="Arial"/>
                <w:sz w:val="25"/>
                <w:szCs w:val="25"/>
                <w:color w:val="auto"/>
                <w:vertAlign w:val="superscript"/>
              </w:rPr>
              <w:t>1</w:t>
            </w:r>
          </w:p>
        </w:tc>
        <w:tc>
          <w:tcPr>
            <w:tcW w:w="17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vMerge w:val="continue"/>
          </w:tcPr>
          <w:p>
            <w:pPr>
              <w:spacing w:after="0"/>
              <w:rPr>
                <w:sz w:val="23"/>
                <w:szCs w:val="23"/>
                <w:color w:val="auto"/>
              </w:rPr>
            </w:pPr>
          </w:p>
        </w:tc>
        <w:tc>
          <w:tcPr>
            <w:tcW w:w="1400" w:type="dxa"/>
            <w:vAlign w:val="bottom"/>
            <w:tcBorders>
              <w:bottom w:val="single" w:sz="8" w:color="auto"/>
            </w:tcBorders>
            <w:vMerge w:val="continue"/>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0" w:right="240" w:firstLine="6"/>
        <w:spacing w:after="0" w:line="222" w:lineRule="auto"/>
        <w:tabs>
          <w:tab w:leader="none" w:pos="123"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Driven by estimated operational changes in the Corporation's year-end inventory levels, valued using the last-in-first-out (LIFO) method; not an identified item</w:t>
      </w:r>
    </w:p>
    <w:p>
      <w:pPr>
        <w:sectPr>
          <w:pgSz w:w="11900" w:h="16838" w:orient="portrait"/>
          <w:cols w:equalWidth="0" w:num="1">
            <w:col w:w="11260"/>
          </w:cols>
          <w:pgMar w:left="320" w:top="1118" w:right="319" w:bottom="1440" w:gutter="0" w:footer="0" w:header="0"/>
        </w:sectPr>
      </w:pPr>
    </w:p>
    <w:bookmarkStart w:id="5" w:name="page6"/>
    <w:bookmarkEnd w:id="5"/>
    <w:p>
      <w:pPr>
        <w:ind w:right="60"/>
        <w:spacing w:after="0" w:line="233" w:lineRule="auto"/>
        <w:rPr>
          <w:sz w:val="20"/>
          <w:szCs w:val="20"/>
          <w:color w:val="auto"/>
        </w:rPr>
      </w:pPr>
      <w:r>
        <w:rPr>
          <w:rFonts w:ascii="Arial" w:cs="Arial" w:eastAsia="Arial" w:hAnsi="Arial"/>
          <w:sz w:val="20"/>
          <w:szCs w:val="20"/>
          <w:color w:val="auto"/>
        </w:rPr>
        <w:t>This information is only intended to provide additional information regarding current estimates of certain limited market and planned factors management believes will likely affect results for 4Q 2020 relative to 3Q 2020 to assist investors, analysts and others in formulating their own estimates. It is not intended to be a comprehensive presentation of all factors that will affect the Corporation’s sequential results or to provide an estimate of the Corporation’s 4Q 2020 results. Actual results and the impact of factors identified here may vary depending on the impact of other factors not identified here and are subject to finalization of the Corporation’s financial reporting process for 4Q 2020. Further, this list may not account for all adjustments and charges required to fully reflect the changes in industry conditions.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4Q 2020 may vary from our estimates for a number of reasons, including additional unidentified factors related to: sales volume and sales mix numbers; supply and demand imbalances, price impacts and the broader government responses to first or subsequent waves of COVID-19;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resolution of trading and derivative positions for the quarter; the pace of economic recovery and regional differences for product demand; regional pricing differentials; changes in consumer behavior; civil unrest; changes in regulatory policies and any associated liabilities; changes in asset valuation or estimates of fair value as of a certain date as the process for determining impairment charges and other reported items continues to be finalized; updates or corrections of any estimate used herein; and other market conditions in the oil, natural gas, petroleum, and petrochemical industries. Furthermore, additional factors may exist that will be relevant to 4Q 2020 results 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www.exxonmobil.com. All forward-looking statements and the assumptions in this publication speak only as of the date hereof. We do not assume or undertake any obligation to update these forward-looking statements or assumptions as of any future date. Any future update or expansion of the forward-looking statements in this publication will be provided only through a public disclosure indicating that fact.</w:t>
      </w:r>
    </w:p>
    <w:p>
      <w:pPr>
        <w:spacing w:after="0" w:line="193"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color w:val="auto"/>
        </w:rPr>
        <w:t>Earnings / (loss) excluding identified items are earnings / (loss) excluding individually significant non-operational events with an absolute corporate total earnings impact of at least $ 250 million in a given quarter. The earnings impact of an identified item for an individual segment may be less than $250 million when the item impacts several segments. We believe it is useful for investors to consider these figures in comparing the underlying performance of our business across periods when one or both periods include identified items.</w:t>
      </w:r>
    </w:p>
    <w:p>
      <w:pPr>
        <w:spacing w:after="0" w:line="197"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In accordance with Regulation FD, we are hereby providing notice that the company currently intends to furnish its fourth quarter 2020 financial results both (1) by posting them on our website at www.exxonmobil.com and (2) in a filing on Form 8-K in the Securities and Exchange Commission EDGAR system, each by 6:30 a.m. CT Tuesday, February 2, 2021. In the event that the EDGAR system experiences technical difficulties or the company is unable to successfully complete its 8-K filing at the intended time, investors and the public should look for this information at that time on our website. In case of a failed filing, the company intends to furnish the information on EDGAR as soon as possible after 6:30 a.m. CT Tuesday, February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1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2020-12-30T15:25:47Z</dcterms:created>
  <dcterms:modified xsi:type="dcterms:W3CDTF">2020-12-30T15:25:47Z</dcterms:modified>
</cp:coreProperties>
</file>