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400"/>
        <w:spacing w:after="0"/>
        <w:rPr>
          <w:sz w:val="20"/>
          <w:szCs w:val="20"/>
          <w:color w:val="auto"/>
        </w:rPr>
      </w:pPr>
      <w:r>
        <w:rPr>
          <w:rFonts w:ascii="Arial" w:cs="Arial" w:eastAsia="Arial" w:hAnsi="Arial"/>
          <w:sz w:val="22"/>
          <w:szCs w:val="22"/>
          <w:b w:val="1"/>
          <w:bCs w:val="1"/>
          <w:color w:val="auto"/>
        </w:rPr>
        <w:t>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219075</wp:posOffset>
            </wp:positionH>
            <wp:positionV relativeFrom="paragraph">
              <wp:posOffset>19685</wp:posOffset>
            </wp:positionV>
            <wp:extent cx="67036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03695" cy="8255"/>
                    </a:xfrm>
                    <a:prstGeom prst="rect">
                      <a:avLst/>
                    </a:prstGeom>
                    <a:noFill/>
                  </pic:spPr>
                </pic:pic>
              </a:graphicData>
            </a:graphic>
          </wp:anchor>
        </w:drawing>
      </w:r>
    </w:p>
    <w:p>
      <w:pPr>
        <w:spacing w:after="0" w:line="92" w:lineRule="exact"/>
        <w:rPr>
          <w:sz w:val="24"/>
          <w:szCs w:val="24"/>
          <w:color w:val="auto"/>
        </w:rPr>
      </w:pPr>
    </w:p>
    <w:p>
      <w:pPr>
        <w:ind w:left="4780"/>
        <w:spacing w:after="0"/>
        <w:rPr>
          <w:sz w:val="20"/>
          <w:szCs w:val="20"/>
          <w:color w:val="auto"/>
        </w:rPr>
      </w:pPr>
      <w:r>
        <w:rPr>
          <w:rFonts w:ascii="Arial" w:cs="Arial" w:eastAsia="Arial" w:hAnsi="Arial"/>
          <w:sz w:val="22"/>
          <w:szCs w:val="22"/>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1779270</wp:posOffset>
            </wp:positionH>
            <wp:positionV relativeFrom="paragraph">
              <wp:posOffset>107315</wp:posOffset>
            </wp:positionV>
            <wp:extent cx="35915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591560" cy="8255"/>
                    </a:xfrm>
                    <a:prstGeom prst="rect">
                      <a:avLst/>
                    </a:prstGeom>
                    <a:noFill/>
                  </pic:spPr>
                </pic:pic>
              </a:graphicData>
            </a:graphic>
          </wp:anchor>
        </w:drawing>
      </w:r>
    </w:p>
    <w:p>
      <w:pPr>
        <w:spacing w:after="0" w:line="24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10-K</w:t>
      </w:r>
    </w:p>
    <w:p>
      <w:pPr>
        <w:spacing w:after="0" w:line="31" w:lineRule="exact"/>
        <w:rPr>
          <w:sz w:val="24"/>
          <w:szCs w:val="24"/>
          <w:color w:val="auto"/>
        </w:rPr>
      </w:pPr>
    </w:p>
    <w:p>
      <w:pPr>
        <w:ind w:left="2720" w:hanging="212"/>
        <w:spacing w:after="0"/>
        <w:tabs>
          <w:tab w:leader="none" w:pos="2720" w:val="left"/>
        </w:tabs>
        <w:numPr>
          <w:ilvl w:val="0"/>
          <w:numId w:val="1"/>
        </w:numPr>
        <w:rPr>
          <w:rFonts w:ascii="MS PGothic" w:cs="MS PGothic" w:eastAsia="MS PGothic" w:hAnsi="MS PGothic"/>
          <w:sz w:val="18"/>
          <w:szCs w:val="18"/>
          <w:color w:val="auto"/>
        </w:rPr>
      </w:pPr>
      <w:r>
        <w:rPr>
          <w:rFonts w:ascii="Arial" w:cs="Arial" w:eastAsia="Arial" w:hAnsi="Arial"/>
          <w:sz w:val="22"/>
          <w:szCs w:val="22"/>
          <w:b w:val="1"/>
          <w:bCs w:val="1"/>
          <w:color w:val="auto"/>
        </w:rPr>
        <w:t>ANNUAL REPORT PURSUANT TO SECTION 13 OR 15(d) OF</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THE SECURITIES EXCHANGE ACT OF 1934</w:t>
      </w:r>
    </w:p>
    <w:p>
      <w:pPr>
        <w:jc w:val="center"/>
        <w:spacing w:after="0"/>
        <w:rPr>
          <w:sz w:val="20"/>
          <w:szCs w:val="20"/>
          <w:color w:val="auto"/>
        </w:rPr>
      </w:pPr>
      <w:r>
        <w:rPr>
          <w:rFonts w:ascii="Arial" w:cs="Arial" w:eastAsia="Arial" w:hAnsi="Arial"/>
          <w:sz w:val="14"/>
          <w:szCs w:val="14"/>
          <w:color w:val="auto"/>
        </w:rPr>
        <w:t>For the fiscal year ended December 31, 2021</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or</w:t>
      </w:r>
    </w:p>
    <w:p>
      <w:pPr>
        <w:spacing w:after="0" w:line="9" w:lineRule="exact"/>
        <w:rPr>
          <w:sz w:val="24"/>
          <w:szCs w:val="24"/>
          <w:color w:val="auto"/>
        </w:rPr>
      </w:pPr>
    </w:p>
    <w:p>
      <w:pPr>
        <w:ind w:left="2520" w:hanging="255"/>
        <w:spacing w:after="0"/>
        <w:tabs>
          <w:tab w:leader="none" w:pos="25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w:t>
      </w:r>
    </w:p>
    <w:p>
      <w:pPr>
        <w:jc w:val="center"/>
        <w:spacing w:after="0" w:line="238" w:lineRule="auto"/>
        <w:rPr>
          <w:sz w:val="20"/>
          <w:szCs w:val="20"/>
          <w:color w:val="auto"/>
        </w:rPr>
      </w:pPr>
      <w:r>
        <w:rPr>
          <w:rFonts w:ascii="Arial" w:cs="Arial" w:eastAsia="Arial" w:hAnsi="Arial"/>
          <w:sz w:val="22"/>
          <w:szCs w:val="22"/>
          <w:b w:val="1"/>
          <w:bCs w:val="1"/>
          <w:color w:val="auto"/>
        </w:rPr>
        <w:t>THE SECURITIES EXCHANGE ACT OF 1934</w:t>
      </w:r>
    </w:p>
    <w:tbl>
      <w:tblPr>
        <w:tblLayout w:type="fixed"/>
        <w:tblInd w:w="4160" w:type="dxa"/>
        <w:tblCellMar>
          <w:top w:w="0" w:type="dxa"/>
          <w:left w:w="0" w:type="dxa"/>
          <w:bottom w:w="0" w:type="dxa"/>
          <w:right w:w="0" w:type="dxa"/>
        </w:tblCellMar>
      </w:tblPr>
      <w:tr>
        <w:trPr>
          <w:trHeight w:val="143"/>
        </w:trPr>
        <w:tc>
          <w:tcPr>
            <w:tcW w:w="1740" w:type="dxa"/>
            <w:vAlign w:val="bottom"/>
          </w:tcPr>
          <w:p>
            <w:pPr>
              <w:spacing w:after="0" w:line="143" w:lineRule="exact"/>
              <w:rPr>
                <w:sz w:val="20"/>
                <w:szCs w:val="20"/>
                <w:color w:val="auto"/>
              </w:rPr>
            </w:pPr>
            <w:r>
              <w:rPr>
                <w:rFonts w:ascii="Arial" w:cs="Arial" w:eastAsia="Arial" w:hAnsi="Arial"/>
                <w:sz w:val="14"/>
                <w:szCs w:val="14"/>
                <w:color w:val="auto"/>
                <w:w w:val="95"/>
              </w:rPr>
              <w:t>For the transition period from</w:t>
            </w:r>
          </w:p>
        </w:tc>
        <w:tc>
          <w:tcPr>
            <w:tcW w:w="500" w:type="dxa"/>
            <w:vAlign w:val="bottom"/>
            <w:tcBorders>
              <w:bottom w:val="single" w:sz="8" w:color="auto"/>
            </w:tcBorders>
          </w:tcPr>
          <w:p>
            <w:pPr>
              <w:spacing w:after="0"/>
              <w:rPr>
                <w:sz w:val="12"/>
                <w:szCs w:val="12"/>
                <w:color w:val="auto"/>
              </w:rPr>
            </w:pPr>
          </w:p>
        </w:tc>
        <w:tc>
          <w:tcPr>
            <w:tcW w:w="180" w:type="dxa"/>
            <w:vAlign w:val="bottom"/>
          </w:tcPr>
          <w:p>
            <w:pPr>
              <w:ind w:left="40"/>
              <w:spacing w:after="0" w:line="143" w:lineRule="exact"/>
              <w:rPr>
                <w:sz w:val="20"/>
                <w:szCs w:val="20"/>
                <w:color w:val="auto"/>
              </w:rPr>
            </w:pPr>
            <w:r>
              <w:rPr>
                <w:rFonts w:ascii="Arial" w:cs="Arial" w:eastAsia="Arial" w:hAnsi="Arial"/>
                <w:sz w:val="14"/>
                <w:szCs w:val="14"/>
                <w:color w:val="auto"/>
              </w:rPr>
              <w:t>to</w:t>
            </w:r>
          </w:p>
        </w:tc>
        <w:tc>
          <w:tcPr>
            <w:tcW w:w="520" w:type="dxa"/>
            <w:vAlign w:val="bottom"/>
            <w:tcBorders>
              <w:bottom w:val="single" w:sz="8" w:color="auto"/>
            </w:tcBorders>
          </w:tcPr>
          <w:p>
            <w:pPr>
              <w:spacing w:after="0"/>
              <w:rPr>
                <w:sz w:val="12"/>
                <w:szCs w:val="12"/>
                <w:color w:val="auto"/>
              </w:rPr>
            </w:pPr>
          </w:p>
        </w:tc>
      </w:tr>
      <w:tr>
        <w:trPr>
          <w:trHeight w:val="224"/>
        </w:trPr>
        <w:tc>
          <w:tcPr>
            <w:tcW w:w="2940" w:type="dxa"/>
            <w:vAlign w:val="bottom"/>
            <w:gridSpan w:val="4"/>
          </w:tcPr>
          <w:p>
            <w:pPr>
              <w:ind w:left="500"/>
              <w:spacing w:after="0"/>
              <w:rPr>
                <w:sz w:val="20"/>
                <w:szCs w:val="20"/>
                <w:color w:val="auto"/>
              </w:rPr>
            </w:pPr>
            <w:r>
              <w:rPr>
                <w:rFonts w:ascii="Arial" w:cs="Arial" w:eastAsia="Arial" w:hAnsi="Arial"/>
                <w:sz w:val="14"/>
                <w:szCs w:val="14"/>
                <w:color w:val="auto"/>
              </w:rPr>
              <w:t>Commission File Number 1-2256</w:t>
            </w:r>
          </w:p>
        </w:tc>
      </w:tr>
    </w:tbl>
    <w:p>
      <w:pPr>
        <w:spacing w:after="0" w:line="14" w:lineRule="exact"/>
        <w:rPr>
          <w:sz w:val="24"/>
          <w:szCs w:val="24"/>
          <w:color w:val="auto"/>
        </w:rPr>
      </w:pPr>
    </w:p>
    <w:tbl>
      <w:tblPr>
        <w:tblLayout w:type="fixed"/>
        <w:tblInd w:w="0" w:type="dxa"/>
        <w:tblCellMar>
          <w:top w:w="0" w:type="dxa"/>
          <w:left w:w="0" w:type="dxa"/>
          <w:bottom w:w="0" w:type="dxa"/>
          <w:right w:w="0" w:type="dxa"/>
        </w:tblCellMar>
      </w:tblPr>
      <w:tr>
        <w:trPr>
          <w:trHeight w:val="438"/>
        </w:trPr>
        <w:tc>
          <w:tcPr>
            <w:tcW w:w="3000" w:type="dxa"/>
            <w:vAlign w:val="bottom"/>
          </w:tcPr>
          <w:p>
            <w:pPr>
              <w:spacing w:after="0"/>
              <w:rPr>
                <w:sz w:val="24"/>
                <w:szCs w:val="24"/>
                <w:color w:val="auto"/>
              </w:rPr>
            </w:pPr>
          </w:p>
        </w:tc>
        <w:tc>
          <w:tcPr>
            <w:tcW w:w="4980" w:type="dxa"/>
            <w:vAlign w:val="bottom"/>
          </w:tcPr>
          <w:p>
            <w:pPr>
              <w:jc w:val="center"/>
              <w:ind w:left="176"/>
              <w:spacing w:after="0"/>
              <w:rPr>
                <w:sz w:val="20"/>
                <w:szCs w:val="20"/>
                <w:color w:val="auto"/>
              </w:rPr>
            </w:pPr>
            <w:r>
              <w:rPr>
                <w:rFonts w:ascii="Arial" w:cs="Arial" w:eastAsia="Arial" w:hAnsi="Arial"/>
                <w:sz w:val="36"/>
                <w:szCs w:val="36"/>
                <w:b w:val="1"/>
                <w:bCs w:val="1"/>
                <w:color w:val="auto"/>
                <w:w w:val="93"/>
              </w:rPr>
              <w:t>Exxon Mobil Corporation</w:t>
            </w:r>
          </w:p>
        </w:tc>
        <w:tc>
          <w:tcPr>
            <w:tcW w:w="28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182"/>
        </w:trPr>
        <w:tc>
          <w:tcPr>
            <w:tcW w:w="3000" w:type="dxa"/>
            <w:vAlign w:val="bottom"/>
          </w:tcPr>
          <w:p>
            <w:pPr>
              <w:spacing w:after="0"/>
              <w:rPr>
                <w:sz w:val="15"/>
                <w:szCs w:val="15"/>
                <w:color w:val="auto"/>
              </w:rPr>
            </w:pPr>
          </w:p>
        </w:tc>
        <w:tc>
          <w:tcPr>
            <w:tcW w:w="4980" w:type="dxa"/>
            <w:vAlign w:val="bottom"/>
          </w:tcPr>
          <w:p>
            <w:pPr>
              <w:jc w:val="center"/>
              <w:ind w:left="196"/>
              <w:spacing w:after="0"/>
              <w:rPr>
                <w:sz w:val="20"/>
                <w:szCs w:val="20"/>
                <w:color w:val="auto"/>
              </w:rPr>
            </w:pPr>
            <w:r>
              <w:rPr>
                <w:rFonts w:ascii="Arial" w:cs="Arial" w:eastAsia="Arial" w:hAnsi="Arial"/>
                <w:sz w:val="14"/>
                <w:szCs w:val="14"/>
                <w:color w:val="auto"/>
                <w:w w:val="93"/>
              </w:rPr>
              <w:t>(Exact name of registrant as specified in its charter)</w:t>
            </w:r>
          </w:p>
        </w:tc>
        <w:tc>
          <w:tcPr>
            <w:tcW w:w="280" w:type="dxa"/>
            <w:vAlign w:val="bottom"/>
          </w:tcPr>
          <w:p>
            <w:pPr>
              <w:spacing w:after="0"/>
              <w:rPr>
                <w:sz w:val="15"/>
                <w:szCs w:val="15"/>
                <w:color w:val="auto"/>
              </w:rPr>
            </w:pPr>
          </w:p>
        </w:tc>
        <w:tc>
          <w:tcPr>
            <w:tcW w:w="2880" w:type="dxa"/>
            <w:vAlign w:val="bottom"/>
          </w:tcPr>
          <w:p>
            <w:pPr>
              <w:spacing w:after="0"/>
              <w:rPr>
                <w:sz w:val="15"/>
                <w:szCs w:val="15"/>
                <w:color w:val="auto"/>
              </w:rPr>
            </w:pPr>
          </w:p>
        </w:tc>
      </w:tr>
      <w:tr>
        <w:trPr>
          <w:trHeight w:val="344"/>
        </w:trPr>
        <w:tc>
          <w:tcPr>
            <w:tcW w:w="3000" w:type="dxa"/>
            <w:vAlign w:val="bottom"/>
          </w:tcPr>
          <w:p>
            <w:pPr>
              <w:jc w:val="center"/>
              <w:ind w:left="46"/>
              <w:spacing w:after="0"/>
              <w:rPr>
                <w:sz w:val="20"/>
                <w:szCs w:val="20"/>
                <w:color w:val="auto"/>
              </w:rPr>
            </w:pPr>
            <w:r>
              <w:rPr>
                <w:rFonts w:ascii="Arial" w:cs="Arial" w:eastAsia="Arial" w:hAnsi="Arial"/>
                <w:sz w:val="18"/>
                <w:szCs w:val="18"/>
                <w:b w:val="1"/>
                <w:bCs w:val="1"/>
                <w:color w:val="auto"/>
                <w:w w:val="88"/>
              </w:rPr>
              <w:t>New Jersey</w:t>
            </w:r>
          </w:p>
        </w:tc>
        <w:tc>
          <w:tcPr>
            <w:tcW w:w="4980" w:type="dxa"/>
            <w:vAlign w:val="bottom"/>
          </w:tcPr>
          <w:p>
            <w:pPr>
              <w:spacing w:after="0"/>
              <w:rPr>
                <w:sz w:val="24"/>
                <w:szCs w:val="24"/>
                <w:color w:val="auto"/>
              </w:rPr>
            </w:pPr>
          </w:p>
        </w:tc>
        <w:tc>
          <w:tcPr>
            <w:tcW w:w="3160" w:type="dxa"/>
            <w:vAlign w:val="bottom"/>
            <w:gridSpan w:val="2"/>
          </w:tcPr>
          <w:p>
            <w:pPr>
              <w:jc w:val="center"/>
              <w:ind w:right="1208"/>
              <w:spacing w:after="0"/>
              <w:rPr>
                <w:sz w:val="20"/>
                <w:szCs w:val="20"/>
                <w:color w:val="auto"/>
              </w:rPr>
            </w:pPr>
            <w:r>
              <w:rPr>
                <w:rFonts w:ascii="Arial" w:cs="Arial" w:eastAsia="Arial" w:hAnsi="Arial"/>
                <w:sz w:val="18"/>
                <w:szCs w:val="18"/>
                <w:b w:val="1"/>
                <w:bCs w:val="1"/>
                <w:color w:val="auto"/>
                <w:w w:val="91"/>
              </w:rPr>
              <w:t>13-5409005</w:t>
            </w:r>
          </w:p>
        </w:tc>
      </w:tr>
      <w:tr>
        <w:trPr>
          <w:trHeight w:val="140"/>
        </w:trPr>
        <w:tc>
          <w:tcPr>
            <w:tcW w:w="3000" w:type="dxa"/>
            <w:vAlign w:val="bottom"/>
          </w:tcPr>
          <w:p>
            <w:pPr>
              <w:jc w:val="center"/>
              <w:ind w:left="46"/>
              <w:spacing w:after="0" w:line="141" w:lineRule="exact"/>
              <w:rPr>
                <w:sz w:val="20"/>
                <w:szCs w:val="20"/>
                <w:color w:val="auto"/>
              </w:rPr>
            </w:pPr>
            <w:r>
              <w:rPr>
                <w:rFonts w:ascii="Arial" w:cs="Arial" w:eastAsia="Arial" w:hAnsi="Arial"/>
                <w:sz w:val="14"/>
                <w:szCs w:val="14"/>
                <w:color w:val="auto"/>
                <w:w w:val="95"/>
              </w:rPr>
              <w:t>(State or other jurisdiction of</w:t>
            </w:r>
          </w:p>
        </w:tc>
        <w:tc>
          <w:tcPr>
            <w:tcW w:w="4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80" w:type="dxa"/>
            <w:vAlign w:val="bottom"/>
          </w:tcPr>
          <w:p>
            <w:pPr>
              <w:jc w:val="center"/>
              <w:ind w:right="1508"/>
              <w:spacing w:after="0" w:line="141" w:lineRule="exact"/>
              <w:rPr>
                <w:sz w:val="20"/>
                <w:szCs w:val="20"/>
                <w:color w:val="auto"/>
              </w:rPr>
            </w:pPr>
            <w:r>
              <w:rPr>
                <w:rFonts w:ascii="Arial" w:cs="Arial" w:eastAsia="Arial" w:hAnsi="Arial"/>
                <w:sz w:val="14"/>
                <w:szCs w:val="14"/>
                <w:color w:val="auto"/>
                <w:w w:val="95"/>
              </w:rPr>
              <w:t>(I.R.S. Employer</w:t>
            </w:r>
          </w:p>
        </w:tc>
      </w:tr>
      <w:tr>
        <w:trPr>
          <w:trHeight w:val="182"/>
        </w:trPr>
        <w:tc>
          <w:tcPr>
            <w:tcW w:w="3000" w:type="dxa"/>
            <w:vAlign w:val="bottom"/>
          </w:tcPr>
          <w:p>
            <w:pPr>
              <w:jc w:val="center"/>
              <w:ind w:left="46"/>
              <w:spacing w:after="0"/>
              <w:rPr>
                <w:sz w:val="20"/>
                <w:szCs w:val="20"/>
                <w:color w:val="auto"/>
              </w:rPr>
            </w:pPr>
            <w:r>
              <w:rPr>
                <w:rFonts w:ascii="Arial" w:cs="Arial" w:eastAsia="Arial" w:hAnsi="Arial"/>
                <w:sz w:val="14"/>
                <w:szCs w:val="14"/>
                <w:color w:val="auto"/>
                <w:w w:val="94"/>
              </w:rPr>
              <w:t>incorporation or organization)</w:t>
            </w:r>
          </w:p>
        </w:tc>
        <w:tc>
          <w:tcPr>
            <w:tcW w:w="4980" w:type="dxa"/>
            <w:vAlign w:val="bottom"/>
          </w:tcPr>
          <w:p>
            <w:pPr>
              <w:spacing w:after="0"/>
              <w:rPr>
                <w:sz w:val="15"/>
                <w:szCs w:val="15"/>
                <w:color w:val="auto"/>
              </w:rPr>
            </w:pPr>
          </w:p>
        </w:tc>
        <w:tc>
          <w:tcPr>
            <w:tcW w:w="3160" w:type="dxa"/>
            <w:vAlign w:val="bottom"/>
            <w:gridSpan w:val="2"/>
          </w:tcPr>
          <w:p>
            <w:pPr>
              <w:jc w:val="center"/>
              <w:ind w:right="1208"/>
              <w:spacing w:after="0"/>
              <w:rPr>
                <w:sz w:val="20"/>
                <w:szCs w:val="20"/>
                <w:color w:val="auto"/>
              </w:rPr>
            </w:pPr>
            <w:r>
              <w:rPr>
                <w:rFonts w:ascii="Arial" w:cs="Arial" w:eastAsia="Arial" w:hAnsi="Arial"/>
                <w:sz w:val="14"/>
                <w:szCs w:val="14"/>
                <w:color w:val="auto"/>
                <w:w w:val="96"/>
              </w:rPr>
              <w:t>Identification Number)</w:t>
            </w:r>
          </w:p>
        </w:tc>
      </w:tr>
      <w:tr>
        <w:trPr>
          <w:trHeight w:val="285"/>
        </w:trPr>
        <w:tc>
          <w:tcPr>
            <w:tcW w:w="3000" w:type="dxa"/>
            <w:vAlign w:val="bottom"/>
          </w:tcPr>
          <w:p>
            <w:pPr>
              <w:spacing w:after="0"/>
              <w:rPr>
                <w:sz w:val="24"/>
                <w:szCs w:val="24"/>
                <w:color w:val="auto"/>
              </w:rPr>
            </w:pPr>
          </w:p>
        </w:tc>
        <w:tc>
          <w:tcPr>
            <w:tcW w:w="4980" w:type="dxa"/>
            <w:vAlign w:val="bottom"/>
          </w:tcPr>
          <w:p>
            <w:pPr>
              <w:jc w:val="center"/>
              <w:ind w:left="176"/>
              <w:spacing w:after="0"/>
              <w:rPr>
                <w:sz w:val="20"/>
                <w:szCs w:val="20"/>
                <w:color w:val="auto"/>
              </w:rPr>
            </w:pPr>
            <w:r>
              <w:rPr>
                <w:rFonts w:ascii="Arial" w:cs="Arial" w:eastAsia="Arial" w:hAnsi="Arial"/>
                <w:sz w:val="18"/>
                <w:szCs w:val="18"/>
                <w:b w:val="1"/>
                <w:bCs w:val="1"/>
                <w:color w:val="auto"/>
                <w:w w:val="90"/>
              </w:rPr>
              <w:t>5959 Las Colinas Boulevard, Irving, Texas 75039-2298</w:t>
            </w:r>
          </w:p>
        </w:tc>
        <w:tc>
          <w:tcPr>
            <w:tcW w:w="28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182"/>
        </w:trPr>
        <w:tc>
          <w:tcPr>
            <w:tcW w:w="3000" w:type="dxa"/>
            <w:vAlign w:val="bottom"/>
          </w:tcPr>
          <w:p>
            <w:pPr>
              <w:spacing w:after="0"/>
              <w:rPr>
                <w:sz w:val="15"/>
                <w:szCs w:val="15"/>
                <w:color w:val="auto"/>
              </w:rPr>
            </w:pPr>
          </w:p>
        </w:tc>
        <w:tc>
          <w:tcPr>
            <w:tcW w:w="4980" w:type="dxa"/>
            <w:vAlign w:val="bottom"/>
          </w:tcPr>
          <w:p>
            <w:pPr>
              <w:jc w:val="center"/>
              <w:ind w:left="176"/>
              <w:spacing w:after="0"/>
              <w:rPr>
                <w:sz w:val="20"/>
                <w:szCs w:val="20"/>
                <w:color w:val="auto"/>
              </w:rPr>
            </w:pPr>
            <w:r>
              <w:rPr>
                <w:rFonts w:ascii="Arial" w:cs="Arial" w:eastAsia="Arial" w:hAnsi="Arial"/>
                <w:sz w:val="14"/>
                <w:szCs w:val="14"/>
                <w:color w:val="auto"/>
                <w:w w:val="95"/>
              </w:rPr>
              <w:t>(Address of principal executive offices) (Zip Code)</w:t>
            </w:r>
          </w:p>
        </w:tc>
        <w:tc>
          <w:tcPr>
            <w:tcW w:w="280" w:type="dxa"/>
            <w:vAlign w:val="bottom"/>
          </w:tcPr>
          <w:p>
            <w:pPr>
              <w:spacing w:after="0"/>
              <w:rPr>
                <w:sz w:val="15"/>
                <w:szCs w:val="15"/>
                <w:color w:val="auto"/>
              </w:rPr>
            </w:pPr>
          </w:p>
        </w:tc>
        <w:tc>
          <w:tcPr>
            <w:tcW w:w="2880" w:type="dxa"/>
            <w:vAlign w:val="bottom"/>
          </w:tcPr>
          <w:p>
            <w:pPr>
              <w:spacing w:after="0"/>
              <w:rPr>
                <w:sz w:val="15"/>
                <w:szCs w:val="15"/>
                <w:color w:val="auto"/>
              </w:rPr>
            </w:pPr>
          </w:p>
        </w:tc>
      </w:tr>
      <w:tr>
        <w:trPr>
          <w:trHeight w:val="236"/>
        </w:trPr>
        <w:tc>
          <w:tcPr>
            <w:tcW w:w="3000" w:type="dxa"/>
            <w:vAlign w:val="bottom"/>
          </w:tcPr>
          <w:p>
            <w:pPr>
              <w:spacing w:after="0"/>
              <w:rPr>
                <w:sz w:val="20"/>
                <w:szCs w:val="20"/>
                <w:color w:val="auto"/>
              </w:rPr>
            </w:pPr>
          </w:p>
        </w:tc>
        <w:tc>
          <w:tcPr>
            <w:tcW w:w="4980" w:type="dxa"/>
            <w:vAlign w:val="bottom"/>
          </w:tcPr>
          <w:p>
            <w:pPr>
              <w:jc w:val="center"/>
              <w:ind w:left="176"/>
              <w:spacing w:after="0"/>
              <w:rPr>
                <w:sz w:val="20"/>
                <w:szCs w:val="20"/>
                <w:color w:val="auto"/>
              </w:rPr>
            </w:pPr>
            <w:r>
              <w:rPr>
                <w:rFonts w:ascii="Arial" w:cs="Arial" w:eastAsia="Arial" w:hAnsi="Arial"/>
                <w:sz w:val="18"/>
                <w:szCs w:val="18"/>
                <w:b w:val="1"/>
                <w:bCs w:val="1"/>
                <w:color w:val="auto"/>
                <w:w w:val="90"/>
              </w:rPr>
              <w:t>(972) 940-6000</w:t>
            </w:r>
          </w:p>
        </w:tc>
        <w:tc>
          <w:tcPr>
            <w:tcW w:w="280" w:type="dxa"/>
            <w:vAlign w:val="bottom"/>
          </w:tcPr>
          <w:p>
            <w:pPr>
              <w:spacing w:after="0"/>
              <w:rPr>
                <w:sz w:val="20"/>
                <w:szCs w:val="20"/>
                <w:color w:val="auto"/>
              </w:rPr>
            </w:pPr>
          </w:p>
        </w:tc>
        <w:tc>
          <w:tcPr>
            <w:tcW w:w="2880" w:type="dxa"/>
            <w:vAlign w:val="bottom"/>
          </w:tcPr>
          <w:p>
            <w:pPr>
              <w:spacing w:after="0"/>
              <w:rPr>
                <w:sz w:val="20"/>
                <w:szCs w:val="20"/>
                <w:color w:val="auto"/>
              </w:rPr>
            </w:pPr>
          </w:p>
        </w:tc>
      </w:tr>
      <w:tr>
        <w:trPr>
          <w:trHeight w:val="182"/>
        </w:trPr>
        <w:tc>
          <w:tcPr>
            <w:tcW w:w="3000" w:type="dxa"/>
            <w:vAlign w:val="bottom"/>
          </w:tcPr>
          <w:p>
            <w:pPr>
              <w:spacing w:after="0"/>
              <w:rPr>
                <w:sz w:val="15"/>
                <w:szCs w:val="15"/>
                <w:color w:val="auto"/>
              </w:rPr>
            </w:pPr>
          </w:p>
        </w:tc>
        <w:tc>
          <w:tcPr>
            <w:tcW w:w="4980" w:type="dxa"/>
            <w:vAlign w:val="bottom"/>
          </w:tcPr>
          <w:p>
            <w:pPr>
              <w:jc w:val="center"/>
              <w:ind w:left="176"/>
              <w:spacing w:after="0"/>
              <w:rPr>
                <w:sz w:val="20"/>
                <w:szCs w:val="20"/>
                <w:color w:val="auto"/>
              </w:rPr>
            </w:pPr>
            <w:r>
              <w:rPr>
                <w:rFonts w:ascii="Arial" w:cs="Arial" w:eastAsia="Arial" w:hAnsi="Arial"/>
                <w:sz w:val="14"/>
                <w:szCs w:val="14"/>
                <w:color w:val="auto"/>
                <w:w w:val="92"/>
              </w:rPr>
              <w:t>(Registrant’s telephone number, including area code)</w:t>
            </w:r>
          </w:p>
        </w:tc>
        <w:tc>
          <w:tcPr>
            <w:tcW w:w="280" w:type="dxa"/>
            <w:vAlign w:val="bottom"/>
          </w:tcPr>
          <w:p>
            <w:pPr>
              <w:spacing w:after="0"/>
              <w:rPr>
                <w:sz w:val="15"/>
                <w:szCs w:val="15"/>
                <w:color w:val="auto"/>
              </w:rPr>
            </w:pPr>
          </w:p>
        </w:tc>
        <w:tc>
          <w:tcPr>
            <w:tcW w:w="2880" w:type="dxa"/>
            <w:vAlign w:val="bottom"/>
          </w:tcPr>
          <w:p>
            <w:pPr>
              <w:spacing w:after="0"/>
              <w:rPr>
                <w:sz w:val="15"/>
                <w:szCs w:val="15"/>
                <w:color w:val="auto"/>
              </w:rPr>
            </w:pPr>
          </w:p>
        </w:tc>
      </w:tr>
      <w:tr>
        <w:trPr>
          <w:trHeight w:val="79"/>
        </w:trPr>
        <w:tc>
          <w:tcPr>
            <w:tcW w:w="3000" w:type="dxa"/>
            <w:vAlign w:val="bottom"/>
          </w:tcPr>
          <w:p>
            <w:pPr>
              <w:spacing w:after="0"/>
              <w:rPr>
                <w:sz w:val="6"/>
                <w:szCs w:val="6"/>
                <w:color w:val="auto"/>
              </w:rPr>
            </w:pPr>
          </w:p>
        </w:tc>
        <w:tc>
          <w:tcPr>
            <w:tcW w:w="498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2880" w:type="dxa"/>
            <w:vAlign w:val="bottom"/>
          </w:tcPr>
          <w:p>
            <w:pPr>
              <w:spacing w:after="0"/>
              <w:rPr>
                <w:sz w:val="6"/>
                <w:szCs w:val="6"/>
                <w:color w:val="auto"/>
              </w:rPr>
            </w:pPr>
          </w:p>
        </w:tc>
      </w:tr>
      <w:tr>
        <w:trPr>
          <w:trHeight w:val="304"/>
        </w:trPr>
        <w:tc>
          <w:tcPr>
            <w:tcW w:w="3000" w:type="dxa"/>
            <w:vAlign w:val="bottom"/>
          </w:tcPr>
          <w:p>
            <w:pPr>
              <w:spacing w:after="0"/>
              <w:rPr>
                <w:sz w:val="24"/>
                <w:szCs w:val="24"/>
                <w:color w:val="auto"/>
              </w:rPr>
            </w:pPr>
          </w:p>
        </w:tc>
        <w:tc>
          <w:tcPr>
            <w:tcW w:w="4980" w:type="dxa"/>
            <w:vAlign w:val="bottom"/>
          </w:tcPr>
          <w:p>
            <w:pPr>
              <w:jc w:val="center"/>
              <w:ind w:left="196"/>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28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291"/>
        </w:trPr>
        <w:tc>
          <w:tcPr>
            <w:tcW w:w="30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Title of Each Class</w:t>
            </w:r>
          </w:p>
        </w:tc>
        <w:tc>
          <w:tcPr>
            <w:tcW w:w="4980" w:type="dxa"/>
            <w:vAlign w:val="bottom"/>
            <w:tcBorders>
              <w:bottom w:val="single" w:sz="8" w:color="auto"/>
            </w:tcBorders>
          </w:tcPr>
          <w:p>
            <w:pPr>
              <w:jc w:val="center"/>
              <w:ind w:right="336"/>
              <w:spacing w:after="0"/>
              <w:rPr>
                <w:sz w:val="20"/>
                <w:szCs w:val="20"/>
                <w:color w:val="auto"/>
              </w:rPr>
            </w:pPr>
            <w:r>
              <w:rPr>
                <w:rFonts w:ascii="Arial" w:cs="Arial" w:eastAsia="Arial" w:hAnsi="Arial"/>
                <w:sz w:val="14"/>
                <w:szCs w:val="14"/>
                <w:color w:val="auto"/>
                <w:w w:val="93"/>
              </w:rPr>
              <w:t>Trading Symbol</w:t>
            </w:r>
          </w:p>
        </w:tc>
        <w:tc>
          <w:tcPr>
            <w:tcW w:w="28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8"/>
              </w:rPr>
              <w:t>Name of Each Exchange on Which Registered</w:t>
            </w:r>
          </w:p>
        </w:tc>
      </w:tr>
      <w:tr>
        <w:trPr>
          <w:trHeight w:val="179"/>
        </w:trPr>
        <w:tc>
          <w:tcPr>
            <w:tcW w:w="3000" w:type="dxa"/>
            <w:vAlign w:val="bottom"/>
          </w:tcPr>
          <w:p>
            <w:pPr>
              <w:ind w:left="20"/>
              <w:spacing w:after="0"/>
              <w:rPr>
                <w:sz w:val="20"/>
                <w:szCs w:val="20"/>
                <w:color w:val="auto"/>
              </w:rPr>
            </w:pPr>
            <w:r>
              <w:rPr>
                <w:rFonts w:ascii="Arial" w:cs="Arial" w:eastAsia="Arial" w:hAnsi="Arial"/>
                <w:sz w:val="14"/>
                <w:szCs w:val="14"/>
                <w:b w:val="1"/>
                <w:bCs w:val="1"/>
                <w:color w:val="auto"/>
              </w:rPr>
              <w:t>Common Stock, without par value</w:t>
            </w:r>
          </w:p>
        </w:tc>
        <w:tc>
          <w:tcPr>
            <w:tcW w:w="4980" w:type="dxa"/>
            <w:vAlign w:val="bottom"/>
          </w:tcPr>
          <w:p>
            <w:pPr>
              <w:jc w:val="center"/>
              <w:ind w:right="336"/>
              <w:spacing w:after="0"/>
              <w:rPr>
                <w:sz w:val="20"/>
                <w:szCs w:val="20"/>
                <w:color w:val="auto"/>
              </w:rPr>
            </w:pPr>
            <w:r>
              <w:rPr>
                <w:rFonts w:ascii="Arial" w:cs="Arial" w:eastAsia="Arial" w:hAnsi="Arial"/>
                <w:sz w:val="14"/>
                <w:szCs w:val="14"/>
                <w:b w:val="1"/>
                <w:bCs w:val="1"/>
                <w:color w:val="auto"/>
              </w:rPr>
              <w:t>XOM</w:t>
            </w:r>
          </w:p>
        </w:tc>
        <w:tc>
          <w:tcPr>
            <w:tcW w:w="280" w:type="dxa"/>
            <w:vAlign w:val="bottom"/>
          </w:tcPr>
          <w:p>
            <w:pPr>
              <w:spacing w:after="0"/>
              <w:rPr>
                <w:sz w:val="15"/>
                <w:szCs w:val="15"/>
                <w:color w:val="auto"/>
              </w:rPr>
            </w:pPr>
          </w:p>
        </w:tc>
        <w:tc>
          <w:tcPr>
            <w:tcW w:w="2880" w:type="dxa"/>
            <w:vAlign w:val="bottom"/>
          </w:tcPr>
          <w:p>
            <w:pPr>
              <w:jc w:val="right"/>
              <w:spacing w:after="0"/>
              <w:rPr>
                <w:sz w:val="20"/>
                <w:szCs w:val="20"/>
                <w:color w:val="auto"/>
              </w:rPr>
            </w:pPr>
            <w:r>
              <w:rPr>
                <w:rFonts w:ascii="Arial" w:cs="Arial" w:eastAsia="Arial" w:hAnsi="Arial"/>
                <w:sz w:val="14"/>
                <w:szCs w:val="14"/>
                <w:b w:val="1"/>
                <w:bCs w:val="1"/>
                <w:color w:val="auto"/>
              </w:rPr>
              <w:t>New York Stock Exchange</w:t>
            </w:r>
          </w:p>
        </w:tc>
      </w:tr>
      <w:tr>
        <w:trPr>
          <w:trHeight w:val="186"/>
        </w:trPr>
        <w:tc>
          <w:tcPr>
            <w:tcW w:w="3000" w:type="dxa"/>
            <w:vAlign w:val="bottom"/>
          </w:tcPr>
          <w:p>
            <w:pPr>
              <w:ind w:left="20"/>
              <w:spacing w:after="0"/>
              <w:rPr>
                <w:sz w:val="20"/>
                <w:szCs w:val="20"/>
                <w:color w:val="auto"/>
              </w:rPr>
            </w:pPr>
            <w:r>
              <w:rPr>
                <w:rFonts w:ascii="Arial" w:cs="Arial" w:eastAsia="Arial" w:hAnsi="Arial"/>
                <w:sz w:val="14"/>
                <w:szCs w:val="14"/>
                <w:b w:val="1"/>
                <w:bCs w:val="1"/>
                <w:color w:val="auto"/>
              </w:rPr>
              <w:t>0.142% Notes due 2024</w:t>
            </w:r>
          </w:p>
        </w:tc>
        <w:tc>
          <w:tcPr>
            <w:tcW w:w="4980" w:type="dxa"/>
            <w:vAlign w:val="bottom"/>
          </w:tcPr>
          <w:p>
            <w:pPr>
              <w:jc w:val="center"/>
              <w:ind w:right="336"/>
              <w:spacing w:after="0"/>
              <w:rPr>
                <w:sz w:val="20"/>
                <w:szCs w:val="20"/>
                <w:color w:val="auto"/>
              </w:rPr>
            </w:pPr>
            <w:r>
              <w:rPr>
                <w:rFonts w:ascii="Arial" w:cs="Arial" w:eastAsia="Arial" w:hAnsi="Arial"/>
                <w:sz w:val="14"/>
                <w:szCs w:val="14"/>
                <w:b w:val="1"/>
                <w:bCs w:val="1"/>
                <w:color w:val="auto"/>
              </w:rPr>
              <w:t>XOM24B</w:t>
            </w:r>
          </w:p>
        </w:tc>
        <w:tc>
          <w:tcPr>
            <w:tcW w:w="280" w:type="dxa"/>
            <w:vAlign w:val="bottom"/>
          </w:tcPr>
          <w:p>
            <w:pPr>
              <w:spacing w:after="0"/>
              <w:rPr>
                <w:sz w:val="16"/>
                <w:szCs w:val="16"/>
                <w:color w:val="auto"/>
              </w:rPr>
            </w:pPr>
          </w:p>
        </w:tc>
        <w:tc>
          <w:tcPr>
            <w:tcW w:w="2880" w:type="dxa"/>
            <w:vAlign w:val="bottom"/>
          </w:tcPr>
          <w:p>
            <w:pPr>
              <w:jc w:val="right"/>
              <w:spacing w:after="0"/>
              <w:rPr>
                <w:sz w:val="20"/>
                <w:szCs w:val="20"/>
                <w:color w:val="auto"/>
              </w:rPr>
            </w:pPr>
            <w:r>
              <w:rPr>
                <w:rFonts w:ascii="Arial" w:cs="Arial" w:eastAsia="Arial" w:hAnsi="Arial"/>
                <w:sz w:val="14"/>
                <w:szCs w:val="14"/>
                <w:b w:val="1"/>
                <w:bCs w:val="1"/>
                <w:color w:val="auto"/>
              </w:rPr>
              <w:t>New York Stock Exchange</w:t>
            </w:r>
          </w:p>
        </w:tc>
      </w:tr>
      <w:tr>
        <w:trPr>
          <w:trHeight w:val="189"/>
        </w:trPr>
        <w:tc>
          <w:tcPr>
            <w:tcW w:w="3000" w:type="dxa"/>
            <w:vAlign w:val="bottom"/>
          </w:tcPr>
          <w:p>
            <w:pPr>
              <w:ind w:left="20"/>
              <w:spacing w:after="0"/>
              <w:rPr>
                <w:sz w:val="20"/>
                <w:szCs w:val="20"/>
                <w:color w:val="auto"/>
              </w:rPr>
            </w:pPr>
            <w:r>
              <w:rPr>
                <w:rFonts w:ascii="Arial" w:cs="Arial" w:eastAsia="Arial" w:hAnsi="Arial"/>
                <w:sz w:val="14"/>
                <w:szCs w:val="14"/>
                <w:b w:val="1"/>
                <w:bCs w:val="1"/>
                <w:color w:val="auto"/>
              </w:rPr>
              <w:t>0.524% Notes due 2028</w:t>
            </w:r>
          </w:p>
        </w:tc>
        <w:tc>
          <w:tcPr>
            <w:tcW w:w="4980" w:type="dxa"/>
            <w:vAlign w:val="bottom"/>
          </w:tcPr>
          <w:p>
            <w:pPr>
              <w:jc w:val="center"/>
              <w:ind w:right="336"/>
              <w:spacing w:after="0"/>
              <w:rPr>
                <w:sz w:val="20"/>
                <w:szCs w:val="20"/>
                <w:color w:val="auto"/>
              </w:rPr>
            </w:pPr>
            <w:r>
              <w:rPr>
                <w:rFonts w:ascii="Arial" w:cs="Arial" w:eastAsia="Arial" w:hAnsi="Arial"/>
                <w:sz w:val="14"/>
                <w:szCs w:val="14"/>
                <w:b w:val="1"/>
                <w:bCs w:val="1"/>
                <w:color w:val="auto"/>
              </w:rPr>
              <w:t>XOM28</w:t>
            </w:r>
          </w:p>
        </w:tc>
        <w:tc>
          <w:tcPr>
            <w:tcW w:w="280" w:type="dxa"/>
            <w:vAlign w:val="bottom"/>
          </w:tcPr>
          <w:p>
            <w:pPr>
              <w:spacing w:after="0"/>
              <w:rPr>
                <w:sz w:val="16"/>
                <w:szCs w:val="16"/>
                <w:color w:val="auto"/>
              </w:rPr>
            </w:pPr>
          </w:p>
        </w:tc>
        <w:tc>
          <w:tcPr>
            <w:tcW w:w="2880" w:type="dxa"/>
            <w:vAlign w:val="bottom"/>
          </w:tcPr>
          <w:p>
            <w:pPr>
              <w:jc w:val="right"/>
              <w:spacing w:after="0"/>
              <w:rPr>
                <w:sz w:val="20"/>
                <w:szCs w:val="20"/>
                <w:color w:val="auto"/>
              </w:rPr>
            </w:pPr>
            <w:r>
              <w:rPr>
                <w:rFonts w:ascii="Arial" w:cs="Arial" w:eastAsia="Arial" w:hAnsi="Arial"/>
                <w:sz w:val="14"/>
                <w:szCs w:val="14"/>
                <w:b w:val="1"/>
                <w:bCs w:val="1"/>
                <w:color w:val="auto"/>
              </w:rPr>
              <w:t>New York Stock Exchange</w:t>
            </w:r>
          </w:p>
        </w:tc>
      </w:tr>
      <w:tr>
        <w:trPr>
          <w:trHeight w:val="189"/>
        </w:trPr>
        <w:tc>
          <w:tcPr>
            <w:tcW w:w="3000" w:type="dxa"/>
            <w:vAlign w:val="bottom"/>
          </w:tcPr>
          <w:p>
            <w:pPr>
              <w:ind w:left="20"/>
              <w:spacing w:after="0"/>
              <w:rPr>
                <w:sz w:val="20"/>
                <w:szCs w:val="20"/>
                <w:color w:val="auto"/>
              </w:rPr>
            </w:pPr>
            <w:r>
              <w:rPr>
                <w:rFonts w:ascii="Arial" w:cs="Arial" w:eastAsia="Arial" w:hAnsi="Arial"/>
                <w:sz w:val="14"/>
                <w:szCs w:val="14"/>
                <w:b w:val="1"/>
                <w:bCs w:val="1"/>
                <w:color w:val="auto"/>
              </w:rPr>
              <w:t>0.835% Notes due 2032</w:t>
            </w:r>
          </w:p>
        </w:tc>
        <w:tc>
          <w:tcPr>
            <w:tcW w:w="4980" w:type="dxa"/>
            <w:vAlign w:val="bottom"/>
          </w:tcPr>
          <w:p>
            <w:pPr>
              <w:jc w:val="center"/>
              <w:ind w:right="336"/>
              <w:spacing w:after="0"/>
              <w:rPr>
                <w:sz w:val="20"/>
                <w:szCs w:val="20"/>
                <w:color w:val="auto"/>
              </w:rPr>
            </w:pPr>
            <w:r>
              <w:rPr>
                <w:rFonts w:ascii="Arial" w:cs="Arial" w:eastAsia="Arial" w:hAnsi="Arial"/>
                <w:sz w:val="14"/>
                <w:szCs w:val="14"/>
                <w:b w:val="1"/>
                <w:bCs w:val="1"/>
                <w:color w:val="auto"/>
              </w:rPr>
              <w:t>XOM32</w:t>
            </w:r>
          </w:p>
        </w:tc>
        <w:tc>
          <w:tcPr>
            <w:tcW w:w="280" w:type="dxa"/>
            <w:vAlign w:val="bottom"/>
          </w:tcPr>
          <w:p>
            <w:pPr>
              <w:spacing w:after="0"/>
              <w:rPr>
                <w:sz w:val="16"/>
                <w:szCs w:val="16"/>
                <w:color w:val="auto"/>
              </w:rPr>
            </w:pPr>
          </w:p>
        </w:tc>
        <w:tc>
          <w:tcPr>
            <w:tcW w:w="2880" w:type="dxa"/>
            <w:vAlign w:val="bottom"/>
          </w:tcPr>
          <w:p>
            <w:pPr>
              <w:jc w:val="right"/>
              <w:spacing w:after="0"/>
              <w:rPr>
                <w:sz w:val="20"/>
                <w:szCs w:val="20"/>
                <w:color w:val="auto"/>
              </w:rPr>
            </w:pPr>
            <w:r>
              <w:rPr>
                <w:rFonts w:ascii="Arial" w:cs="Arial" w:eastAsia="Arial" w:hAnsi="Arial"/>
                <w:sz w:val="14"/>
                <w:szCs w:val="14"/>
                <w:b w:val="1"/>
                <w:bCs w:val="1"/>
                <w:color w:val="auto"/>
              </w:rPr>
              <w:t>New York Stock Exchange</w:t>
            </w:r>
          </w:p>
        </w:tc>
      </w:tr>
      <w:tr>
        <w:trPr>
          <w:trHeight w:val="189"/>
        </w:trPr>
        <w:tc>
          <w:tcPr>
            <w:tcW w:w="3000" w:type="dxa"/>
            <w:vAlign w:val="bottom"/>
          </w:tcPr>
          <w:p>
            <w:pPr>
              <w:ind w:left="20"/>
              <w:spacing w:after="0"/>
              <w:rPr>
                <w:sz w:val="20"/>
                <w:szCs w:val="20"/>
                <w:color w:val="auto"/>
              </w:rPr>
            </w:pPr>
            <w:r>
              <w:rPr>
                <w:rFonts w:ascii="Arial" w:cs="Arial" w:eastAsia="Arial" w:hAnsi="Arial"/>
                <w:sz w:val="14"/>
                <w:szCs w:val="14"/>
                <w:b w:val="1"/>
                <w:bCs w:val="1"/>
                <w:color w:val="auto"/>
              </w:rPr>
              <w:t>1.408% Notes due 2039</w:t>
            </w:r>
          </w:p>
        </w:tc>
        <w:tc>
          <w:tcPr>
            <w:tcW w:w="4980" w:type="dxa"/>
            <w:vAlign w:val="bottom"/>
          </w:tcPr>
          <w:p>
            <w:pPr>
              <w:jc w:val="center"/>
              <w:ind w:right="336"/>
              <w:spacing w:after="0"/>
              <w:rPr>
                <w:sz w:val="20"/>
                <w:szCs w:val="20"/>
                <w:color w:val="auto"/>
              </w:rPr>
            </w:pPr>
            <w:r>
              <w:rPr>
                <w:rFonts w:ascii="Arial" w:cs="Arial" w:eastAsia="Arial" w:hAnsi="Arial"/>
                <w:sz w:val="14"/>
                <w:szCs w:val="14"/>
                <w:b w:val="1"/>
                <w:bCs w:val="1"/>
                <w:color w:val="auto"/>
              </w:rPr>
              <w:t>XOM39A</w:t>
            </w:r>
          </w:p>
        </w:tc>
        <w:tc>
          <w:tcPr>
            <w:tcW w:w="280" w:type="dxa"/>
            <w:vAlign w:val="bottom"/>
          </w:tcPr>
          <w:p>
            <w:pPr>
              <w:spacing w:after="0"/>
              <w:rPr>
                <w:sz w:val="16"/>
                <w:szCs w:val="16"/>
                <w:color w:val="auto"/>
              </w:rPr>
            </w:pPr>
          </w:p>
        </w:tc>
        <w:tc>
          <w:tcPr>
            <w:tcW w:w="2880" w:type="dxa"/>
            <w:vAlign w:val="bottom"/>
          </w:tcPr>
          <w:p>
            <w:pPr>
              <w:jc w:val="right"/>
              <w:spacing w:after="0"/>
              <w:rPr>
                <w:sz w:val="20"/>
                <w:szCs w:val="20"/>
                <w:color w:val="auto"/>
              </w:rPr>
            </w:pPr>
            <w:r>
              <w:rPr>
                <w:rFonts w:ascii="Arial" w:cs="Arial" w:eastAsia="Arial" w:hAnsi="Arial"/>
                <w:sz w:val="14"/>
                <w:szCs w:val="14"/>
                <w:b w:val="1"/>
                <w:bCs w:val="1"/>
                <w:color w:val="auto"/>
              </w:rPr>
              <w:t>New York Stock Exchange</w:t>
            </w:r>
          </w:p>
        </w:tc>
      </w:tr>
    </w:tbl>
    <w:p>
      <w:pPr>
        <w:spacing w:after="0" w:line="74" w:lineRule="exact"/>
        <w:rPr>
          <w:sz w:val="24"/>
          <w:szCs w:val="24"/>
          <w:color w:val="auto"/>
        </w:rPr>
      </w:pPr>
    </w:p>
    <w:p>
      <w:pPr>
        <w:ind w:right="3560"/>
        <w:spacing w:after="0" w:line="221"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by check mark if the registrant is not required to file reports pursuant to Section 13 or Section 15(d)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 w:lineRule="exact"/>
        <w:rPr>
          <w:sz w:val="24"/>
          <w:szCs w:val="24"/>
          <w:color w:val="auto"/>
        </w:rPr>
      </w:pPr>
    </w:p>
    <w:p>
      <w:pPr>
        <w:ind w:right="20"/>
        <w:spacing w:after="0" w:line="182"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 w:lineRule="exact"/>
        <w:rPr>
          <w:sz w:val="24"/>
          <w:szCs w:val="24"/>
          <w:color w:val="auto"/>
        </w:rPr>
      </w:pPr>
    </w:p>
    <w:p>
      <w:pPr>
        <w:spacing w:after="0" w:line="187"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and posted pursuant to Rule 405 of Regulation S-T (§ 232.405 of this chapter) during the preceding 12 months (or for such shorter period that the registrant was required to submit and post such files). Yes R No </w:t>
      </w:r>
      <w:r>
        <w:rPr>
          <w:rFonts w:ascii="MS PGothic" w:cs="MS PGothic" w:eastAsia="MS PGothic" w:hAnsi="MS PGothic"/>
          <w:sz w:val="14"/>
          <w:szCs w:val="14"/>
          <w:color w:val="auto"/>
        </w:rPr>
        <w:t>☐</w:t>
      </w:r>
    </w:p>
    <w:p>
      <w:pPr>
        <w:spacing w:after="0" w:line="5"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5" w:lineRule="exact"/>
        <w:rPr>
          <w:sz w:val="24"/>
          <w:szCs w:val="24"/>
          <w:color w:val="auto"/>
        </w:rPr>
      </w:pPr>
    </w:p>
    <w:tbl>
      <w:tblPr>
        <w:tblLayout w:type="fixed"/>
        <w:tblInd w:w="20" w:type="dxa"/>
        <w:tblCellMar>
          <w:top w:w="0" w:type="dxa"/>
          <w:left w:w="0" w:type="dxa"/>
          <w:bottom w:w="0" w:type="dxa"/>
          <w:right w:w="0" w:type="dxa"/>
        </w:tblCellMar>
      </w:tblPr>
      <w:tr>
        <w:trPr>
          <w:trHeight w:val="203"/>
        </w:trPr>
        <w:tc>
          <w:tcPr>
            <w:tcW w:w="24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1800" w:type="dxa"/>
            <w:vAlign w:val="bottom"/>
          </w:tcPr>
          <w:p>
            <w:pPr>
              <w:ind w:left="1140"/>
              <w:spacing w:after="0" w:line="141" w:lineRule="exact"/>
              <w:rPr>
                <w:sz w:val="20"/>
                <w:szCs w:val="20"/>
                <w:color w:val="auto"/>
              </w:rPr>
            </w:pPr>
            <w:r>
              <w:rPr>
                <w:rFonts w:ascii="MS PGothic" w:cs="MS PGothic" w:eastAsia="MS PGothic" w:hAnsi="MS PGothic"/>
                <w:sz w:val="14"/>
                <w:szCs w:val="14"/>
                <w:color w:val="auto"/>
              </w:rPr>
              <w:t>☑</w:t>
            </w:r>
          </w:p>
        </w:tc>
        <w:tc>
          <w:tcPr>
            <w:tcW w:w="4080" w:type="dxa"/>
            <w:vAlign w:val="bottom"/>
          </w:tcPr>
          <w:p>
            <w:pPr>
              <w:ind w:left="520"/>
              <w:spacing w:after="0"/>
              <w:rPr>
                <w:sz w:val="20"/>
                <w:szCs w:val="20"/>
                <w:color w:val="auto"/>
              </w:rPr>
            </w:pPr>
            <w:r>
              <w:rPr>
                <w:rFonts w:ascii="Arial" w:cs="Arial" w:eastAsia="Arial" w:hAnsi="Arial"/>
                <w:sz w:val="14"/>
                <w:szCs w:val="14"/>
                <w:color w:val="auto"/>
              </w:rPr>
              <w:t>Accelerated filer</w:t>
            </w:r>
          </w:p>
        </w:tc>
        <w:tc>
          <w:tcPr>
            <w:tcW w:w="2120" w:type="dxa"/>
            <w:vAlign w:val="bottom"/>
          </w:tcPr>
          <w:p>
            <w:pPr>
              <w:ind w:left="19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89"/>
        </w:trPr>
        <w:tc>
          <w:tcPr>
            <w:tcW w:w="2440" w:type="dxa"/>
            <w:vAlign w:val="bottom"/>
          </w:tcPr>
          <w:p>
            <w:pPr>
              <w:spacing w:after="0"/>
              <w:rPr>
                <w:sz w:val="20"/>
                <w:szCs w:val="20"/>
                <w:color w:val="auto"/>
              </w:rPr>
            </w:pPr>
            <w:r>
              <w:rPr>
                <w:rFonts w:ascii="Arial" w:cs="Arial" w:eastAsia="Arial" w:hAnsi="Arial"/>
                <w:sz w:val="14"/>
                <w:szCs w:val="14"/>
                <w:color w:val="auto"/>
              </w:rPr>
              <w:t>Non-accelerated filer</w:t>
            </w:r>
          </w:p>
        </w:tc>
        <w:tc>
          <w:tcPr>
            <w:tcW w:w="1800" w:type="dxa"/>
            <w:vAlign w:val="bottom"/>
          </w:tcPr>
          <w:p>
            <w:pPr>
              <w:ind w:left="1140"/>
              <w:spacing w:after="0" w:line="141" w:lineRule="exact"/>
              <w:rPr>
                <w:sz w:val="20"/>
                <w:szCs w:val="20"/>
                <w:color w:val="auto"/>
              </w:rPr>
            </w:pPr>
            <w:r>
              <w:rPr>
                <w:rFonts w:ascii="MS PGothic" w:cs="MS PGothic" w:eastAsia="MS PGothic" w:hAnsi="MS PGothic"/>
                <w:sz w:val="14"/>
                <w:szCs w:val="14"/>
                <w:color w:val="auto"/>
              </w:rPr>
              <w:t>☐</w:t>
            </w:r>
          </w:p>
        </w:tc>
        <w:tc>
          <w:tcPr>
            <w:tcW w:w="4080" w:type="dxa"/>
            <w:vAlign w:val="bottom"/>
          </w:tcPr>
          <w:p>
            <w:pPr>
              <w:ind w:left="520"/>
              <w:spacing w:after="0"/>
              <w:rPr>
                <w:sz w:val="20"/>
                <w:szCs w:val="20"/>
                <w:color w:val="auto"/>
              </w:rPr>
            </w:pPr>
            <w:r>
              <w:rPr>
                <w:rFonts w:ascii="Arial" w:cs="Arial" w:eastAsia="Arial" w:hAnsi="Arial"/>
                <w:sz w:val="14"/>
                <w:szCs w:val="14"/>
                <w:color w:val="auto"/>
              </w:rPr>
              <w:t>Smaller reporting company</w:t>
            </w:r>
          </w:p>
        </w:tc>
        <w:tc>
          <w:tcPr>
            <w:tcW w:w="2120" w:type="dxa"/>
            <w:vAlign w:val="bottom"/>
          </w:tcPr>
          <w:p>
            <w:pPr>
              <w:ind w:left="19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24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4080" w:type="dxa"/>
            <w:vAlign w:val="bottom"/>
          </w:tcPr>
          <w:p>
            <w:pPr>
              <w:ind w:left="520"/>
              <w:spacing w:after="0"/>
              <w:rPr>
                <w:sz w:val="20"/>
                <w:szCs w:val="20"/>
                <w:color w:val="auto"/>
              </w:rPr>
            </w:pPr>
            <w:r>
              <w:rPr>
                <w:rFonts w:ascii="Arial" w:cs="Arial" w:eastAsia="Arial" w:hAnsi="Arial"/>
                <w:sz w:val="14"/>
                <w:szCs w:val="14"/>
                <w:color w:val="auto"/>
              </w:rPr>
              <w:t>Emerging growth company</w:t>
            </w:r>
          </w:p>
        </w:tc>
        <w:tc>
          <w:tcPr>
            <w:tcW w:w="2120" w:type="dxa"/>
            <w:vAlign w:val="bottom"/>
          </w:tcPr>
          <w:p>
            <w:pPr>
              <w:ind w:left="198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45" w:lineRule="exact"/>
        <w:rPr>
          <w:sz w:val="24"/>
          <w:szCs w:val="24"/>
          <w:color w:val="auto"/>
        </w:rPr>
      </w:pPr>
    </w:p>
    <w:p>
      <w:pPr>
        <w:spacing w:after="0" w:line="187"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9" w:lineRule="exact"/>
        <w:rPr>
          <w:sz w:val="24"/>
          <w:szCs w:val="24"/>
          <w:color w:val="auto"/>
        </w:rPr>
      </w:pPr>
    </w:p>
    <w:p>
      <w:pPr>
        <w:spacing w:after="0" w:line="187"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32"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by Rule 12b-2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23"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The aggregate market value of the voting stock held by non-affiliates of the registrant on June 30, 2021, the last business day of the registrant’s most recently completed second fiscal quarter, based on the closing price on that date of $63.08 on the New York Stock Exchange composite tape, was in excess of $267 billion.</w:t>
      </w:r>
    </w:p>
    <w:p>
      <w:pPr>
        <w:spacing w:after="0" w:line="89" w:lineRule="exact"/>
        <w:rPr>
          <w:sz w:val="24"/>
          <w:szCs w:val="24"/>
          <w:color w:val="auto"/>
        </w:rPr>
      </w:pPr>
    </w:p>
    <w:tbl>
      <w:tblPr>
        <w:tblLayout w:type="fixed"/>
        <w:tblInd w:w="340" w:type="dxa"/>
        <w:tblCellMar>
          <w:top w:w="0" w:type="dxa"/>
          <w:left w:w="0" w:type="dxa"/>
          <w:bottom w:w="0" w:type="dxa"/>
          <w:right w:w="0" w:type="dxa"/>
        </w:tblCellMar>
      </w:tblPr>
      <w:tr>
        <w:trPr>
          <w:trHeight w:val="192"/>
        </w:trPr>
        <w:tc>
          <w:tcPr>
            <w:tcW w:w="6860" w:type="dxa"/>
            <w:vAlign w:val="bottom"/>
            <w:gridSpan w:val="2"/>
          </w:tcPr>
          <w:p>
            <w:pPr>
              <w:jc w:val="center"/>
              <w:ind w:right="3880"/>
              <w:spacing w:after="0"/>
              <w:rPr>
                <w:sz w:val="20"/>
                <w:szCs w:val="20"/>
                <w:color w:val="auto"/>
              </w:rPr>
            </w:pPr>
            <w:r>
              <w:rPr>
                <w:rFonts w:ascii="Arial" w:cs="Arial" w:eastAsia="Arial" w:hAnsi="Arial"/>
                <w:sz w:val="14"/>
                <w:szCs w:val="14"/>
                <w:b w:val="1"/>
                <w:bCs w:val="1"/>
                <w:color w:val="auto"/>
                <w:w w:val="90"/>
              </w:rPr>
              <w:t>Class</w:t>
            </w:r>
          </w:p>
        </w:tc>
        <w:tc>
          <w:tcPr>
            <w:tcW w:w="3700" w:type="dxa"/>
            <w:vAlign w:val="bottom"/>
          </w:tcPr>
          <w:p>
            <w:pPr>
              <w:jc w:val="center"/>
              <w:spacing w:after="0"/>
              <w:rPr>
                <w:sz w:val="20"/>
                <w:szCs w:val="20"/>
                <w:color w:val="auto"/>
              </w:rPr>
            </w:pPr>
            <w:r>
              <w:rPr>
                <w:rFonts w:ascii="Arial" w:cs="Arial" w:eastAsia="Arial" w:hAnsi="Arial"/>
                <w:sz w:val="14"/>
                <w:szCs w:val="14"/>
                <w:b w:val="1"/>
                <w:bCs w:val="1"/>
                <w:color w:val="auto"/>
                <w:w w:val="92"/>
              </w:rPr>
              <w:t>Outstanding as of January 31, 2022</w:t>
            </w:r>
          </w:p>
        </w:tc>
      </w:tr>
      <w:tr>
        <w:trPr>
          <w:trHeight w:val="186"/>
        </w:trPr>
        <w:tc>
          <w:tcPr>
            <w:tcW w:w="29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Common stock, without par value</w:t>
            </w:r>
          </w:p>
        </w:tc>
        <w:tc>
          <w:tcPr>
            <w:tcW w:w="3880" w:type="dxa"/>
            <w:vAlign w:val="bottom"/>
          </w:tcPr>
          <w:p>
            <w:pPr>
              <w:spacing w:after="0"/>
              <w:rPr>
                <w:sz w:val="16"/>
                <w:szCs w:val="16"/>
                <w:color w:val="auto"/>
              </w:rPr>
            </w:pPr>
          </w:p>
        </w:tc>
        <w:tc>
          <w:tcPr>
            <w:tcW w:w="3700" w:type="dxa"/>
            <w:vAlign w:val="bottom"/>
            <w:tcBorders>
              <w:top w:val="single" w:sz="8" w:color="auto"/>
            </w:tcBorders>
          </w:tcPr>
          <w:p>
            <w:pPr>
              <w:jc w:val="right"/>
              <w:ind w:right="1368"/>
              <w:spacing w:after="0"/>
              <w:rPr>
                <w:sz w:val="20"/>
                <w:szCs w:val="20"/>
                <w:color w:val="auto"/>
              </w:rPr>
            </w:pPr>
            <w:r>
              <w:rPr>
                <w:rFonts w:ascii="Arial" w:cs="Arial" w:eastAsia="Arial" w:hAnsi="Arial"/>
                <w:sz w:val="14"/>
                <w:szCs w:val="14"/>
                <w:b w:val="1"/>
                <w:bCs w:val="1"/>
                <w:color w:val="auto"/>
              </w:rPr>
              <w:t>4,233,592,429</w:t>
            </w:r>
          </w:p>
        </w:tc>
      </w:tr>
    </w:tbl>
    <w:p>
      <w:pPr>
        <w:spacing w:after="0" w:line="6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Documents Incorporated by Reference: Proxy Statement for the 2022 Annual Meeting of Shareholders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276860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7"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9"/>
        </w:trPr>
        <w:tc>
          <w:tcPr>
            <w:tcW w:w="920" w:type="dxa"/>
            <w:vAlign w:val="bottom"/>
          </w:tcPr>
          <w:p>
            <w:pPr>
              <w:spacing w:after="0"/>
              <w:rPr>
                <w:sz w:val="19"/>
                <w:szCs w:val="19"/>
                <w:color w:val="auto"/>
              </w:rPr>
            </w:pPr>
          </w:p>
        </w:tc>
        <w:tc>
          <w:tcPr>
            <w:tcW w:w="9120" w:type="dxa"/>
            <w:vAlign w:val="bottom"/>
          </w:tcPr>
          <w:p>
            <w:pPr>
              <w:jc w:val="center"/>
              <w:ind w:left="550"/>
              <w:spacing w:after="0"/>
              <w:rPr>
                <w:sz w:val="20"/>
                <w:szCs w:val="20"/>
                <w:color w:val="auto"/>
              </w:rPr>
            </w:pPr>
            <w:r>
              <w:rPr>
                <w:rFonts w:ascii="Arial" w:cs="Arial" w:eastAsia="Arial" w:hAnsi="Arial"/>
                <w:sz w:val="18"/>
                <w:szCs w:val="18"/>
                <w:b w:val="1"/>
                <w:bCs w:val="1"/>
                <w:color w:val="auto"/>
              </w:rPr>
              <w:t>EXXON MOBIL CORPORATION</w:t>
            </w:r>
          </w:p>
        </w:tc>
        <w:tc>
          <w:tcPr>
            <w:tcW w:w="1200" w:type="dxa"/>
            <w:vAlign w:val="bottom"/>
          </w:tcPr>
          <w:p>
            <w:pPr>
              <w:spacing w:after="0"/>
              <w:rPr>
                <w:sz w:val="19"/>
                <w:szCs w:val="19"/>
                <w:color w:val="auto"/>
              </w:rPr>
            </w:pPr>
          </w:p>
        </w:tc>
      </w:tr>
      <w:tr>
        <w:trPr>
          <w:trHeight w:val="230"/>
        </w:trPr>
        <w:tc>
          <w:tcPr>
            <w:tcW w:w="920" w:type="dxa"/>
            <w:vAlign w:val="bottom"/>
          </w:tcPr>
          <w:p>
            <w:pPr>
              <w:spacing w:after="0"/>
              <w:rPr>
                <w:sz w:val="19"/>
                <w:szCs w:val="19"/>
                <w:color w:val="auto"/>
              </w:rPr>
            </w:pPr>
          </w:p>
        </w:tc>
        <w:tc>
          <w:tcPr>
            <w:tcW w:w="9120" w:type="dxa"/>
            <w:vAlign w:val="bottom"/>
          </w:tcPr>
          <w:p>
            <w:pPr>
              <w:jc w:val="center"/>
              <w:ind w:left="570"/>
              <w:spacing w:after="0"/>
              <w:rPr>
                <w:sz w:val="20"/>
                <w:szCs w:val="20"/>
                <w:color w:val="auto"/>
              </w:rPr>
            </w:pPr>
            <w:r>
              <w:rPr>
                <w:rFonts w:ascii="Arial" w:cs="Arial" w:eastAsia="Arial" w:hAnsi="Arial"/>
                <w:sz w:val="18"/>
                <w:szCs w:val="18"/>
                <w:b w:val="1"/>
                <w:bCs w:val="1"/>
                <w:color w:val="auto"/>
              </w:rPr>
              <w:t>FORM 10-K</w:t>
            </w:r>
          </w:p>
        </w:tc>
        <w:tc>
          <w:tcPr>
            <w:tcW w:w="1200" w:type="dxa"/>
            <w:vAlign w:val="bottom"/>
          </w:tcPr>
          <w:p>
            <w:pPr>
              <w:spacing w:after="0"/>
              <w:rPr>
                <w:sz w:val="19"/>
                <w:szCs w:val="19"/>
                <w:color w:val="auto"/>
              </w:rPr>
            </w:pPr>
          </w:p>
        </w:tc>
      </w:tr>
      <w:tr>
        <w:trPr>
          <w:trHeight w:val="234"/>
        </w:trPr>
        <w:tc>
          <w:tcPr>
            <w:tcW w:w="920" w:type="dxa"/>
            <w:vAlign w:val="bottom"/>
          </w:tcPr>
          <w:p>
            <w:pPr>
              <w:spacing w:after="0"/>
              <w:rPr>
                <w:sz w:val="20"/>
                <w:szCs w:val="20"/>
                <w:color w:val="auto"/>
              </w:rPr>
            </w:pPr>
          </w:p>
        </w:tc>
        <w:tc>
          <w:tcPr>
            <w:tcW w:w="9120" w:type="dxa"/>
            <w:vAlign w:val="bottom"/>
          </w:tcPr>
          <w:p>
            <w:pPr>
              <w:jc w:val="center"/>
              <w:ind w:left="570"/>
              <w:spacing w:after="0"/>
              <w:rPr>
                <w:sz w:val="20"/>
                <w:szCs w:val="20"/>
                <w:color w:val="auto"/>
              </w:rPr>
            </w:pPr>
            <w:r>
              <w:rPr>
                <w:rFonts w:ascii="Arial" w:cs="Arial" w:eastAsia="Arial" w:hAnsi="Arial"/>
                <w:sz w:val="18"/>
                <w:szCs w:val="18"/>
                <w:b w:val="1"/>
                <w:bCs w:val="1"/>
                <w:color w:val="auto"/>
                <w:w w:val="98"/>
              </w:rPr>
              <w:t>FOR THE FISCAL YEAR ENDED DECEMBER 31, 2021</w:t>
            </w:r>
          </w:p>
        </w:tc>
        <w:tc>
          <w:tcPr>
            <w:tcW w:w="1200" w:type="dxa"/>
            <w:vAlign w:val="bottom"/>
          </w:tcPr>
          <w:p>
            <w:pPr>
              <w:spacing w:after="0"/>
              <w:rPr>
                <w:sz w:val="20"/>
                <w:szCs w:val="20"/>
                <w:color w:val="auto"/>
              </w:rPr>
            </w:pPr>
          </w:p>
        </w:tc>
      </w:tr>
      <w:tr>
        <w:trPr>
          <w:trHeight w:val="459"/>
        </w:trPr>
        <w:tc>
          <w:tcPr>
            <w:tcW w:w="920" w:type="dxa"/>
            <w:vAlign w:val="bottom"/>
          </w:tcPr>
          <w:p>
            <w:pPr>
              <w:spacing w:after="0"/>
              <w:rPr>
                <w:sz w:val="24"/>
                <w:szCs w:val="24"/>
                <w:color w:val="auto"/>
              </w:rPr>
            </w:pPr>
          </w:p>
        </w:tc>
        <w:tc>
          <w:tcPr>
            <w:tcW w:w="9120" w:type="dxa"/>
            <w:vAlign w:val="bottom"/>
          </w:tcPr>
          <w:p>
            <w:pPr>
              <w:jc w:val="center"/>
              <w:ind w:left="550"/>
              <w:spacing w:after="0"/>
              <w:rPr>
                <w:sz w:val="20"/>
                <w:szCs w:val="20"/>
                <w:color w:val="auto"/>
              </w:rPr>
            </w:pPr>
            <w:r>
              <w:rPr>
                <w:rFonts w:ascii="Arial" w:cs="Arial" w:eastAsia="Arial" w:hAnsi="Arial"/>
                <w:sz w:val="18"/>
                <w:szCs w:val="18"/>
                <w:b w:val="1"/>
                <w:bCs w:val="1"/>
                <w:color w:val="auto"/>
                <w:w w:val="98"/>
              </w:rPr>
              <w:t>TABLE OF CONTENTS</w:t>
            </w:r>
          </w:p>
        </w:tc>
        <w:tc>
          <w:tcPr>
            <w:tcW w:w="1200" w:type="dxa"/>
            <w:vAlign w:val="bottom"/>
          </w:tcPr>
          <w:p>
            <w:pPr>
              <w:spacing w:after="0"/>
              <w:rPr>
                <w:sz w:val="24"/>
                <w:szCs w:val="24"/>
                <w:color w:val="auto"/>
              </w:rPr>
            </w:pPr>
          </w:p>
        </w:tc>
      </w:tr>
      <w:tr>
        <w:trPr>
          <w:trHeight w:val="459"/>
        </w:trPr>
        <w:tc>
          <w:tcPr>
            <w:tcW w:w="920" w:type="dxa"/>
            <w:vAlign w:val="bottom"/>
          </w:tcPr>
          <w:p>
            <w:pPr>
              <w:spacing w:after="0"/>
              <w:rPr>
                <w:sz w:val="24"/>
                <w:szCs w:val="24"/>
                <w:color w:val="auto"/>
              </w:rPr>
            </w:pPr>
          </w:p>
        </w:tc>
        <w:tc>
          <w:tcPr>
            <w:tcW w:w="9120" w:type="dxa"/>
            <w:vAlign w:val="bottom"/>
          </w:tcPr>
          <w:p>
            <w:pPr>
              <w:jc w:val="center"/>
              <w:ind w:left="570"/>
              <w:spacing w:after="0"/>
              <w:rPr>
                <w:sz w:val="20"/>
                <w:szCs w:val="20"/>
                <w:color w:val="auto"/>
              </w:rPr>
            </w:pPr>
            <w:r>
              <w:rPr>
                <w:rFonts w:ascii="Arial" w:cs="Arial" w:eastAsia="Arial" w:hAnsi="Arial"/>
                <w:sz w:val="18"/>
                <w:szCs w:val="18"/>
                <w:b w:val="1"/>
                <w:bCs w:val="1"/>
                <w:color w:val="auto"/>
                <w:w w:val="98"/>
              </w:rPr>
              <w:t>PART I</w:t>
            </w:r>
          </w:p>
        </w:tc>
        <w:tc>
          <w:tcPr>
            <w:tcW w:w="1200" w:type="dxa"/>
            <w:vAlign w:val="bottom"/>
          </w:tcPr>
          <w:p>
            <w:pPr>
              <w:spacing w:after="0"/>
              <w:rPr>
                <w:sz w:val="24"/>
                <w:szCs w:val="24"/>
                <w:color w:val="auto"/>
              </w:rPr>
            </w:pPr>
          </w:p>
        </w:tc>
      </w:tr>
      <w:tr>
        <w:trPr>
          <w:trHeight w:val="458"/>
        </w:trPr>
        <w:tc>
          <w:tcPr>
            <w:tcW w:w="920" w:type="dxa"/>
            <w:vAlign w:val="bottom"/>
          </w:tcPr>
          <w:p>
            <w:pPr>
              <w:ind w:left="20"/>
              <w:spacing w:after="0"/>
              <w:rPr>
                <w:sz w:val="20"/>
                <w:szCs w:val="20"/>
                <w:color w:val="auto"/>
              </w:rPr>
            </w:pPr>
            <w:r>
              <w:rPr>
                <w:rFonts w:ascii="Arial" w:cs="Arial" w:eastAsia="Arial" w:hAnsi="Arial"/>
                <w:sz w:val="18"/>
                <w:szCs w:val="18"/>
                <w:color w:val="auto"/>
              </w:rPr>
              <w:t>Item 1.</w:t>
            </w:r>
          </w:p>
        </w:tc>
        <w:tc>
          <w:tcPr>
            <w:tcW w:w="9120" w:type="dxa"/>
            <w:vAlign w:val="bottom"/>
          </w:tcPr>
          <w:p>
            <w:pPr>
              <w:ind w:left="140"/>
              <w:spacing w:after="0"/>
              <w:rPr>
                <w:sz w:val="20"/>
                <w:szCs w:val="20"/>
                <w:color w:val="auto"/>
              </w:rPr>
            </w:pPr>
            <w:r>
              <w:rPr>
                <w:rFonts w:ascii="Arial" w:cs="Arial" w:eastAsia="Arial" w:hAnsi="Arial"/>
                <w:sz w:val="18"/>
                <w:szCs w:val="18"/>
                <w:color w:val="auto"/>
              </w:rPr>
              <w:t>Business</w:t>
            </w: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920" w:type="dxa"/>
            <w:vAlign w:val="bottom"/>
          </w:tcPr>
          <w:p>
            <w:pPr>
              <w:ind w:left="20"/>
              <w:spacing w:after="0"/>
              <w:rPr>
                <w:sz w:val="20"/>
                <w:szCs w:val="20"/>
                <w:color w:val="auto"/>
              </w:rPr>
            </w:pPr>
            <w:r>
              <w:rPr>
                <w:rFonts w:ascii="Arial" w:cs="Arial" w:eastAsia="Arial" w:hAnsi="Arial"/>
                <w:sz w:val="18"/>
                <w:szCs w:val="18"/>
                <w:color w:val="auto"/>
              </w:rPr>
              <w:t>Item 1A.</w:t>
            </w:r>
          </w:p>
        </w:tc>
        <w:tc>
          <w:tcPr>
            <w:tcW w:w="9120" w:type="dxa"/>
            <w:vAlign w:val="bottom"/>
          </w:tcPr>
          <w:p>
            <w:pPr>
              <w:ind w:left="140"/>
              <w:spacing w:after="0"/>
              <w:rPr>
                <w:sz w:val="20"/>
                <w:szCs w:val="20"/>
                <w:color w:val="auto"/>
              </w:rPr>
            </w:pPr>
            <w:r>
              <w:rPr>
                <w:rFonts w:ascii="Arial" w:cs="Arial" w:eastAsia="Arial" w:hAnsi="Arial"/>
                <w:sz w:val="18"/>
                <w:szCs w:val="18"/>
                <w:color w:val="auto"/>
              </w:rPr>
              <w:t>Risk Factors</w:t>
            </w: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920" w:type="dxa"/>
            <w:vAlign w:val="bottom"/>
          </w:tcPr>
          <w:p>
            <w:pPr>
              <w:ind w:left="20"/>
              <w:spacing w:after="0"/>
              <w:rPr>
                <w:sz w:val="20"/>
                <w:szCs w:val="20"/>
                <w:color w:val="auto"/>
              </w:rPr>
            </w:pPr>
            <w:r>
              <w:rPr>
                <w:rFonts w:ascii="Arial" w:cs="Arial" w:eastAsia="Arial" w:hAnsi="Arial"/>
                <w:sz w:val="18"/>
                <w:szCs w:val="18"/>
                <w:color w:val="auto"/>
              </w:rPr>
              <w:t>Item 1B.</w:t>
            </w:r>
          </w:p>
        </w:tc>
        <w:tc>
          <w:tcPr>
            <w:tcW w:w="9120" w:type="dxa"/>
            <w:vAlign w:val="bottom"/>
          </w:tcPr>
          <w:p>
            <w:pPr>
              <w:ind w:left="140"/>
              <w:spacing w:after="0"/>
              <w:rPr>
                <w:sz w:val="20"/>
                <w:szCs w:val="20"/>
                <w:color w:val="auto"/>
              </w:rPr>
            </w:pPr>
            <w:r>
              <w:rPr>
                <w:rFonts w:ascii="Arial" w:cs="Arial" w:eastAsia="Arial" w:hAnsi="Arial"/>
                <w:sz w:val="18"/>
                <w:szCs w:val="18"/>
                <w:color w:val="auto"/>
              </w:rPr>
              <w:t>Unresolved Staff Comments</w:t>
            </w:r>
          </w:p>
        </w:tc>
        <w:tc>
          <w:tcPr>
            <w:tcW w:w="12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920" w:type="dxa"/>
            <w:vAlign w:val="bottom"/>
          </w:tcPr>
          <w:p>
            <w:pPr>
              <w:ind w:left="20"/>
              <w:spacing w:after="0"/>
              <w:rPr>
                <w:sz w:val="20"/>
                <w:szCs w:val="20"/>
                <w:color w:val="auto"/>
              </w:rPr>
            </w:pPr>
            <w:r>
              <w:rPr>
                <w:rFonts w:ascii="Arial" w:cs="Arial" w:eastAsia="Arial" w:hAnsi="Arial"/>
                <w:sz w:val="18"/>
                <w:szCs w:val="18"/>
                <w:color w:val="auto"/>
              </w:rPr>
              <w:t>Item 2.</w:t>
            </w:r>
          </w:p>
        </w:tc>
        <w:tc>
          <w:tcPr>
            <w:tcW w:w="9120" w:type="dxa"/>
            <w:vAlign w:val="bottom"/>
          </w:tcPr>
          <w:p>
            <w:pPr>
              <w:ind w:left="140"/>
              <w:spacing w:after="0"/>
              <w:rPr>
                <w:sz w:val="20"/>
                <w:szCs w:val="20"/>
                <w:color w:val="auto"/>
              </w:rPr>
            </w:pPr>
            <w:r>
              <w:rPr>
                <w:rFonts w:ascii="Arial" w:cs="Arial" w:eastAsia="Arial" w:hAnsi="Arial"/>
                <w:sz w:val="18"/>
                <w:szCs w:val="18"/>
                <w:color w:val="auto"/>
              </w:rPr>
              <w:t>Properties</w:t>
            </w:r>
          </w:p>
        </w:tc>
        <w:tc>
          <w:tcPr>
            <w:tcW w:w="12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920" w:type="dxa"/>
            <w:vAlign w:val="bottom"/>
          </w:tcPr>
          <w:p>
            <w:pPr>
              <w:ind w:left="20"/>
              <w:spacing w:after="0"/>
              <w:rPr>
                <w:sz w:val="20"/>
                <w:szCs w:val="20"/>
                <w:color w:val="auto"/>
              </w:rPr>
            </w:pPr>
            <w:r>
              <w:rPr>
                <w:rFonts w:ascii="Arial" w:cs="Arial" w:eastAsia="Arial" w:hAnsi="Arial"/>
                <w:sz w:val="18"/>
                <w:szCs w:val="18"/>
                <w:color w:val="auto"/>
              </w:rPr>
              <w:t>Item 3.</w:t>
            </w:r>
          </w:p>
        </w:tc>
        <w:tc>
          <w:tcPr>
            <w:tcW w:w="9120" w:type="dxa"/>
            <w:vAlign w:val="bottom"/>
          </w:tcPr>
          <w:p>
            <w:pPr>
              <w:ind w:left="140"/>
              <w:spacing w:after="0"/>
              <w:rPr>
                <w:sz w:val="20"/>
                <w:szCs w:val="20"/>
                <w:color w:val="auto"/>
              </w:rPr>
            </w:pPr>
            <w:r>
              <w:rPr>
                <w:rFonts w:ascii="Arial" w:cs="Arial" w:eastAsia="Arial" w:hAnsi="Arial"/>
                <w:sz w:val="18"/>
                <w:szCs w:val="18"/>
                <w:color w:val="auto"/>
              </w:rPr>
              <w:t>Legal Proceedings</w:t>
            </w:r>
          </w:p>
        </w:tc>
        <w:tc>
          <w:tcPr>
            <w:tcW w:w="12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29"/>
        </w:trPr>
        <w:tc>
          <w:tcPr>
            <w:tcW w:w="920" w:type="dxa"/>
            <w:vAlign w:val="bottom"/>
          </w:tcPr>
          <w:p>
            <w:pPr>
              <w:ind w:left="20"/>
              <w:spacing w:after="0"/>
              <w:rPr>
                <w:sz w:val="20"/>
                <w:szCs w:val="20"/>
                <w:color w:val="auto"/>
              </w:rPr>
            </w:pPr>
            <w:r>
              <w:rPr>
                <w:rFonts w:ascii="Arial" w:cs="Arial" w:eastAsia="Arial" w:hAnsi="Arial"/>
                <w:sz w:val="18"/>
                <w:szCs w:val="18"/>
                <w:color w:val="auto"/>
              </w:rPr>
              <w:t>Item 4.</w:t>
            </w:r>
          </w:p>
        </w:tc>
        <w:tc>
          <w:tcPr>
            <w:tcW w:w="9120" w:type="dxa"/>
            <w:vAlign w:val="bottom"/>
          </w:tcPr>
          <w:p>
            <w:pPr>
              <w:ind w:left="140"/>
              <w:spacing w:after="0"/>
              <w:rPr>
                <w:sz w:val="20"/>
                <w:szCs w:val="20"/>
                <w:color w:val="auto"/>
              </w:rPr>
            </w:pPr>
            <w:r>
              <w:rPr>
                <w:rFonts w:ascii="Arial" w:cs="Arial" w:eastAsia="Arial" w:hAnsi="Arial"/>
                <w:sz w:val="18"/>
                <w:szCs w:val="18"/>
                <w:color w:val="auto"/>
              </w:rPr>
              <w:t>Mine Safety Disclosures</w:t>
            </w:r>
          </w:p>
        </w:tc>
        <w:tc>
          <w:tcPr>
            <w:tcW w:w="12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30"/>
        </w:trPr>
        <w:tc>
          <w:tcPr>
            <w:tcW w:w="10040" w:type="dxa"/>
            <w:vAlign w:val="bottom"/>
            <w:gridSpan w:val="2"/>
          </w:tcPr>
          <w:p>
            <w:pPr>
              <w:ind w:left="20"/>
              <w:spacing w:after="0"/>
              <w:rPr>
                <w:sz w:val="20"/>
                <w:szCs w:val="20"/>
                <w:color w:val="auto"/>
              </w:rPr>
            </w:pPr>
            <w:r>
              <w:rPr>
                <w:rFonts w:ascii="Arial" w:cs="Arial" w:eastAsia="Arial" w:hAnsi="Arial"/>
                <w:sz w:val="18"/>
                <w:szCs w:val="18"/>
                <w:color w:val="auto"/>
              </w:rPr>
              <w:t>Information about our Executive Officers</w:t>
            </w:r>
          </w:p>
        </w:tc>
        <w:tc>
          <w:tcPr>
            <w:tcW w:w="12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499"/>
        </w:trPr>
        <w:tc>
          <w:tcPr>
            <w:tcW w:w="920" w:type="dxa"/>
            <w:vAlign w:val="bottom"/>
          </w:tcPr>
          <w:p>
            <w:pPr>
              <w:spacing w:after="0"/>
              <w:rPr>
                <w:sz w:val="24"/>
                <w:szCs w:val="24"/>
                <w:color w:val="auto"/>
              </w:rPr>
            </w:pPr>
          </w:p>
        </w:tc>
        <w:tc>
          <w:tcPr>
            <w:tcW w:w="9120" w:type="dxa"/>
            <w:vAlign w:val="bottom"/>
          </w:tcPr>
          <w:p>
            <w:pPr>
              <w:jc w:val="center"/>
              <w:ind w:left="570"/>
              <w:spacing w:after="0"/>
              <w:rPr>
                <w:sz w:val="20"/>
                <w:szCs w:val="20"/>
                <w:color w:val="auto"/>
              </w:rPr>
            </w:pPr>
            <w:r>
              <w:rPr>
                <w:rFonts w:ascii="Arial" w:cs="Arial" w:eastAsia="Arial" w:hAnsi="Arial"/>
                <w:sz w:val="18"/>
                <w:szCs w:val="18"/>
                <w:b w:val="1"/>
                <w:bCs w:val="1"/>
                <w:color w:val="auto"/>
              </w:rPr>
              <w:t>PART II</w:t>
            </w:r>
          </w:p>
        </w:tc>
        <w:tc>
          <w:tcPr>
            <w:tcW w:w="1200" w:type="dxa"/>
            <w:vAlign w:val="bottom"/>
          </w:tcPr>
          <w:p>
            <w:pPr>
              <w:spacing w:after="0"/>
              <w:rPr>
                <w:sz w:val="24"/>
                <w:szCs w:val="24"/>
                <w:color w:val="auto"/>
              </w:rPr>
            </w:pPr>
          </w:p>
        </w:tc>
      </w:tr>
      <w:tr>
        <w:trPr>
          <w:trHeight w:val="499"/>
        </w:trPr>
        <w:tc>
          <w:tcPr>
            <w:tcW w:w="920" w:type="dxa"/>
            <w:vAlign w:val="bottom"/>
          </w:tcPr>
          <w:p>
            <w:pPr>
              <w:ind w:left="20"/>
              <w:spacing w:after="0"/>
              <w:rPr>
                <w:sz w:val="20"/>
                <w:szCs w:val="20"/>
                <w:color w:val="auto"/>
              </w:rPr>
            </w:pPr>
            <w:r>
              <w:rPr>
                <w:rFonts w:ascii="Arial" w:cs="Arial" w:eastAsia="Arial" w:hAnsi="Arial"/>
                <w:sz w:val="18"/>
                <w:szCs w:val="18"/>
                <w:color w:val="auto"/>
              </w:rPr>
              <w:t>Item 5.</w:t>
            </w:r>
          </w:p>
        </w:tc>
        <w:tc>
          <w:tcPr>
            <w:tcW w:w="9120" w:type="dxa"/>
            <w:vAlign w:val="bottom"/>
          </w:tcPr>
          <w:p>
            <w:pPr>
              <w:ind w:left="140"/>
              <w:spacing w:after="0"/>
              <w:rPr>
                <w:sz w:val="20"/>
                <w:szCs w:val="20"/>
                <w:color w:val="auto"/>
              </w:rPr>
            </w:pPr>
            <w:r>
              <w:rPr>
                <w:rFonts w:ascii="Arial" w:cs="Arial" w:eastAsia="Arial" w:hAnsi="Arial"/>
                <w:sz w:val="18"/>
                <w:szCs w:val="18"/>
                <w:color w:val="auto"/>
              </w:rPr>
              <w:t>Market for Registrant’s Common Equity, Related Stockholder Matters and Issuer Purchases of Equity Securities</w:t>
            </w:r>
          </w:p>
        </w:tc>
        <w:tc>
          <w:tcPr>
            <w:tcW w:w="12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920" w:type="dxa"/>
            <w:vAlign w:val="bottom"/>
          </w:tcPr>
          <w:p>
            <w:pPr>
              <w:ind w:left="20"/>
              <w:spacing w:after="0"/>
              <w:rPr>
                <w:sz w:val="20"/>
                <w:szCs w:val="20"/>
                <w:color w:val="auto"/>
              </w:rPr>
            </w:pPr>
            <w:r>
              <w:rPr>
                <w:rFonts w:ascii="Arial" w:cs="Arial" w:eastAsia="Arial" w:hAnsi="Arial"/>
                <w:sz w:val="18"/>
                <w:szCs w:val="18"/>
                <w:color w:val="auto"/>
              </w:rPr>
              <w:t>Item 7.</w:t>
            </w:r>
          </w:p>
        </w:tc>
        <w:tc>
          <w:tcPr>
            <w:tcW w:w="9120" w:type="dxa"/>
            <w:vAlign w:val="bottom"/>
          </w:tcPr>
          <w:p>
            <w:pPr>
              <w:ind w:left="14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2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29"/>
        </w:trPr>
        <w:tc>
          <w:tcPr>
            <w:tcW w:w="920" w:type="dxa"/>
            <w:vAlign w:val="bottom"/>
          </w:tcPr>
          <w:p>
            <w:pPr>
              <w:ind w:left="20"/>
              <w:spacing w:after="0"/>
              <w:rPr>
                <w:sz w:val="20"/>
                <w:szCs w:val="20"/>
                <w:color w:val="auto"/>
              </w:rPr>
            </w:pPr>
            <w:r>
              <w:rPr>
                <w:rFonts w:ascii="Arial" w:cs="Arial" w:eastAsia="Arial" w:hAnsi="Arial"/>
                <w:sz w:val="18"/>
                <w:szCs w:val="18"/>
                <w:color w:val="auto"/>
              </w:rPr>
              <w:t>Item 7A.</w:t>
            </w:r>
          </w:p>
        </w:tc>
        <w:tc>
          <w:tcPr>
            <w:tcW w:w="9120" w:type="dxa"/>
            <w:vAlign w:val="bottom"/>
          </w:tcPr>
          <w:p>
            <w:pPr>
              <w:ind w:left="140"/>
              <w:spacing w:after="0"/>
              <w:rPr>
                <w:sz w:val="20"/>
                <w:szCs w:val="20"/>
                <w:color w:val="auto"/>
              </w:rPr>
            </w:pPr>
            <w:r>
              <w:rPr>
                <w:rFonts w:ascii="Arial" w:cs="Arial" w:eastAsia="Arial" w:hAnsi="Arial"/>
                <w:sz w:val="18"/>
                <w:szCs w:val="18"/>
                <w:color w:val="auto"/>
              </w:rPr>
              <w:t>Quantitative and Qualitative Disclosures About Market Risk</w:t>
            </w:r>
          </w:p>
        </w:tc>
        <w:tc>
          <w:tcPr>
            <w:tcW w:w="12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29"/>
        </w:trPr>
        <w:tc>
          <w:tcPr>
            <w:tcW w:w="920" w:type="dxa"/>
            <w:vAlign w:val="bottom"/>
          </w:tcPr>
          <w:p>
            <w:pPr>
              <w:ind w:left="20"/>
              <w:spacing w:after="0"/>
              <w:rPr>
                <w:sz w:val="20"/>
                <w:szCs w:val="20"/>
                <w:color w:val="auto"/>
              </w:rPr>
            </w:pPr>
            <w:r>
              <w:rPr>
                <w:rFonts w:ascii="Arial" w:cs="Arial" w:eastAsia="Arial" w:hAnsi="Arial"/>
                <w:sz w:val="18"/>
                <w:szCs w:val="18"/>
                <w:color w:val="auto"/>
              </w:rPr>
              <w:t>Item 8.</w:t>
            </w:r>
          </w:p>
        </w:tc>
        <w:tc>
          <w:tcPr>
            <w:tcW w:w="9120" w:type="dxa"/>
            <w:vAlign w:val="bottom"/>
          </w:tcPr>
          <w:p>
            <w:pPr>
              <w:ind w:left="140"/>
              <w:spacing w:after="0"/>
              <w:rPr>
                <w:sz w:val="20"/>
                <w:szCs w:val="20"/>
                <w:color w:val="auto"/>
              </w:rPr>
            </w:pPr>
            <w:r>
              <w:rPr>
                <w:rFonts w:ascii="Arial" w:cs="Arial" w:eastAsia="Arial" w:hAnsi="Arial"/>
                <w:sz w:val="18"/>
                <w:szCs w:val="18"/>
                <w:color w:val="auto"/>
              </w:rPr>
              <w:t>Financial Statements and Supplementary Data</w:t>
            </w:r>
          </w:p>
        </w:tc>
        <w:tc>
          <w:tcPr>
            <w:tcW w:w="12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920" w:type="dxa"/>
            <w:vAlign w:val="bottom"/>
          </w:tcPr>
          <w:p>
            <w:pPr>
              <w:ind w:left="20"/>
              <w:spacing w:after="0"/>
              <w:rPr>
                <w:sz w:val="20"/>
                <w:szCs w:val="20"/>
                <w:color w:val="auto"/>
              </w:rPr>
            </w:pPr>
            <w:r>
              <w:rPr>
                <w:rFonts w:ascii="Arial" w:cs="Arial" w:eastAsia="Arial" w:hAnsi="Arial"/>
                <w:sz w:val="18"/>
                <w:szCs w:val="18"/>
                <w:color w:val="auto"/>
              </w:rPr>
              <w:t>Item 9.</w:t>
            </w:r>
          </w:p>
        </w:tc>
        <w:tc>
          <w:tcPr>
            <w:tcW w:w="9120" w:type="dxa"/>
            <w:vAlign w:val="bottom"/>
          </w:tcPr>
          <w:p>
            <w:pPr>
              <w:ind w:left="140"/>
              <w:spacing w:after="0"/>
              <w:rPr>
                <w:sz w:val="20"/>
                <w:szCs w:val="20"/>
                <w:color w:val="auto"/>
              </w:rPr>
            </w:pPr>
            <w:r>
              <w:rPr>
                <w:rFonts w:ascii="Arial" w:cs="Arial" w:eastAsia="Arial" w:hAnsi="Arial"/>
                <w:sz w:val="18"/>
                <w:szCs w:val="18"/>
                <w:color w:val="auto"/>
              </w:rPr>
              <w:t>Changes in and Disagreements With Accountants on Accounting and Financial Disclosure</w:t>
            </w:r>
          </w:p>
        </w:tc>
        <w:tc>
          <w:tcPr>
            <w:tcW w:w="12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29"/>
        </w:trPr>
        <w:tc>
          <w:tcPr>
            <w:tcW w:w="920" w:type="dxa"/>
            <w:vAlign w:val="bottom"/>
          </w:tcPr>
          <w:p>
            <w:pPr>
              <w:ind w:left="20"/>
              <w:spacing w:after="0"/>
              <w:rPr>
                <w:sz w:val="20"/>
                <w:szCs w:val="20"/>
                <w:color w:val="auto"/>
              </w:rPr>
            </w:pPr>
            <w:r>
              <w:rPr>
                <w:rFonts w:ascii="Arial" w:cs="Arial" w:eastAsia="Arial" w:hAnsi="Arial"/>
                <w:sz w:val="18"/>
                <w:szCs w:val="18"/>
                <w:color w:val="auto"/>
              </w:rPr>
              <w:t>Item 9A.</w:t>
            </w:r>
          </w:p>
        </w:tc>
        <w:tc>
          <w:tcPr>
            <w:tcW w:w="9120" w:type="dxa"/>
            <w:vAlign w:val="bottom"/>
          </w:tcPr>
          <w:p>
            <w:pPr>
              <w:ind w:left="140"/>
              <w:spacing w:after="0"/>
              <w:rPr>
                <w:sz w:val="20"/>
                <w:szCs w:val="20"/>
                <w:color w:val="auto"/>
              </w:rPr>
            </w:pPr>
            <w:r>
              <w:rPr>
                <w:rFonts w:ascii="Arial" w:cs="Arial" w:eastAsia="Arial" w:hAnsi="Arial"/>
                <w:sz w:val="18"/>
                <w:szCs w:val="18"/>
                <w:color w:val="auto"/>
              </w:rPr>
              <w:t>Controls and Procedures</w:t>
            </w:r>
          </w:p>
        </w:tc>
        <w:tc>
          <w:tcPr>
            <w:tcW w:w="12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920" w:type="dxa"/>
            <w:vAlign w:val="bottom"/>
          </w:tcPr>
          <w:p>
            <w:pPr>
              <w:ind w:left="20"/>
              <w:spacing w:after="0"/>
              <w:rPr>
                <w:sz w:val="20"/>
                <w:szCs w:val="20"/>
                <w:color w:val="auto"/>
              </w:rPr>
            </w:pPr>
            <w:r>
              <w:rPr>
                <w:rFonts w:ascii="Arial" w:cs="Arial" w:eastAsia="Arial" w:hAnsi="Arial"/>
                <w:sz w:val="18"/>
                <w:szCs w:val="18"/>
                <w:color w:val="auto"/>
              </w:rPr>
              <w:t>Item 9B.</w:t>
            </w:r>
          </w:p>
        </w:tc>
        <w:tc>
          <w:tcPr>
            <w:tcW w:w="9120" w:type="dxa"/>
            <w:vAlign w:val="bottom"/>
          </w:tcPr>
          <w:p>
            <w:pPr>
              <w:ind w:left="140"/>
              <w:spacing w:after="0"/>
              <w:rPr>
                <w:sz w:val="20"/>
                <w:szCs w:val="20"/>
                <w:color w:val="auto"/>
              </w:rPr>
            </w:pPr>
            <w:r>
              <w:rPr>
                <w:rFonts w:ascii="Arial" w:cs="Arial" w:eastAsia="Arial" w:hAnsi="Arial"/>
                <w:sz w:val="18"/>
                <w:szCs w:val="18"/>
                <w:color w:val="auto"/>
              </w:rPr>
              <w:t>Other Information</w:t>
            </w:r>
          </w:p>
        </w:tc>
        <w:tc>
          <w:tcPr>
            <w:tcW w:w="12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920" w:type="dxa"/>
            <w:vAlign w:val="bottom"/>
          </w:tcPr>
          <w:p>
            <w:pPr>
              <w:ind w:left="20"/>
              <w:spacing w:after="0"/>
              <w:rPr>
                <w:sz w:val="20"/>
                <w:szCs w:val="20"/>
                <w:color w:val="auto"/>
              </w:rPr>
            </w:pPr>
            <w:r>
              <w:rPr>
                <w:rFonts w:ascii="Arial" w:cs="Arial" w:eastAsia="Arial" w:hAnsi="Arial"/>
                <w:sz w:val="18"/>
                <w:szCs w:val="18"/>
                <w:color w:val="auto"/>
              </w:rPr>
              <w:t>Item 9C.</w:t>
            </w:r>
          </w:p>
        </w:tc>
        <w:tc>
          <w:tcPr>
            <w:tcW w:w="9120" w:type="dxa"/>
            <w:vAlign w:val="bottom"/>
          </w:tcPr>
          <w:p>
            <w:pPr>
              <w:ind w:left="140"/>
              <w:spacing w:after="0"/>
              <w:rPr>
                <w:sz w:val="20"/>
                <w:szCs w:val="20"/>
                <w:color w:val="auto"/>
              </w:rPr>
            </w:pPr>
            <w:r>
              <w:rPr>
                <w:rFonts w:ascii="Arial" w:cs="Arial" w:eastAsia="Arial" w:hAnsi="Arial"/>
                <w:sz w:val="18"/>
                <w:szCs w:val="18"/>
                <w:color w:val="auto"/>
              </w:rPr>
              <w:t>Disclosure Regarding Foreign Jurisdictions that Prevent Inspections</w:t>
            </w:r>
          </w:p>
        </w:tc>
        <w:tc>
          <w:tcPr>
            <w:tcW w:w="12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459"/>
        </w:trPr>
        <w:tc>
          <w:tcPr>
            <w:tcW w:w="920" w:type="dxa"/>
            <w:vAlign w:val="bottom"/>
          </w:tcPr>
          <w:p>
            <w:pPr>
              <w:spacing w:after="0"/>
              <w:rPr>
                <w:sz w:val="24"/>
                <w:szCs w:val="24"/>
                <w:color w:val="auto"/>
              </w:rPr>
            </w:pPr>
          </w:p>
        </w:tc>
        <w:tc>
          <w:tcPr>
            <w:tcW w:w="9120" w:type="dxa"/>
            <w:vAlign w:val="bottom"/>
          </w:tcPr>
          <w:p>
            <w:pPr>
              <w:jc w:val="center"/>
              <w:ind w:left="550"/>
              <w:spacing w:after="0"/>
              <w:rPr>
                <w:sz w:val="20"/>
                <w:szCs w:val="20"/>
                <w:color w:val="auto"/>
              </w:rPr>
            </w:pPr>
            <w:r>
              <w:rPr>
                <w:rFonts w:ascii="Arial" w:cs="Arial" w:eastAsia="Arial" w:hAnsi="Arial"/>
                <w:sz w:val="18"/>
                <w:szCs w:val="18"/>
                <w:b w:val="1"/>
                <w:bCs w:val="1"/>
                <w:color w:val="auto"/>
              </w:rPr>
              <w:t>PART III</w:t>
            </w:r>
          </w:p>
        </w:tc>
        <w:tc>
          <w:tcPr>
            <w:tcW w:w="1200" w:type="dxa"/>
            <w:vAlign w:val="bottom"/>
          </w:tcPr>
          <w:p>
            <w:pPr>
              <w:spacing w:after="0"/>
              <w:rPr>
                <w:sz w:val="24"/>
                <w:szCs w:val="24"/>
                <w:color w:val="auto"/>
              </w:rPr>
            </w:pPr>
          </w:p>
        </w:tc>
      </w:tr>
      <w:tr>
        <w:trPr>
          <w:trHeight w:val="499"/>
        </w:trPr>
        <w:tc>
          <w:tcPr>
            <w:tcW w:w="920" w:type="dxa"/>
            <w:vAlign w:val="bottom"/>
          </w:tcPr>
          <w:p>
            <w:pPr>
              <w:ind w:left="20"/>
              <w:spacing w:after="0"/>
              <w:rPr>
                <w:sz w:val="20"/>
                <w:szCs w:val="20"/>
                <w:color w:val="auto"/>
              </w:rPr>
            </w:pPr>
            <w:r>
              <w:rPr>
                <w:rFonts w:ascii="Arial" w:cs="Arial" w:eastAsia="Arial" w:hAnsi="Arial"/>
                <w:sz w:val="18"/>
                <w:szCs w:val="18"/>
                <w:color w:val="auto"/>
              </w:rPr>
              <w:t>Item 10.</w:t>
            </w:r>
          </w:p>
        </w:tc>
        <w:tc>
          <w:tcPr>
            <w:tcW w:w="9120" w:type="dxa"/>
            <w:vAlign w:val="bottom"/>
          </w:tcPr>
          <w:p>
            <w:pPr>
              <w:ind w:left="140"/>
              <w:spacing w:after="0"/>
              <w:rPr>
                <w:sz w:val="20"/>
                <w:szCs w:val="20"/>
                <w:color w:val="auto"/>
              </w:rPr>
            </w:pPr>
            <w:r>
              <w:rPr>
                <w:rFonts w:ascii="Arial" w:cs="Arial" w:eastAsia="Arial" w:hAnsi="Arial"/>
                <w:sz w:val="18"/>
                <w:szCs w:val="18"/>
                <w:color w:val="auto"/>
              </w:rPr>
              <w:t>Directors, Executive Officers and Corporate Governance</w:t>
            </w:r>
          </w:p>
        </w:tc>
        <w:tc>
          <w:tcPr>
            <w:tcW w:w="12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920" w:type="dxa"/>
            <w:vAlign w:val="bottom"/>
          </w:tcPr>
          <w:p>
            <w:pPr>
              <w:ind w:left="20"/>
              <w:spacing w:after="0"/>
              <w:rPr>
                <w:sz w:val="20"/>
                <w:szCs w:val="20"/>
                <w:color w:val="auto"/>
              </w:rPr>
            </w:pPr>
            <w:r>
              <w:rPr>
                <w:rFonts w:ascii="Arial" w:cs="Arial" w:eastAsia="Arial" w:hAnsi="Arial"/>
                <w:sz w:val="18"/>
                <w:szCs w:val="18"/>
                <w:color w:val="auto"/>
              </w:rPr>
              <w:t>Item 11.</w:t>
            </w:r>
          </w:p>
        </w:tc>
        <w:tc>
          <w:tcPr>
            <w:tcW w:w="9120" w:type="dxa"/>
            <w:vAlign w:val="bottom"/>
          </w:tcPr>
          <w:p>
            <w:pPr>
              <w:ind w:left="140"/>
              <w:spacing w:after="0"/>
              <w:rPr>
                <w:sz w:val="20"/>
                <w:szCs w:val="20"/>
                <w:color w:val="auto"/>
              </w:rPr>
            </w:pPr>
            <w:r>
              <w:rPr>
                <w:rFonts w:ascii="Arial" w:cs="Arial" w:eastAsia="Arial" w:hAnsi="Arial"/>
                <w:sz w:val="18"/>
                <w:szCs w:val="18"/>
                <w:color w:val="auto"/>
              </w:rPr>
              <w:t>Executive Compensation</w:t>
            </w:r>
          </w:p>
        </w:tc>
        <w:tc>
          <w:tcPr>
            <w:tcW w:w="12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920" w:type="dxa"/>
            <w:vAlign w:val="bottom"/>
          </w:tcPr>
          <w:p>
            <w:pPr>
              <w:ind w:left="20"/>
              <w:spacing w:after="0"/>
              <w:rPr>
                <w:sz w:val="20"/>
                <w:szCs w:val="20"/>
                <w:color w:val="auto"/>
              </w:rPr>
            </w:pPr>
            <w:r>
              <w:rPr>
                <w:rFonts w:ascii="Arial" w:cs="Arial" w:eastAsia="Arial" w:hAnsi="Arial"/>
                <w:sz w:val="18"/>
                <w:szCs w:val="18"/>
                <w:color w:val="auto"/>
              </w:rPr>
              <w:t>Item 12.</w:t>
            </w:r>
          </w:p>
        </w:tc>
        <w:tc>
          <w:tcPr>
            <w:tcW w:w="9120" w:type="dxa"/>
            <w:vAlign w:val="bottom"/>
          </w:tcPr>
          <w:p>
            <w:pPr>
              <w:ind w:left="140"/>
              <w:spacing w:after="0"/>
              <w:rPr>
                <w:sz w:val="20"/>
                <w:szCs w:val="20"/>
                <w:color w:val="auto"/>
              </w:rPr>
            </w:pPr>
            <w:r>
              <w:rPr>
                <w:rFonts w:ascii="Arial" w:cs="Arial" w:eastAsia="Arial" w:hAnsi="Arial"/>
                <w:sz w:val="18"/>
                <w:szCs w:val="18"/>
                <w:color w:val="auto"/>
              </w:rPr>
              <w:t>Security Ownership of Certain Beneficial Owners and Management and Related Stockholder Matters</w:t>
            </w:r>
          </w:p>
        </w:tc>
        <w:tc>
          <w:tcPr>
            <w:tcW w:w="12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29"/>
        </w:trPr>
        <w:tc>
          <w:tcPr>
            <w:tcW w:w="920" w:type="dxa"/>
            <w:vAlign w:val="bottom"/>
          </w:tcPr>
          <w:p>
            <w:pPr>
              <w:ind w:left="20"/>
              <w:spacing w:after="0"/>
              <w:rPr>
                <w:sz w:val="20"/>
                <w:szCs w:val="20"/>
                <w:color w:val="auto"/>
              </w:rPr>
            </w:pPr>
            <w:r>
              <w:rPr>
                <w:rFonts w:ascii="Arial" w:cs="Arial" w:eastAsia="Arial" w:hAnsi="Arial"/>
                <w:sz w:val="18"/>
                <w:szCs w:val="18"/>
                <w:color w:val="auto"/>
              </w:rPr>
              <w:t>Item 13.</w:t>
            </w:r>
          </w:p>
        </w:tc>
        <w:tc>
          <w:tcPr>
            <w:tcW w:w="9120" w:type="dxa"/>
            <w:vAlign w:val="bottom"/>
          </w:tcPr>
          <w:p>
            <w:pPr>
              <w:ind w:left="140"/>
              <w:spacing w:after="0"/>
              <w:rPr>
                <w:sz w:val="20"/>
                <w:szCs w:val="20"/>
                <w:color w:val="auto"/>
              </w:rPr>
            </w:pPr>
            <w:r>
              <w:rPr>
                <w:rFonts w:ascii="Arial" w:cs="Arial" w:eastAsia="Arial" w:hAnsi="Arial"/>
                <w:sz w:val="18"/>
                <w:szCs w:val="18"/>
                <w:color w:val="auto"/>
              </w:rPr>
              <w:t>Certain Relationships and Related Transactions, and Director Independence</w:t>
            </w:r>
          </w:p>
        </w:tc>
        <w:tc>
          <w:tcPr>
            <w:tcW w:w="12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920" w:type="dxa"/>
            <w:vAlign w:val="bottom"/>
          </w:tcPr>
          <w:p>
            <w:pPr>
              <w:ind w:left="20"/>
              <w:spacing w:after="0"/>
              <w:rPr>
                <w:sz w:val="20"/>
                <w:szCs w:val="20"/>
                <w:color w:val="auto"/>
              </w:rPr>
            </w:pPr>
            <w:r>
              <w:rPr>
                <w:rFonts w:ascii="Arial" w:cs="Arial" w:eastAsia="Arial" w:hAnsi="Arial"/>
                <w:sz w:val="18"/>
                <w:szCs w:val="18"/>
                <w:color w:val="auto"/>
              </w:rPr>
              <w:t>Item 14.</w:t>
            </w:r>
          </w:p>
        </w:tc>
        <w:tc>
          <w:tcPr>
            <w:tcW w:w="9120" w:type="dxa"/>
            <w:vAlign w:val="bottom"/>
          </w:tcPr>
          <w:p>
            <w:pPr>
              <w:ind w:left="140"/>
              <w:spacing w:after="0"/>
              <w:rPr>
                <w:sz w:val="20"/>
                <w:szCs w:val="20"/>
                <w:color w:val="auto"/>
              </w:rPr>
            </w:pPr>
            <w:r>
              <w:rPr>
                <w:rFonts w:ascii="Arial" w:cs="Arial" w:eastAsia="Arial" w:hAnsi="Arial"/>
                <w:sz w:val="18"/>
                <w:szCs w:val="18"/>
                <w:color w:val="auto"/>
              </w:rPr>
              <w:t>Principal Accounting Fees and Services</w:t>
            </w:r>
          </w:p>
        </w:tc>
        <w:tc>
          <w:tcPr>
            <w:tcW w:w="12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500"/>
        </w:trPr>
        <w:tc>
          <w:tcPr>
            <w:tcW w:w="920" w:type="dxa"/>
            <w:vAlign w:val="bottom"/>
          </w:tcPr>
          <w:p>
            <w:pPr>
              <w:spacing w:after="0"/>
              <w:rPr>
                <w:sz w:val="24"/>
                <w:szCs w:val="24"/>
                <w:color w:val="auto"/>
              </w:rPr>
            </w:pPr>
          </w:p>
        </w:tc>
        <w:tc>
          <w:tcPr>
            <w:tcW w:w="9120" w:type="dxa"/>
            <w:vAlign w:val="bottom"/>
          </w:tcPr>
          <w:p>
            <w:pPr>
              <w:jc w:val="center"/>
              <w:ind w:left="550"/>
              <w:spacing w:after="0"/>
              <w:rPr>
                <w:sz w:val="20"/>
                <w:szCs w:val="20"/>
                <w:color w:val="auto"/>
              </w:rPr>
            </w:pPr>
            <w:r>
              <w:rPr>
                <w:rFonts w:ascii="Arial" w:cs="Arial" w:eastAsia="Arial" w:hAnsi="Arial"/>
                <w:sz w:val="18"/>
                <w:szCs w:val="18"/>
                <w:b w:val="1"/>
                <w:bCs w:val="1"/>
                <w:color w:val="auto"/>
              </w:rPr>
              <w:t>PART IV</w:t>
            </w:r>
          </w:p>
        </w:tc>
        <w:tc>
          <w:tcPr>
            <w:tcW w:w="1200" w:type="dxa"/>
            <w:vAlign w:val="bottom"/>
          </w:tcPr>
          <w:p>
            <w:pPr>
              <w:spacing w:after="0"/>
              <w:rPr>
                <w:sz w:val="24"/>
                <w:szCs w:val="24"/>
                <w:color w:val="auto"/>
              </w:rPr>
            </w:pPr>
          </w:p>
        </w:tc>
      </w:tr>
      <w:tr>
        <w:trPr>
          <w:trHeight w:val="499"/>
        </w:trPr>
        <w:tc>
          <w:tcPr>
            <w:tcW w:w="920" w:type="dxa"/>
            <w:vAlign w:val="bottom"/>
          </w:tcPr>
          <w:p>
            <w:pPr>
              <w:ind w:left="20"/>
              <w:spacing w:after="0"/>
              <w:rPr>
                <w:sz w:val="20"/>
                <w:szCs w:val="20"/>
                <w:color w:val="auto"/>
              </w:rPr>
            </w:pPr>
            <w:r>
              <w:rPr>
                <w:rFonts w:ascii="Arial" w:cs="Arial" w:eastAsia="Arial" w:hAnsi="Arial"/>
                <w:sz w:val="18"/>
                <w:szCs w:val="18"/>
                <w:color w:val="auto"/>
              </w:rPr>
              <w:t>Item 15.</w:t>
            </w:r>
          </w:p>
        </w:tc>
        <w:tc>
          <w:tcPr>
            <w:tcW w:w="9120" w:type="dxa"/>
            <w:vAlign w:val="bottom"/>
          </w:tcPr>
          <w:p>
            <w:pPr>
              <w:ind w:left="140"/>
              <w:spacing w:after="0"/>
              <w:rPr>
                <w:sz w:val="20"/>
                <w:szCs w:val="20"/>
                <w:color w:val="auto"/>
              </w:rPr>
            </w:pPr>
            <w:r>
              <w:rPr>
                <w:rFonts w:ascii="Arial" w:cs="Arial" w:eastAsia="Arial" w:hAnsi="Arial"/>
                <w:sz w:val="18"/>
                <w:szCs w:val="18"/>
                <w:color w:val="auto"/>
              </w:rPr>
              <w:t>Exhibits, Financial Statement Schedules</w:t>
            </w:r>
          </w:p>
        </w:tc>
        <w:tc>
          <w:tcPr>
            <w:tcW w:w="12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920" w:type="dxa"/>
            <w:vAlign w:val="bottom"/>
          </w:tcPr>
          <w:p>
            <w:pPr>
              <w:ind w:left="20"/>
              <w:spacing w:after="0"/>
              <w:rPr>
                <w:sz w:val="20"/>
                <w:szCs w:val="20"/>
                <w:color w:val="auto"/>
              </w:rPr>
            </w:pPr>
            <w:r>
              <w:rPr>
                <w:rFonts w:ascii="Arial" w:cs="Arial" w:eastAsia="Arial" w:hAnsi="Arial"/>
                <w:sz w:val="18"/>
                <w:szCs w:val="18"/>
                <w:color w:val="auto"/>
              </w:rPr>
              <w:t>Item 16.</w:t>
            </w:r>
          </w:p>
        </w:tc>
        <w:tc>
          <w:tcPr>
            <w:tcW w:w="9120" w:type="dxa"/>
            <w:vAlign w:val="bottom"/>
          </w:tcPr>
          <w:p>
            <w:pPr>
              <w:ind w:left="140"/>
              <w:spacing w:after="0"/>
              <w:rPr>
                <w:sz w:val="20"/>
                <w:szCs w:val="20"/>
                <w:color w:val="auto"/>
              </w:rPr>
            </w:pPr>
            <w:r>
              <w:rPr>
                <w:rFonts w:ascii="Arial" w:cs="Arial" w:eastAsia="Arial" w:hAnsi="Arial"/>
                <w:sz w:val="18"/>
                <w:szCs w:val="18"/>
                <w:color w:val="auto"/>
              </w:rPr>
              <w:t>Form 10-K Summary</w:t>
            </w:r>
          </w:p>
        </w:tc>
        <w:tc>
          <w:tcPr>
            <w:tcW w:w="12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10040" w:type="dxa"/>
            <w:vAlign w:val="bottom"/>
            <w:gridSpan w:val="2"/>
          </w:tcPr>
          <w:p>
            <w:pPr>
              <w:ind w:left="20"/>
              <w:spacing w:after="0"/>
              <w:rPr>
                <w:sz w:val="20"/>
                <w:szCs w:val="20"/>
                <w:color w:val="auto"/>
              </w:rPr>
            </w:pPr>
            <w:r>
              <w:rPr>
                <w:rFonts w:ascii="Arial" w:cs="Arial" w:eastAsia="Arial" w:hAnsi="Arial"/>
                <w:sz w:val="18"/>
                <w:szCs w:val="18"/>
                <w:color w:val="auto"/>
              </w:rPr>
              <w:t>Financial Section</w:t>
            </w:r>
          </w:p>
        </w:tc>
        <w:tc>
          <w:tcPr>
            <w:tcW w:w="12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10040" w:type="dxa"/>
            <w:vAlign w:val="bottom"/>
            <w:gridSpan w:val="2"/>
          </w:tcPr>
          <w:p>
            <w:pPr>
              <w:ind w:left="20"/>
              <w:spacing w:after="0"/>
              <w:rPr>
                <w:sz w:val="20"/>
                <w:szCs w:val="20"/>
                <w:color w:val="auto"/>
              </w:rPr>
            </w:pPr>
            <w:r>
              <w:rPr>
                <w:rFonts w:ascii="Arial" w:cs="Arial" w:eastAsia="Arial" w:hAnsi="Arial"/>
                <w:sz w:val="18"/>
                <w:szCs w:val="18"/>
                <w:color w:val="auto"/>
              </w:rPr>
              <w:t>Index to Exhibits</w:t>
            </w:r>
          </w:p>
        </w:tc>
        <w:tc>
          <w:tcPr>
            <w:tcW w:w="120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29"/>
        </w:trPr>
        <w:tc>
          <w:tcPr>
            <w:tcW w:w="920" w:type="dxa"/>
            <w:vAlign w:val="bottom"/>
          </w:tcPr>
          <w:p>
            <w:pPr>
              <w:ind w:left="20"/>
              <w:spacing w:after="0"/>
              <w:rPr>
                <w:sz w:val="20"/>
                <w:szCs w:val="20"/>
                <w:color w:val="auto"/>
              </w:rPr>
            </w:pPr>
            <w:r>
              <w:rPr>
                <w:rFonts w:ascii="Arial" w:cs="Arial" w:eastAsia="Arial" w:hAnsi="Arial"/>
                <w:sz w:val="18"/>
                <w:szCs w:val="18"/>
                <w:color w:val="auto"/>
              </w:rPr>
              <w:t>Signatures</w:t>
            </w:r>
          </w:p>
        </w:tc>
        <w:tc>
          <w:tcPr>
            <w:tcW w:w="9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30"/>
        </w:trPr>
        <w:tc>
          <w:tcPr>
            <w:tcW w:w="10040" w:type="dxa"/>
            <w:vAlign w:val="bottom"/>
            <w:gridSpan w:val="2"/>
          </w:tcPr>
          <w:p>
            <w:pPr>
              <w:ind w:left="20"/>
              <w:spacing w:after="0"/>
              <w:rPr>
                <w:sz w:val="20"/>
                <w:szCs w:val="20"/>
                <w:color w:val="auto"/>
              </w:rPr>
            </w:pPr>
            <w:r>
              <w:rPr>
                <w:rFonts w:ascii="Arial" w:cs="Arial" w:eastAsia="Arial" w:hAnsi="Arial"/>
                <w:sz w:val="18"/>
                <w:szCs w:val="18"/>
                <w:color w:val="auto"/>
              </w:rPr>
              <w:t>Exhibits 31 and 32 — Certifications</w:t>
            </w:r>
          </w:p>
        </w:tc>
        <w:tc>
          <w:tcPr>
            <w:tcW w:w="1200" w:type="dxa"/>
            <w:vAlign w:val="bottom"/>
          </w:tcPr>
          <w:p>
            <w:pPr>
              <w:spacing w:after="0"/>
              <w:rPr>
                <w:sz w:val="20"/>
                <w:szCs w:val="20"/>
                <w:color w:val="auto"/>
              </w:rPr>
            </w:pPr>
          </w:p>
        </w:tc>
      </w:tr>
      <w:tr>
        <w:trPr>
          <w:trHeight w:val="1100"/>
        </w:trPr>
        <w:tc>
          <w:tcPr>
            <w:tcW w:w="920" w:type="dxa"/>
            <w:vAlign w:val="bottom"/>
            <w:tcBorders>
              <w:bottom w:val="single" w:sz="8" w:color="9A9A9A"/>
            </w:tcBorders>
          </w:tcPr>
          <w:p>
            <w:pPr>
              <w:spacing w:after="0"/>
              <w:rPr>
                <w:sz w:val="24"/>
                <w:szCs w:val="24"/>
                <w:color w:val="auto"/>
              </w:rPr>
            </w:pPr>
          </w:p>
        </w:tc>
        <w:tc>
          <w:tcPr>
            <w:tcW w:w="91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PART I</w:t>
      </w: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BUSINESS</w:t>
      </w:r>
    </w:p>
    <w:p>
      <w:pPr>
        <w:spacing w:after="0" w:line="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Exxon Mobil Corporation was incorporated in the State of New Jersey in 1882. Divisions and affiliated companies of ExxonMobil operate or market products in the United States and most other countries of the world. Our principal business involves exploration for, and production of, crude oil and natural gas; manufacture, trade, transport and sale of crude oil, natural gas, petroleum products, petrochemicals and a wide variety of specialty products; and pursuit of lower-emission business opportunities including carbon capture and storage, hydrogen and biofuels. Affiliates of ExxonMobil conduct extensive research programs in support of these businesses.</w:t>
      </w:r>
    </w:p>
    <w:p>
      <w:pPr>
        <w:spacing w:after="0" w:line="6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 xml:space="preserve">Exxon Mobil Corporation has several divisions and hundreds of affiliates, many with names that include </w:t>
      </w:r>
      <w:r>
        <w:rPr>
          <w:rFonts w:ascii="Arial" w:cs="Arial" w:eastAsia="Arial" w:hAnsi="Arial"/>
          <w:sz w:val="16"/>
          <w:szCs w:val="16"/>
          <w:i w:val="1"/>
          <w:iCs w:val="1"/>
          <w:color w:val="auto"/>
        </w:rPr>
        <w:t>ExxonMobil</w:t>
      </w:r>
      <w:r>
        <w:rPr>
          <w:rFonts w:ascii="Arial" w:cs="Arial" w:eastAsia="Arial" w:hAnsi="Arial"/>
          <w:sz w:val="16"/>
          <w:szCs w:val="16"/>
          <w:color w:val="auto"/>
        </w:rPr>
        <w:t xml:space="preserve">, </w:t>
      </w:r>
      <w:r>
        <w:rPr>
          <w:rFonts w:ascii="Arial" w:cs="Arial" w:eastAsia="Arial" w:hAnsi="Arial"/>
          <w:sz w:val="16"/>
          <w:szCs w:val="16"/>
          <w:i w:val="1"/>
          <w:iCs w:val="1"/>
          <w:color w:val="auto"/>
        </w:rPr>
        <w:t>Exxon</w:t>
      </w:r>
      <w:r>
        <w:rPr>
          <w:rFonts w:ascii="Arial" w:cs="Arial" w:eastAsia="Arial" w:hAnsi="Arial"/>
          <w:sz w:val="16"/>
          <w:szCs w:val="16"/>
          <w:color w:val="auto"/>
        </w:rPr>
        <w:t xml:space="preserve">, </w:t>
      </w:r>
      <w:r>
        <w:rPr>
          <w:rFonts w:ascii="Arial" w:cs="Arial" w:eastAsia="Arial" w:hAnsi="Arial"/>
          <w:sz w:val="16"/>
          <w:szCs w:val="16"/>
          <w:i w:val="1"/>
          <w:iCs w:val="1"/>
          <w:color w:val="auto"/>
        </w:rPr>
        <w:t>Esso, Mobil</w:t>
      </w:r>
      <w:r>
        <w:rPr>
          <w:rFonts w:ascii="Arial" w:cs="Arial" w:eastAsia="Arial" w:hAnsi="Arial"/>
          <w:sz w:val="16"/>
          <w:szCs w:val="16"/>
          <w:color w:val="auto"/>
        </w:rPr>
        <w:t xml:space="preserve"> or </w:t>
      </w:r>
      <w:r>
        <w:rPr>
          <w:rFonts w:ascii="Arial" w:cs="Arial" w:eastAsia="Arial" w:hAnsi="Arial"/>
          <w:sz w:val="16"/>
          <w:szCs w:val="16"/>
          <w:i w:val="1"/>
          <w:iCs w:val="1"/>
          <w:color w:val="auto"/>
        </w:rPr>
        <w:t>XTO</w:t>
      </w:r>
      <w:r>
        <w:rPr>
          <w:rFonts w:ascii="Arial" w:cs="Arial" w:eastAsia="Arial" w:hAnsi="Arial"/>
          <w:sz w:val="16"/>
          <w:szCs w:val="16"/>
          <w:color w:val="auto"/>
        </w:rPr>
        <w:t xml:space="preserve">. For convenience and simplicity, in this report the terms </w:t>
      </w:r>
      <w:r>
        <w:rPr>
          <w:rFonts w:ascii="Arial" w:cs="Arial" w:eastAsia="Arial" w:hAnsi="Arial"/>
          <w:sz w:val="16"/>
          <w:szCs w:val="16"/>
          <w:i w:val="1"/>
          <w:iCs w:val="1"/>
          <w:color w:val="auto"/>
        </w:rPr>
        <w:t>ExxonMobil, Exxon, Esso, Mobil</w:t>
      </w:r>
      <w:r>
        <w:rPr>
          <w:rFonts w:ascii="Arial" w:cs="Arial" w:eastAsia="Arial" w:hAnsi="Arial"/>
          <w:sz w:val="16"/>
          <w:szCs w:val="16"/>
          <w:color w:val="auto"/>
        </w:rPr>
        <w:t xml:space="preserve"> and </w:t>
      </w:r>
      <w:r>
        <w:rPr>
          <w:rFonts w:ascii="Arial" w:cs="Arial" w:eastAsia="Arial" w:hAnsi="Arial"/>
          <w:sz w:val="16"/>
          <w:szCs w:val="16"/>
          <w:i w:val="1"/>
          <w:iCs w:val="1"/>
          <w:color w:val="auto"/>
        </w:rPr>
        <w:t>XTO</w:t>
      </w:r>
      <w:r>
        <w:rPr>
          <w:rFonts w:ascii="Arial" w:cs="Arial" w:eastAsia="Arial" w:hAnsi="Arial"/>
          <w:sz w:val="16"/>
          <w:szCs w:val="16"/>
          <w:color w:val="auto"/>
        </w:rPr>
        <w:t xml:space="preserve">, as well as terms like </w:t>
      </w:r>
      <w:r>
        <w:rPr>
          <w:rFonts w:ascii="Arial" w:cs="Arial" w:eastAsia="Arial" w:hAnsi="Arial"/>
          <w:sz w:val="16"/>
          <w:szCs w:val="16"/>
          <w:i w:val="1"/>
          <w:iCs w:val="1"/>
          <w:color w:val="auto"/>
        </w:rPr>
        <w:t>Corporation</w:t>
      </w:r>
      <w:r>
        <w:rPr>
          <w:rFonts w:ascii="Arial" w:cs="Arial" w:eastAsia="Arial" w:hAnsi="Arial"/>
          <w:sz w:val="16"/>
          <w:szCs w:val="16"/>
          <w:color w:val="auto"/>
        </w:rPr>
        <w:t xml:space="preserve">, </w:t>
      </w:r>
      <w:r>
        <w:rPr>
          <w:rFonts w:ascii="Arial" w:cs="Arial" w:eastAsia="Arial" w:hAnsi="Arial"/>
          <w:sz w:val="16"/>
          <w:szCs w:val="16"/>
          <w:i w:val="1"/>
          <w:iCs w:val="1"/>
          <w:color w:val="auto"/>
        </w:rPr>
        <w:t>Company</w:t>
      </w:r>
      <w:r>
        <w:rPr>
          <w:rFonts w:ascii="Arial" w:cs="Arial" w:eastAsia="Arial" w:hAnsi="Arial"/>
          <w:sz w:val="16"/>
          <w:szCs w:val="16"/>
          <w:color w:val="auto"/>
        </w:rPr>
        <w:t xml:space="preserve">, </w:t>
      </w:r>
      <w:r>
        <w:rPr>
          <w:rFonts w:ascii="Arial" w:cs="Arial" w:eastAsia="Arial" w:hAnsi="Arial"/>
          <w:sz w:val="16"/>
          <w:szCs w:val="16"/>
          <w:i w:val="1"/>
          <w:iCs w:val="1"/>
          <w:color w:val="auto"/>
        </w:rPr>
        <w:t>our</w:t>
      </w:r>
      <w:r>
        <w:rPr>
          <w:rFonts w:ascii="Arial" w:cs="Arial" w:eastAsia="Arial" w:hAnsi="Arial"/>
          <w:sz w:val="16"/>
          <w:szCs w:val="16"/>
          <w:color w:val="auto"/>
        </w:rPr>
        <w:t xml:space="preserve">, </w:t>
      </w:r>
      <w:r>
        <w:rPr>
          <w:rFonts w:ascii="Arial" w:cs="Arial" w:eastAsia="Arial" w:hAnsi="Arial"/>
          <w:sz w:val="16"/>
          <w:szCs w:val="16"/>
          <w:i w:val="1"/>
          <w:iCs w:val="1"/>
          <w:color w:val="auto"/>
        </w:rPr>
        <w:t>we,</w:t>
      </w:r>
      <w:r>
        <w:rPr>
          <w:rFonts w:ascii="Arial" w:cs="Arial" w:eastAsia="Arial" w:hAnsi="Arial"/>
          <w:sz w:val="16"/>
          <w:szCs w:val="16"/>
          <w:color w:val="auto"/>
        </w:rPr>
        <w:t xml:space="preserve"> and </w:t>
      </w:r>
      <w:r>
        <w:rPr>
          <w:rFonts w:ascii="Arial" w:cs="Arial" w:eastAsia="Arial" w:hAnsi="Arial"/>
          <w:sz w:val="16"/>
          <w:szCs w:val="16"/>
          <w:i w:val="1"/>
          <w:iCs w:val="1"/>
          <w:color w:val="auto"/>
        </w:rPr>
        <w:t>its</w:t>
      </w:r>
      <w:r>
        <w:rPr>
          <w:rFonts w:ascii="Arial" w:cs="Arial" w:eastAsia="Arial" w:hAnsi="Arial"/>
          <w:sz w:val="16"/>
          <w:szCs w:val="16"/>
          <w:color w:val="auto"/>
        </w:rPr>
        <w:t>, are sometimes used as abbreviated references to specific affiliates or groups of affiliates. The precise meaning depends on the context in question.</w:t>
      </w:r>
    </w:p>
    <w:p>
      <w:pPr>
        <w:spacing w:after="0" w:line="2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energy and petrochemical industries are highly competitive, both within the industries and also with other industries in supplying the energy, fuel, and chemical needs of industrial and individual consumers. Certain industry participants, including ExxonMobil, are expanding investments in lower-emission energy and emission-reduction services and technologies. The Corporation competes with other firms in the sale or purchase of needed goods and services in many national and international markets and employs all methods of competition which are lawful and appropriate for such purposes.</w:t>
      </w:r>
    </w:p>
    <w:p>
      <w:pPr>
        <w:spacing w:after="0" w:line="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data and industry segment information for the Corporation are contained in the Financial Section of this report under the following: “Management's Discussion and Analysis of Financial Condition and Results of Operations: Business Results” and “Note 18: Disclosures about Segments and Related Information”. Information on oil and gas reserves is contained in the “Oil and Gas Reserves” part of the “Supplemental Information on Oil and Gas Exploration and Production Activities” portion of the Financial Section of this report.</w:t>
      </w:r>
    </w:p>
    <w:p>
      <w:pPr>
        <w:spacing w:after="0" w:line="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ExxonMobil has a long-standing commitment to the development of proprietary technology. We have a wide array of research programs designed to meet the needs identified in each of our business segments. ExxonMobil held over 8 thousand active patents worldwide at the end of 2021. For technology licensed to third parties, revenues totaled approximately $66 million in 2021. Although technology is an important contributor to the overall operations and results of our Company, the profitability of each business segment is not dependent on any individual patent, trade secret, trademark, license, franchise, or concession.</w:t>
      </w:r>
    </w:p>
    <w:p>
      <w:pPr>
        <w:spacing w:after="0" w:line="66"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ExxonMobil operates in a highly complex, competitive, and changing global energy business environment where decisions and risks play out over time horizons that are often decades in length. This long-term orientation underpins the Corporation's philosophy on talent development.</w:t>
      </w:r>
    </w:p>
    <w:p>
      <w:pPr>
        <w:spacing w:after="0" w:line="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Talent development begins with recruiting exceptional candidates and continues with individually planned experiences and training designed to facilitate broad development and a deep understanding of our business across the business cycle. Our career-oriented approach to talent development results in strong retention and an average length of service of 30 years for our career employees. Compensation, benefits, and workplace programs support the Corporation's talent management approach, and are designed to attract and retain employees for a career through compensation that is market competitive, long-term oriented, and highly differentiated by individual performance.</w:t>
      </w:r>
    </w:p>
    <w:p>
      <w:pPr>
        <w:spacing w:after="0" w:line="6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Over 60 percent of our global employee workforce is from outside the U.S., and over the past decade 39 percent of our global hires for management, professional and technical positions were female and 35 percent of our U.S. hires for management, professional and technical positions were minorities. With over 160 nationalities represented in the company, we encourage and respect diversity of thought, ideas, and perspective from our workforce. We consider and monitor diversity through all stages of employment, including recruitment, training, and development of our employees. We also work closely with the communities where we operate to identify and invest in initiatives that help support local needs, including local talent and skill development.</w:t>
      </w:r>
    </w:p>
    <w:p>
      <w:pPr>
        <w:spacing w:after="0" w:line="4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number of regular employees was 63 thousand, 72 thousand, and 75 thousand at years ended 2021, 2020, and 2019, respectively. Regular employees are defined as active executive, management, professional, technical, and wage employees who work full time or part time for the Corporation and are covered by the Corporation’s benefit plans and programs.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3" w:name="page4"/>
    <w:bookmarkEnd w:id="3"/>
    <w:p>
      <w:pPr>
        <w:jc w:val="both"/>
        <w:spacing w:after="0" w:line="287" w:lineRule="auto"/>
        <w:rPr>
          <w:sz w:val="20"/>
          <w:szCs w:val="20"/>
          <w:color w:val="auto"/>
        </w:rPr>
      </w:pPr>
      <w:r>
        <w:rPr>
          <w:rFonts w:ascii="Arial" w:cs="Arial" w:eastAsia="Arial" w:hAnsi="Arial"/>
          <w:sz w:val="16"/>
          <w:szCs w:val="16"/>
          <w:color w:val="auto"/>
        </w:rPr>
        <w:t>As discussed in item 1A. Risk Factors in this report, compliance with existing and potential future government regulations, including taxes, environmental regulations, and other government regulations and policies that directly or indirectly affect the production and sale of our products, may have material effects on the capital expenditures, earnings, and competitive position of ExxonMobil. With respect to the environment, throughout ExxonMobil’s businesses, new and ongoing measures are taken to prevent and minimize the impact of our operations on air, water, and ground, including, but not limited to, compliance with environmental regulations. These include a significant investment in refining infrastructure and technology to manufacture clean fuels, as well as projects to monitor and reduce nitrogen oxide, sulfur oxide and greenhouse gas emissions, and expenditures for asset retirement obligations. Using definitions and guidelines established by the American Petroleum Institute, ExxonMobil’s 2021 worldwide environmental expenditures for all such preventative and remediation steps, including ExxonMobil’s share of equity company expenditures, were $4.6 billion, of which $3.4 billion were included in expenses with the remainder in capital expenditures. The total cost for such activities is expected to increase to approximately $5.3 billion in 2022, with capital expenditures expected to account for approximately 30 percent of the total. Costs for 2023 are anticipated to be higher as the Low Carbon Solutions business matures and the Corporation progresses its emission-reduction plans.</w:t>
      </w:r>
    </w:p>
    <w:p>
      <w:pPr>
        <w:spacing w:after="0" w:line="5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Information concerning the source and availability of raw materials used in the Corporation’s business, the extent of seasonality in the business, the possibility of renegotiation of profits or termination of contracts at the election of governments, and risks attendant to foreign operations may be found in “Item 1A. Risk Factors” and “Item 2. Properties” in this report.</w:t>
      </w:r>
    </w:p>
    <w:p>
      <w:pPr>
        <w:spacing w:after="0" w:line="6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ExxonMobil maintains a website at exxonmobil.com. Our annual report on Form 10-K, quarterly reports on Form 10-Q, current reports on Form 8-K and any amendments to those reports filed or furnished pursuant to Section 13(a) of the Securities Exchange Act of 1934 are made available through our website as soon as reasonably practical after we electronically file or furnish the reports to the Securities and Exchange Commission (SEC). Also available on the Corporation’s website are the company’s Corporate Governance Guidelines, Code of Ethics and Business Conduct, and additional policies as well as the charters of the audit, compensation, and other committees of the Board of Directors. Information on our website is not incorporated into this report.</w:t>
      </w:r>
    </w:p>
    <w:p>
      <w:pPr>
        <w:spacing w:after="0" w:line="2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SEC maintains an internet site (http://www.sec.gov) that contains reports, proxy and information statements, and other information regarding issuers that file electronically with the SEC.</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1A. RISK FACTORS</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ExxonMobil’s financial and operating results are subject to a variety of risks inherent in the global oil, gas, and petrochemical businesses, and the pursuit of lower-emission business opportunities. Many of these risk factors are not within the company’s control and could adversely affect our business, our financial and operating results, or our financial condition. These risk factors include:</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Supply and Demand</w:t>
      </w:r>
    </w:p>
    <w:p>
      <w:pPr>
        <w:spacing w:after="0" w:line="6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oil, gas, and petrochemical businesses are fundamentally commodity businesses. This means ExxonMobil’s operations and earnings may be significantly affected by changes in oil, gas, and petrochemical prices and by changes in margins on refined products. Oil, gas, petrochemical, and product prices and margins in turn depend on local, regional, and global events or conditions that affect supply and demand for the relevant commodity or product. Any material decline in oil or natural gas prices could have a material adverse effect on certain of the company’s operations, especially in the Upstream segment, financial condition, and proved reserves. On the other hand, a material increase in oil or natural gas prices could have a material adverse effect on certain of the company’s operations, especially in the Downstream and Chemical segments.</w:t>
      </w:r>
    </w:p>
    <w:p>
      <w:pPr>
        <w:spacing w:after="0" w:line="1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b w:val="1"/>
          <w:bCs w:val="1"/>
          <w:color w:val="auto"/>
        </w:rPr>
        <w:t xml:space="preserve">Economic conditions. </w:t>
      </w:r>
      <w:r>
        <w:rPr>
          <w:rFonts w:ascii="Arial" w:cs="Arial" w:eastAsia="Arial" w:hAnsi="Arial"/>
          <w:sz w:val="16"/>
          <w:szCs w:val="16"/>
          <w:color w:val="auto"/>
        </w:rPr>
        <w:t>The demand for energy and petrochemicals is generally linked closely with broad-based economic activities and levels of</w:t>
      </w:r>
      <w:r>
        <w:rPr>
          <w:rFonts w:ascii="Arial" w:cs="Arial" w:eastAsia="Arial" w:hAnsi="Arial"/>
          <w:sz w:val="16"/>
          <w:szCs w:val="16"/>
          <w:b w:val="1"/>
          <w:bCs w:val="1"/>
          <w:color w:val="auto"/>
        </w:rPr>
        <w:t xml:space="preserve"> </w:t>
      </w:r>
      <w:r>
        <w:rPr>
          <w:rFonts w:ascii="Arial" w:cs="Arial" w:eastAsia="Arial" w:hAnsi="Arial"/>
          <w:sz w:val="16"/>
          <w:szCs w:val="16"/>
          <w:color w:val="auto"/>
        </w:rPr>
        <w:t>prosperity. The occurrence of recessions or other periods of low or negative economic growth will typically have a direct adverse impact on our results. Other factors that affect general economic conditions in the world or in a major region, such as changes in population growth rates, periods of civil unrest, government regulation or austerity programs, trade tariffs or broader breakdowns in global trade, security or public health issues and responses, or currency exchange rate fluctuations, can also impact the demand for energy and petrochemicals. Sovereign debt downgrades, defaults, inability to access debt markets due to credit or legal constraints, liquidity crises, the breakup or restructuring of fiscal, monetary, or political systems such as the European Union, and other events or conditions that impair the functioning of financial markets and institutions also pose risks to ExxonMobil, including risks to the safety of our financial assets and to the ability of our partners and customers to fulfill their commitments to ExxonMobil.</w:t>
      </w:r>
    </w:p>
    <w:p>
      <w:pPr>
        <w:spacing w:after="0" w:line="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COVID-19. </w:t>
      </w:r>
      <w:r>
        <w:rPr>
          <w:rFonts w:ascii="Arial" w:cs="Arial" w:eastAsia="Arial" w:hAnsi="Arial"/>
          <w:sz w:val="17"/>
          <w:szCs w:val="17"/>
          <w:color w:val="auto"/>
        </w:rPr>
        <w:t>The initial phase of the COVID-19 pandemic caused conditions of demand reduction and oversupply to develop rapidly and resulted in</w:t>
      </w:r>
      <w:r>
        <w:rPr>
          <w:rFonts w:ascii="Arial" w:cs="Arial" w:eastAsia="Arial" w:hAnsi="Arial"/>
          <w:sz w:val="17"/>
          <w:szCs w:val="17"/>
          <w:b w:val="1"/>
          <w:bCs w:val="1"/>
          <w:color w:val="auto"/>
        </w:rPr>
        <w:t xml:space="preserve"> </w:t>
      </w:r>
      <w:r>
        <w:rPr>
          <w:rFonts w:ascii="Arial" w:cs="Arial" w:eastAsia="Arial" w:hAnsi="Arial"/>
          <w:sz w:val="17"/>
          <w:szCs w:val="17"/>
          <w:color w:val="auto"/>
        </w:rPr>
        <w:t>significant decreases in commodity prices and margins. ExxonMobil’s future business results, including cash flows and financing needs, will be affected by the scope and severity of current and future COVID outbreaks; actions taken by governments and others to address the pandemic and the effects of those actions on national and global economies and markets; changes in consumer behavior that affect demand for our products; and the effectiveness of the Corporation’s own responsive actions to protect the safety and well-being of our people.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4" w:name="page5"/>
    <w:bookmarkEnd w:id="4"/>
    <w:p>
      <w:pPr>
        <w:jc w:val="both"/>
        <w:spacing w:after="0" w:line="295" w:lineRule="auto"/>
        <w:rPr>
          <w:sz w:val="20"/>
          <w:szCs w:val="20"/>
          <w:color w:val="auto"/>
        </w:rPr>
      </w:pPr>
      <w:r>
        <w:rPr>
          <w:rFonts w:ascii="Arial" w:cs="Arial" w:eastAsia="Arial" w:hAnsi="Arial"/>
          <w:sz w:val="16"/>
          <w:szCs w:val="16"/>
          <w:b w:val="1"/>
          <w:bCs w:val="1"/>
          <w:color w:val="auto"/>
        </w:rPr>
        <w:t xml:space="preserve">Other demand-related factors. </w:t>
      </w:r>
      <w:r>
        <w:rPr>
          <w:rFonts w:ascii="Arial" w:cs="Arial" w:eastAsia="Arial" w:hAnsi="Arial"/>
          <w:sz w:val="16"/>
          <w:szCs w:val="16"/>
          <w:color w:val="auto"/>
        </w:rPr>
        <w:t>Other factors that may affect the demand for oil, gas, and petrochemicals, and therefore impact our results, include</w:t>
      </w:r>
      <w:r>
        <w:rPr>
          <w:rFonts w:ascii="Arial" w:cs="Arial" w:eastAsia="Arial" w:hAnsi="Arial"/>
          <w:sz w:val="16"/>
          <w:szCs w:val="16"/>
          <w:b w:val="1"/>
          <w:bCs w:val="1"/>
          <w:color w:val="auto"/>
        </w:rPr>
        <w:t xml:space="preserve"> </w:t>
      </w:r>
      <w:r>
        <w:rPr>
          <w:rFonts w:ascii="Arial" w:cs="Arial" w:eastAsia="Arial" w:hAnsi="Arial"/>
          <w:sz w:val="16"/>
          <w:szCs w:val="16"/>
          <w:color w:val="auto"/>
        </w:rPr>
        <w:t>technological improvements in energy efficiency; seasonal weather patterns; increased competitiveness of, or government policy support for, alternative energy sources; changes in technology that alter fuel choices, such as technological advances in energy storage that make wind and solar more competitive for power generation; changes in consumer preferences for our products, including consumer demand for alternative fueled or electric transportation or alternatives to plastic products; and broad-based changes in personal income levels. See also “Climate Change and the Energy Transition” below.</w:t>
      </w:r>
    </w:p>
    <w:p>
      <w:pPr>
        <w:spacing w:after="0" w:line="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color w:val="auto"/>
        </w:rPr>
        <w:t xml:space="preserve">Other supply-related factors. </w:t>
      </w:r>
      <w:r>
        <w:rPr>
          <w:rFonts w:ascii="Arial" w:cs="Arial" w:eastAsia="Arial" w:hAnsi="Arial"/>
          <w:sz w:val="17"/>
          <w:szCs w:val="17"/>
          <w:color w:val="auto"/>
        </w:rPr>
        <w:t>Commodity prices and margins also vary depending on a number of factors affecting supply. For example, increased supply</w:t>
      </w:r>
      <w:r>
        <w:rPr>
          <w:rFonts w:ascii="Arial" w:cs="Arial" w:eastAsia="Arial" w:hAnsi="Arial"/>
          <w:sz w:val="17"/>
          <w:szCs w:val="17"/>
          <w:b w:val="1"/>
          <w:bCs w:val="1"/>
          <w:color w:val="auto"/>
        </w:rPr>
        <w:t xml:space="preserve"> </w:t>
      </w:r>
      <w:r>
        <w:rPr>
          <w:rFonts w:ascii="Arial" w:cs="Arial" w:eastAsia="Arial" w:hAnsi="Arial"/>
          <w:sz w:val="17"/>
          <w:szCs w:val="17"/>
          <w:color w:val="auto"/>
        </w:rPr>
        <w:t>from the development of new oil and gas supply sources and technologies to enhance recovery from existing sources tends to reduce commodity prices to the extent such supply increases are not offset by commensurate growth in demand. Similarly, increases in industry refining or petrochemical manufacturing capacity relative to demand tend to reduce margins on the affected products. World oil, gas, and petrochemical supply levels can also be affected by factors that reduce available supplies, such as the level of and adherence by participating countries to production quotas established by OPEC or "OPEC+" and other agreements among sovereigns, government policies, including actions intended to reduce greenhouse gas emissions, that restrict oil and gas production or increase associated costs, and the occurrence of wars, hostile actions, natural disasters, disruptions in competitors’ operations, logistics constraints or unexpected unavailability of distribution channels that may disrupt supplies. Technological change can also alter the relative costs for competitors to find, produce, and refine oil and gas and to manufacture petrochemicals.</w:t>
      </w:r>
    </w:p>
    <w:p>
      <w:pPr>
        <w:spacing w:after="0" w:line="1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Other market factors. </w:t>
      </w:r>
      <w:r>
        <w:rPr>
          <w:rFonts w:ascii="Arial" w:cs="Arial" w:eastAsia="Arial" w:hAnsi="Arial"/>
          <w:sz w:val="18"/>
          <w:szCs w:val="18"/>
          <w:color w:val="auto"/>
        </w:rPr>
        <w:t>ExxonMobil’s business results are also exposed to potential negative impacts due to changes in interest rates, inflation, currency</w:t>
      </w:r>
      <w:r>
        <w:rPr>
          <w:rFonts w:ascii="Arial" w:cs="Arial" w:eastAsia="Arial" w:hAnsi="Arial"/>
          <w:sz w:val="18"/>
          <w:szCs w:val="18"/>
          <w:b w:val="1"/>
          <w:bCs w:val="1"/>
          <w:color w:val="auto"/>
        </w:rPr>
        <w:t xml:space="preserve"> </w:t>
      </w:r>
      <w:r>
        <w:rPr>
          <w:rFonts w:ascii="Arial" w:cs="Arial" w:eastAsia="Arial" w:hAnsi="Arial"/>
          <w:sz w:val="18"/>
          <w:szCs w:val="18"/>
          <w:color w:val="auto"/>
        </w:rPr>
        <w:t>exchange rates, and other local or regional market conditions. Market factors may also result in losses from commodity derivatives and other instruments we use to hedge price exposures or for trading purposes.</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and Political Factors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ExxonMobil’s results can be adversely affected by political or regulatory developments affecting our operations.</w:t>
      </w:r>
    </w:p>
    <w:p>
      <w:pPr>
        <w:spacing w:after="0" w:line="5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Access limitations. </w:t>
      </w:r>
      <w:r>
        <w:rPr>
          <w:rFonts w:ascii="Arial" w:cs="Arial" w:eastAsia="Arial" w:hAnsi="Arial"/>
          <w:sz w:val="18"/>
          <w:szCs w:val="18"/>
          <w:color w:val="auto"/>
        </w:rPr>
        <w:t>A number of countries limit access to their oil and gas resources, including by restricting leasing or permitting activities, or may place</w:t>
      </w:r>
      <w:r>
        <w:rPr>
          <w:rFonts w:ascii="Arial" w:cs="Arial" w:eastAsia="Arial" w:hAnsi="Arial"/>
          <w:sz w:val="18"/>
          <w:szCs w:val="18"/>
          <w:b w:val="1"/>
          <w:bCs w:val="1"/>
          <w:color w:val="auto"/>
        </w:rPr>
        <w:t xml:space="preserve"> </w:t>
      </w:r>
      <w:r>
        <w:rPr>
          <w:rFonts w:ascii="Arial" w:cs="Arial" w:eastAsia="Arial" w:hAnsi="Arial"/>
          <w:sz w:val="18"/>
          <w:szCs w:val="18"/>
          <w:color w:val="auto"/>
        </w:rPr>
        <w:t>resources off-limits from development altogether. Restrictions on production of oil and gas could increase to the extent governments view such measures as a viable approach for pursuing national and global energy and climate policies. Restrictions on foreign investment in the oil and gas sector tend to increase in times of high commodity prices, when national governments may have less need of outside sources of private capital. Many countries also restrict the import or export of certain products based on point of origin.</w:t>
      </w:r>
    </w:p>
    <w:p>
      <w:pPr>
        <w:spacing w:after="0" w:line="21"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 xml:space="preserve">Restrictions on doing business. </w:t>
      </w:r>
      <w:r>
        <w:rPr>
          <w:rFonts w:ascii="Arial" w:cs="Arial" w:eastAsia="Arial" w:hAnsi="Arial"/>
          <w:sz w:val="17"/>
          <w:szCs w:val="17"/>
          <w:color w:val="auto"/>
        </w:rPr>
        <w:t>ExxonMobil is subject to laws and sanctions imposed by the United States or by other jurisdictions where we do business</w:t>
      </w:r>
      <w:r>
        <w:rPr>
          <w:rFonts w:ascii="Arial" w:cs="Arial" w:eastAsia="Arial" w:hAnsi="Arial"/>
          <w:sz w:val="17"/>
          <w:szCs w:val="17"/>
          <w:b w:val="1"/>
          <w:bCs w:val="1"/>
          <w:color w:val="auto"/>
        </w:rPr>
        <w:t xml:space="preserve"> </w:t>
      </w:r>
      <w:r>
        <w:rPr>
          <w:rFonts w:ascii="Arial" w:cs="Arial" w:eastAsia="Arial" w:hAnsi="Arial"/>
          <w:sz w:val="17"/>
          <w:szCs w:val="17"/>
          <w:color w:val="auto"/>
        </w:rPr>
        <w:t>that may prohibit ExxonMobil or certain of its affiliates from doing business in certain countries, or restricting the kind of business that may be conducted. Such restrictions may provide a competitive advantage to competitors who may not be subject to comparable restrictions.</w:t>
      </w:r>
    </w:p>
    <w:p>
      <w:pPr>
        <w:spacing w:after="0" w:line="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Lack of legal certainty. </w:t>
      </w:r>
      <w:r>
        <w:rPr>
          <w:rFonts w:ascii="Arial" w:cs="Arial" w:eastAsia="Arial" w:hAnsi="Arial"/>
          <w:sz w:val="18"/>
          <w:szCs w:val="18"/>
          <w:color w:val="auto"/>
        </w:rPr>
        <w:t>Some countries in which we do business lack well-developed legal systems, or have not yet adopted, or may be unable to</w:t>
      </w:r>
      <w:r>
        <w:rPr>
          <w:rFonts w:ascii="Arial" w:cs="Arial" w:eastAsia="Arial" w:hAnsi="Arial"/>
          <w:sz w:val="18"/>
          <w:szCs w:val="18"/>
          <w:b w:val="1"/>
          <w:bCs w:val="1"/>
          <w:color w:val="auto"/>
        </w:rPr>
        <w:t xml:space="preserve"> </w:t>
      </w:r>
      <w:r>
        <w:rPr>
          <w:rFonts w:ascii="Arial" w:cs="Arial" w:eastAsia="Arial" w:hAnsi="Arial"/>
          <w:sz w:val="18"/>
          <w:szCs w:val="18"/>
          <w:color w:val="auto"/>
        </w:rPr>
        <w:t>maintain, clear regulatory frameworks for oil and gas development. Lack of legal certainty exposes our operations to increased risk of adverse or unpredictable actions by government officials, and also makes it more difficult for us to enforce our contracts. In some cases these risks can be partially offset by agreements to arbitrate disputes in an international forum, but the adequacy of this remedy may still depend on the local legal system to enforce an award.</w:t>
      </w:r>
    </w:p>
    <w:p>
      <w:pPr>
        <w:spacing w:after="0" w:line="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color w:val="auto"/>
        </w:rPr>
        <w:t xml:space="preserve">Regulatory and litigation risks. </w:t>
      </w:r>
      <w:r>
        <w:rPr>
          <w:rFonts w:ascii="Arial" w:cs="Arial" w:eastAsia="Arial" w:hAnsi="Arial"/>
          <w:sz w:val="18"/>
          <w:szCs w:val="18"/>
          <w:color w:val="auto"/>
        </w:rPr>
        <w:t>Even in countries with well-developed legal systems where ExxonMobil does business, we remain exposed to changes in</w:t>
      </w:r>
      <w:r>
        <w:rPr>
          <w:rFonts w:ascii="Arial" w:cs="Arial" w:eastAsia="Arial" w:hAnsi="Arial"/>
          <w:sz w:val="18"/>
          <w:szCs w:val="18"/>
          <w:b w:val="1"/>
          <w:bCs w:val="1"/>
          <w:color w:val="auto"/>
        </w:rPr>
        <w:t xml:space="preserve"> </w:t>
      </w:r>
      <w:r>
        <w:rPr>
          <w:rFonts w:ascii="Arial" w:cs="Arial" w:eastAsia="Arial" w:hAnsi="Arial"/>
          <w:sz w:val="18"/>
          <w:szCs w:val="18"/>
          <w:color w:val="auto"/>
        </w:rPr>
        <w:t>law or interpretation of settled law (including changes that result from international treaties and accords) and changes in policy that could adversely affect our results, such as:</w:t>
      </w:r>
    </w:p>
    <w:p>
      <w:pPr>
        <w:spacing w:after="0" w:line="1"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increases in taxes, duties, or government royalty rates (including retroactive claims);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price controls;</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environmental regulations or other laws that increase our cost of compliance or reduce or delay available business opportunities (including changes in laws affecting offshore drilling operations, water use, methane emissions, hydraulic fracturing, or use of new or recycled plastics);</w:t>
      </w:r>
    </w:p>
    <w:p>
      <w:pPr>
        <w:spacing w:after="0" w:line="1" w:lineRule="exact"/>
        <w:rPr>
          <w:rFonts w:ascii="Arial" w:cs="Arial" w:eastAsia="Arial" w:hAnsi="Arial"/>
          <w:sz w:val="18"/>
          <w:szCs w:val="18"/>
          <w:color w:val="auto"/>
        </w:rPr>
      </w:pPr>
    </w:p>
    <w:p>
      <w:pPr>
        <w:ind w:left="660" w:hanging="328"/>
        <w:spacing w:after="0" w:line="281" w:lineRule="auto"/>
        <w:tabs>
          <w:tab w:leader="none" w:pos="655" w:val="left"/>
        </w:tabs>
        <w:numPr>
          <w:ilvl w:val="0"/>
          <w:numId w:val="3"/>
        </w:numPr>
        <w:rPr>
          <w:rFonts w:ascii="Arial" w:cs="Arial" w:eastAsia="Arial" w:hAnsi="Arial"/>
          <w:sz w:val="16"/>
          <w:szCs w:val="16"/>
          <w:color w:val="auto"/>
        </w:rPr>
      </w:pPr>
      <w:r>
        <w:rPr>
          <w:rFonts w:ascii="Arial" w:cs="Arial" w:eastAsia="Arial" w:hAnsi="Arial"/>
          <w:sz w:val="16"/>
          <w:szCs w:val="16"/>
          <w:color w:val="auto"/>
        </w:rPr>
        <w:t>actions by policy-makers, regulators, or other actors to delay or deny necessary licenses and permits, restrict the availability of oil and gas leases or the transportation of our products, or otherwise require changes in the company's business or strategy that could result in reduced returns;</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adoption of regulations mandating efficiency standards, the use of alternative fuels or uncompetitive fuel components;</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adoption of government payment transparency regulations that could require us to disclose competitively sensitive commercial information, or that could cause us to violate the non-disclosure laws of other countries; and</w:t>
      </w:r>
    </w:p>
    <w:p>
      <w:pPr>
        <w:ind w:left="660" w:right="20" w:hanging="328"/>
        <w:spacing w:after="0" w:line="26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government actions to cancel contracts, re-denominate the official currency, renounce or default on obligations, renegotiate terms unilaterally, or expropriate assets.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Legal remedies available to compensate us for expropriation or other takings may be inadequate.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5" w:name="page6"/>
    <w:bookmarkEnd w:id="5"/>
    <w:p>
      <w:pPr>
        <w:jc w:val="both"/>
        <w:spacing w:after="0" w:line="257" w:lineRule="auto"/>
        <w:rPr>
          <w:sz w:val="20"/>
          <w:szCs w:val="20"/>
          <w:color w:val="auto"/>
        </w:rPr>
      </w:pPr>
      <w:r>
        <w:rPr>
          <w:rFonts w:ascii="Arial" w:cs="Arial" w:eastAsia="Arial" w:hAnsi="Arial"/>
          <w:sz w:val="18"/>
          <w:szCs w:val="18"/>
          <w:color w:val="auto"/>
        </w:rPr>
        <w:t>We also may be adversely affected by the outcome of litigation, especially in countries such as the United States in which very large and unpredictable punitive damage awards may occur; by government enforcement proceedings alleging non-compliance with applicable laws or regulations; or by state and local government actors as well as private plaintiffs acting in parallel that attempt to use the legal system to promote public policy agendas (including seeking to reduce the production and sale of hydrocarbon products though litigation targeting the company or other industry participants), gain political notoriety, or obtain monetary awards from the company.</w:t>
      </w:r>
    </w:p>
    <w:p>
      <w:pPr>
        <w:spacing w:after="0" w:line="49"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Security concerns. </w:t>
      </w:r>
      <w:r>
        <w:rPr>
          <w:rFonts w:ascii="Arial" w:cs="Arial" w:eastAsia="Arial" w:hAnsi="Arial"/>
          <w:sz w:val="17"/>
          <w:szCs w:val="17"/>
          <w:color w:val="auto"/>
        </w:rPr>
        <w:t>Successful operation of particular facilities or projects may be disrupted by civil unrest, acts of sabotage or terrorism, cybersecurity</w:t>
      </w:r>
      <w:r>
        <w:rPr>
          <w:rFonts w:ascii="Arial" w:cs="Arial" w:eastAsia="Arial" w:hAnsi="Arial"/>
          <w:sz w:val="17"/>
          <w:szCs w:val="17"/>
          <w:b w:val="1"/>
          <w:bCs w:val="1"/>
          <w:color w:val="auto"/>
        </w:rPr>
        <w:t xml:space="preserve"> </w:t>
      </w:r>
      <w:r>
        <w:rPr>
          <w:rFonts w:ascii="Arial" w:cs="Arial" w:eastAsia="Arial" w:hAnsi="Arial"/>
          <w:sz w:val="17"/>
          <w:szCs w:val="17"/>
          <w:color w:val="auto"/>
        </w:rPr>
        <w:t>attacks, the application of national security laws or policies that result in restricting our ability to do business in a particular jurisdiction, and other local security concerns. Such concerns may require us to incur greater costs for security or to shut down operations for a period of time.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Climate Change and the Energy Transition</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b w:val="1"/>
          <w:bCs w:val="1"/>
          <w:color w:val="auto"/>
        </w:rPr>
        <w:t xml:space="preserve">Net-zero scenarios. </w:t>
      </w:r>
      <w:r>
        <w:rPr>
          <w:rFonts w:ascii="Arial" w:cs="Arial" w:eastAsia="Arial" w:hAnsi="Arial"/>
          <w:sz w:val="16"/>
          <w:szCs w:val="16"/>
          <w:color w:val="auto"/>
        </w:rPr>
        <w:t>Driven by concern over the risks of climate change, a number of countries have adopted, or are considering the adoption of, regulatory</w:t>
      </w:r>
      <w:r>
        <w:rPr>
          <w:rFonts w:ascii="Arial" w:cs="Arial" w:eastAsia="Arial" w:hAnsi="Arial"/>
          <w:sz w:val="16"/>
          <w:szCs w:val="16"/>
          <w:b w:val="1"/>
          <w:bCs w:val="1"/>
          <w:color w:val="auto"/>
        </w:rPr>
        <w:t xml:space="preserve"> </w:t>
      </w:r>
      <w:r>
        <w:rPr>
          <w:rFonts w:ascii="Arial" w:cs="Arial" w:eastAsia="Arial" w:hAnsi="Arial"/>
          <w:sz w:val="16"/>
          <w:szCs w:val="16"/>
          <w:color w:val="auto"/>
        </w:rPr>
        <w:t>frameworks to reduce greenhouse gas emissions including emissions from the production and use of oil and gas and their products. These actions are being taken both independently by national and regional governments and within the framework of United Nations Conference of the Parties summits under which many countries of the world have endorsed objectives to reduce the atmospheric concentration of CO2 over the coming decades, with an ambition ultimately to achieve “net-zero.” Net-zero means that emissions of greenhouse gases from human activities would be balanced by actions that remove such gases from the atmosphere. Expectations for transition of the world’s energy system to lower emission sources and ultimately net-zero derive from hypothetical scenarios that reflect many assumptions about the future and reflect substantial uncertainties. The company’s objective to lead in the energy transition, including the company’s announced ambition ultimately to achieve net-zero with respect to emissions from operations where ExxonMobil is the operator, carries risks that the transition, including underlying technologies, policies, and markets as discussed in more detail below, will not develop at the pace or in the manner expected by current net-zero scenarios. The success of our strategy for the energy transition will also depend on our ability to recognize key signposts of change in the global energy system on a timely basis, and our corresponding ability to direct investment to the technologies and businesses, at the appropriate stage of development, to best capitalize on our competitive strengths.</w:t>
      </w:r>
    </w:p>
    <w:p>
      <w:pPr>
        <w:spacing w:after="0" w:line="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color w:val="auto"/>
        </w:rPr>
        <w:t xml:space="preserve">Greenhouse gas restrictions. </w:t>
      </w:r>
      <w:r>
        <w:rPr>
          <w:rFonts w:ascii="Arial" w:cs="Arial" w:eastAsia="Arial" w:hAnsi="Arial"/>
          <w:sz w:val="16"/>
          <w:szCs w:val="16"/>
          <w:color w:val="auto"/>
        </w:rPr>
        <w:t>Government actions intended to reduce greenhouse gas emissions include adoption of cap and trade regimes, carbon taxes,</w:t>
      </w:r>
      <w:r>
        <w:rPr>
          <w:rFonts w:ascii="Arial" w:cs="Arial" w:eastAsia="Arial" w:hAnsi="Arial"/>
          <w:sz w:val="16"/>
          <w:szCs w:val="16"/>
          <w:b w:val="1"/>
          <w:bCs w:val="1"/>
          <w:color w:val="auto"/>
        </w:rPr>
        <w:t xml:space="preserve"> </w:t>
      </w:r>
      <w:r>
        <w:rPr>
          <w:rFonts w:ascii="Arial" w:cs="Arial" w:eastAsia="Arial" w:hAnsi="Arial"/>
          <w:sz w:val="16"/>
          <w:szCs w:val="16"/>
          <w:color w:val="auto"/>
        </w:rPr>
        <w:t>trade tariffs, minimum renewable usage requirements, restrictive permitting, increased mileage and other efficiency standards, mandates for sales of electric vehicles, mandates for use of specific fuels or technologies, and other incentives or mandates designed to support transitioning to lower-emission energy sources. Political and other actors and their agents also increasingly seek to advance climate change objectives indirectly, such as by seeking to reduce the availability or increase the cost of financing and investment in the oil and gas sector and taking actions intended to promote changes in business strategy for oil and gas companies. Depending on how policies are formulated and applied, such policies could negatively affect our investment returns, make our hydrocarbon-based products more expensive or less competitive, lengthen project implementation times, and reduce demand for hydrocarbons, as well as shift hydrocarbon demand toward relatively lower-carbon alternatives. Current and pending greenhouse gas regulations or policies may also increase our compliance costs, such as for monitoring or sequestering emissions.</w:t>
      </w:r>
    </w:p>
    <w:p>
      <w:pPr>
        <w:spacing w:after="0" w:line="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b w:val="1"/>
          <w:bCs w:val="1"/>
          <w:color w:val="auto"/>
        </w:rPr>
        <w:t xml:space="preserve">Technology and low carbon solutions. </w:t>
      </w:r>
      <w:r>
        <w:rPr>
          <w:rFonts w:ascii="Arial" w:cs="Arial" w:eastAsia="Arial" w:hAnsi="Arial"/>
          <w:sz w:val="16"/>
          <w:szCs w:val="16"/>
          <w:color w:val="auto"/>
        </w:rPr>
        <w:t>Achieving societal ambitions to reduce greenhouse gas emissions and ultimately achieve net-zero will require new</w:t>
      </w:r>
      <w:r>
        <w:rPr>
          <w:rFonts w:ascii="Arial" w:cs="Arial" w:eastAsia="Arial" w:hAnsi="Arial"/>
          <w:sz w:val="16"/>
          <w:szCs w:val="16"/>
          <w:b w:val="1"/>
          <w:bCs w:val="1"/>
          <w:color w:val="auto"/>
        </w:rPr>
        <w:t xml:space="preserve"> </w:t>
      </w:r>
      <w:r>
        <w:rPr>
          <w:rFonts w:ascii="Arial" w:cs="Arial" w:eastAsia="Arial" w:hAnsi="Arial"/>
          <w:sz w:val="16"/>
          <w:szCs w:val="16"/>
          <w:color w:val="auto"/>
        </w:rPr>
        <w:t>technologies to reduce the cost and increase the scalability of alternative energy sources, as well as technologies such as carbon capture and storage (CCS). CCS technologies, focused initially on capturing and sequestering CO2 emissions from high-intensity industrial activities, can assist in meeting society’s objective to mitigate atmospheric greenhouse gas levels while also helping ensure the availability of the reliable and affordable energy the world requires. ExxonMobil has established a Low Carbon Solutions (LCS) business unit to advance the development and deployment of these technologies and projects, including CCS, hydrogen and advanced biofuels, breakthrough energy efficiency processes, advanced energy-saving materials, and other technologies. The company’s efforts include both in-house research and development and collaborative efforts with leading universities as well as commercial partners involved in advanced lower-emission energy technologies. Our future results and ability to grow our LCS business and succeed through the energy transition will depend in part on the success of these research and collaboration efforts and on our ability to adapt and apply the strengths of our current business model to providing the energy products of the future in a cost-competitive manner.</w:t>
      </w:r>
    </w:p>
    <w:p>
      <w:pPr>
        <w:spacing w:after="0" w:line="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color w:val="auto"/>
        </w:rPr>
        <w:t xml:space="preserve">Policy and market development. </w:t>
      </w:r>
      <w:r>
        <w:rPr>
          <w:rFonts w:ascii="Arial" w:cs="Arial" w:eastAsia="Arial" w:hAnsi="Arial"/>
          <w:sz w:val="16"/>
          <w:szCs w:val="16"/>
          <w:color w:val="auto"/>
        </w:rPr>
        <w:t>The scale of the world’s energy system means that, in addition to developments in technology as discussed above, a</w:t>
      </w:r>
      <w:r>
        <w:rPr>
          <w:rFonts w:ascii="Arial" w:cs="Arial" w:eastAsia="Arial" w:hAnsi="Arial"/>
          <w:sz w:val="16"/>
          <w:szCs w:val="16"/>
          <w:b w:val="1"/>
          <w:bCs w:val="1"/>
          <w:color w:val="auto"/>
        </w:rPr>
        <w:t xml:space="preserve"> </w:t>
      </w:r>
      <w:r>
        <w:rPr>
          <w:rFonts w:ascii="Arial" w:cs="Arial" w:eastAsia="Arial" w:hAnsi="Arial"/>
          <w:sz w:val="16"/>
          <w:szCs w:val="16"/>
          <w:color w:val="auto"/>
        </w:rPr>
        <w:t>successful energy transition will require appropriate support from governments and private participants throughout the global economy. Our ability to develop and deploy CCS and other lower emission energy technologies at commercial scale, and the growth and future returns of LCS and other emerging businesses in which we invest, will depend in part on the continued development of supportive government policies and markets. Failure or delay of these policies or markets to materialize or be maintained could adversely impact these investments. Policy and other actions that result in restricting the availability of hydrocarbon products without commensurate reduction in demand may have unpredictable adverse effects, including increased commodity price volatility; periods of significantly higher commodity prices and resulting inflationary pressures; and local or regional energy shortages. Such effects in turn may depress economic growth or lead to rapid or conflicting shifts in policy by different actors, with resulting adverse effects on our businesses.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See also the discussion of “Supply and Demand,” “Government and Political Factors,” and “Operational and Other Factors” in this Item 1A.</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and Other Factors</w:t>
      </w:r>
    </w:p>
    <w:p>
      <w:pPr>
        <w:spacing w:after="0" w:line="67" w:lineRule="exact"/>
        <w:rPr>
          <w:sz w:val="20"/>
          <w:szCs w:val="20"/>
          <w:color w:val="auto"/>
        </w:rPr>
      </w:pPr>
    </w:p>
    <w:p>
      <w:pPr>
        <w:jc w:val="both"/>
        <w:ind w:right="20"/>
        <w:spacing w:after="0" w:line="285" w:lineRule="auto"/>
        <w:rPr>
          <w:sz w:val="20"/>
          <w:szCs w:val="20"/>
          <w:color w:val="auto"/>
        </w:rPr>
      </w:pPr>
      <w:r>
        <w:rPr>
          <w:rFonts w:ascii="Arial" w:cs="Arial" w:eastAsia="Arial" w:hAnsi="Arial"/>
          <w:sz w:val="17"/>
          <w:szCs w:val="17"/>
          <w:color w:val="auto"/>
        </w:rPr>
        <w:t>In addition to external economic and political factors, our future business results also depend on our ability to manage successfully those factors that are at least in part within our control. The extent to which we manage these factors will impact our performance relative to competition. For projects in which we are not the operator, we depend on the management effectiveness of one or more co-venturers whom we do not control.</w:t>
      </w:r>
    </w:p>
    <w:p>
      <w:pPr>
        <w:spacing w:after="0" w:line="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Exploration and development program. </w:t>
      </w:r>
      <w:r>
        <w:rPr>
          <w:rFonts w:ascii="Arial" w:cs="Arial" w:eastAsia="Arial" w:hAnsi="Arial"/>
          <w:sz w:val="18"/>
          <w:szCs w:val="18"/>
          <w:color w:val="auto"/>
        </w:rPr>
        <w:t>Our ability to maintain and grow our oil and gas production depends on the success of our exploration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efforts. Among other factors, we must continuously improve our ability to identify the most promising resource prospects and apply our project management expertise to bring discovered resources on line as scheduled and within budget.</w:t>
      </w:r>
    </w:p>
    <w:p>
      <w:pPr>
        <w:spacing w:after="0" w:line="1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color w:val="auto"/>
        </w:rPr>
        <w:t xml:space="preserve">Project and portfolio management. </w:t>
      </w:r>
      <w:r>
        <w:rPr>
          <w:rFonts w:ascii="Arial" w:cs="Arial" w:eastAsia="Arial" w:hAnsi="Arial"/>
          <w:sz w:val="17"/>
          <w:szCs w:val="17"/>
          <w:color w:val="auto"/>
        </w:rPr>
        <w:t>The long-term success of ExxonMobil’s Upstream, Downstream, and Chemical businesses, as well as the future</w:t>
      </w:r>
      <w:r>
        <w:rPr>
          <w:rFonts w:ascii="Arial" w:cs="Arial" w:eastAsia="Arial" w:hAnsi="Arial"/>
          <w:sz w:val="17"/>
          <w:szCs w:val="17"/>
          <w:b w:val="1"/>
          <w:bCs w:val="1"/>
          <w:color w:val="auto"/>
        </w:rPr>
        <w:t xml:space="preserve"> </w:t>
      </w:r>
      <w:r>
        <w:rPr>
          <w:rFonts w:ascii="Arial" w:cs="Arial" w:eastAsia="Arial" w:hAnsi="Arial"/>
          <w:sz w:val="17"/>
          <w:szCs w:val="17"/>
          <w:color w:val="auto"/>
        </w:rPr>
        <w:t>success of LCS and other emerging lower-emission investments, depends on complex, long-term, capital intensive projects. These projects in turn require a high degree of project management expertise to maximize efficiency. Specific factors that can affect the performance of major projects include our ability to: negotiate successfully with joint venturers, partners, governments, suppliers, customers, or others; model and optimize reservoir performance; develop markets for project outputs, whether through long-term contracts or the development of effective spot markets; manage changes in operating conditions and costs, including costs of third party equipment or services such as drilling rigs and shipping; prevent, to the extent possible, and respond effectively to unforeseen technical difficulties that could delay project start-up or cause unscheduled project downtime; and influence the performance of project operators where ExxonMobil does not perform that role. In addition to the effective management of individual projects, ExxonMobil’s success, including our ability to mitigate risk and provide attractive returns to shareholders, depends on our ability to successfully manage our overall portfolio, including diversification among types and locations of our projects, products produced, and strategies to divest assets. We may not be able to divest assets at a price or on the timeline we contemplate in our strategies. Additionally, we may retain certain liabilities following a divestment and could be held liable for past use or for different liabilities than anticipated.</w:t>
      </w:r>
    </w:p>
    <w:p>
      <w:pPr>
        <w:spacing w:after="0" w:line="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term “project” as used in this report can refer to a variety of different activities and does not necessarily have the same meaning as in any government payment transparency reports.</w:t>
      </w:r>
    </w:p>
    <w:p>
      <w:pPr>
        <w:spacing w:after="0" w:line="1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Operational efficiency. </w:t>
      </w:r>
      <w:r>
        <w:rPr>
          <w:rFonts w:ascii="Arial" w:cs="Arial" w:eastAsia="Arial" w:hAnsi="Arial"/>
          <w:sz w:val="18"/>
          <w:szCs w:val="18"/>
          <w:color w:val="auto"/>
        </w:rPr>
        <w:t>An important component of ExxonMobil’s competitive performance, especially given the commodity-based nature of many of our</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businesses, is our ability to operate efficiently, including our ability to manage expenses and improve production yields on an ongoing basis. This requires continuous management focus, including technology improvements, cost control, productivity enhancements, regular reappraisal of our asset portfolio, and the recruitment, development, and retention of high caliber employees.</w:t>
      </w:r>
    </w:p>
    <w:p>
      <w:pPr>
        <w:spacing w:after="0" w:line="3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Research and development and technological change. </w:t>
      </w:r>
      <w:r>
        <w:rPr>
          <w:rFonts w:ascii="Arial" w:cs="Arial" w:eastAsia="Arial" w:hAnsi="Arial"/>
          <w:sz w:val="18"/>
          <w:szCs w:val="18"/>
          <w:color w:val="auto"/>
        </w:rPr>
        <w:t>To maintain our competitive position, especially in light of the technological nature of our</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businesses and the need for continuous efficiency improvement, ExxonMobil’s technology, research, and development organizations must be successful and able to adapt to a changing market and policy environment, including developing technologies to help reduce greenhouse gas emissions. To remain competitive we must also continuously adapt and capture the benefits of new and emerging technologies, including successfully applying advances in the ability to process very large amounts of data to our businesses.</w:t>
      </w:r>
    </w:p>
    <w:p>
      <w:pPr>
        <w:spacing w:after="0" w:line="4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color w:val="auto"/>
        </w:rPr>
        <w:t xml:space="preserve">Safety, business controls, and environmental risk management. </w:t>
      </w:r>
      <w:r>
        <w:rPr>
          <w:rFonts w:ascii="Arial" w:cs="Arial" w:eastAsia="Arial" w:hAnsi="Arial"/>
          <w:sz w:val="17"/>
          <w:szCs w:val="17"/>
          <w:color w:val="auto"/>
        </w:rPr>
        <w:t>Our results depend on management’s ability to minimize the inherent risks of oil, gas,</w:t>
      </w:r>
      <w:r>
        <w:rPr>
          <w:rFonts w:ascii="Arial" w:cs="Arial" w:eastAsia="Arial" w:hAnsi="Arial"/>
          <w:sz w:val="17"/>
          <w:szCs w:val="17"/>
          <w:b w:val="1"/>
          <w:bCs w:val="1"/>
          <w:color w:val="auto"/>
        </w:rPr>
        <w:t xml:space="preserve"> </w:t>
      </w:r>
      <w:r>
        <w:rPr>
          <w:rFonts w:ascii="Arial" w:cs="Arial" w:eastAsia="Arial" w:hAnsi="Arial"/>
          <w:sz w:val="17"/>
          <w:szCs w:val="17"/>
          <w:color w:val="auto"/>
        </w:rPr>
        <w:t>and petrochemical operations, to control effectively our business activities, and to minimize the potential for human error. We apply rigorous management systems and continuous focus on workplace safety and avoiding spills or other adverse environmental events. For example, we work to minimize spills through a combined program of effective operations integrity management, ongoing upgrades, key equipment replacements, and comprehensive inspection and surveillance. Similarly, we are implementing cost-effective new technologies and adopting new operating practices to reduce air emissions, not only in response to government requirements but also to address community priorities. We employ a comprehensive enterprise risk management system to identify and manage risk across our businesses. We also maintain a disciplined framework of internal controls and apply a controls management system for monitoring compliance with this framework. Substantial liabilities and other adverse impacts could result if we do not timely identify and mitigate applicable risks, or if our management systems and controls do not function as intended.</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7" w:name="page8"/>
    <w:bookmarkEnd w:id="7"/>
    <w:p>
      <w:pPr>
        <w:jc w:val="both"/>
        <w:spacing w:after="0" w:line="269" w:lineRule="auto"/>
        <w:rPr>
          <w:sz w:val="20"/>
          <w:szCs w:val="20"/>
          <w:color w:val="auto"/>
        </w:rPr>
      </w:pPr>
      <w:r>
        <w:rPr>
          <w:rFonts w:ascii="Arial" w:cs="Arial" w:eastAsia="Arial" w:hAnsi="Arial"/>
          <w:sz w:val="17"/>
          <w:szCs w:val="17"/>
          <w:b w:val="1"/>
          <w:bCs w:val="1"/>
          <w:color w:val="auto"/>
        </w:rPr>
        <w:t xml:space="preserve">Cybersecurity. </w:t>
      </w:r>
      <w:r>
        <w:rPr>
          <w:rFonts w:ascii="Arial" w:cs="Arial" w:eastAsia="Arial" w:hAnsi="Arial"/>
          <w:sz w:val="17"/>
          <w:szCs w:val="17"/>
          <w:color w:val="auto"/>
        </w:rPr>
        <w:t>ExxonMobil is regularly subject to attempted cybersecurity disruptions from a variety of sources including state-sponsored actors.</w:t>
      </w:r>
      <w:r>
        <w:rPr>
          <w:rFonts w:ascii="Arial" w:cs="Arial" w:eastAsia="Arial" w:hAnsi="Arial"/>
          <w:sz w:val="17"/>
          <w:szCs w:val="17"/>
          <w:b w:val="1"/>
          <w:bCs w:val="1"/>
          <w:color w:val="auto"/>
        </w:rPr>
        <w:t xml:space="preserve"> </w:t>
      </w:r>
      <w:r>
        <w:rPr>
          <w:rFonts w:ascii="Arial" w:cs="Arial" w:eastAsia="Arial" w:hAnsi="Arial"/>
          <w:sz w:val="17"/>
          <w:szCs w:val="17"/>
          <w:color w:val="auto"/>
        </w:rPr>
        <w:t>ExxonMobil’s defensive preparedness includes multi-layered technological capabilities for prevention and detection of cybersecurity disruptions; non-technological measures such as threat information sharing with governmental and industry groups; internal training and awareness campaigns including routine testing of employee awareness and an emphasis on resiliency including business response and recovery. If the measures we are taking to protect against cybersecurity disruptions prove to be insufficient or if our proprietary data is otherwise not protected, ExxonMobil as well as our customers, employees, or third parties could be adversely affected. We are also exposed to potential harm from cybersecurity events that may affect the operations of third-parties, including our partners, suppliers, service providers (including providers of cloud-hosting services for our data or applications), and customers. Cybersecurity disruptions could cause physical harm to people or the environment; damage or destroy assets; compromise business systems; result in proprietary information being altered, lost, or stolen; result in employee, customer, or third-party information being compromised; or otherwise disrupt our business operations. We could incur significant costs to remedy the effects of a major cybersecurity disruption in addition to costs in connection with resulting regulatory actions, litigation, or reputational harm.</w:t>
      </w:r>
    </w:p>
    <w:p>
      <w:pPr>
        <w:spacing w:after="0" w:line="3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 xml:space="preserve">Preparedness. </w:t>
      </w:r>
      <w:r>
        <w:rPr>
          <w:rFonts w:ascii="Arial" w:cs="Arial" w:eastAsia="Arial" w:hAnsi="Arial"/>
          <w:sz w:val="18"/>
          <w:szCs w:val="18"/>
          <w:color w:val="auto"/>
        </w:rPr>
        <w:t>Our operations may be disrupted by severe weather events, natural disasters, human error, and similar events. For example, hurricanes may</w:t>
      </w:r>
      <w:r>
        <w:rPr>
          <w:rFonts w:ascii="Arial" w:cs="Arial" w:eastAsia="Arial" w:hAnsi="Arial"/>
          <w:sz w:val="18"/>
          <w:szCs w:val="18"/>
          <w:b w:val="1"/>
          <w:bCs w:val="1"/>
          <w:color w:val="auto"/>
        </w:rPr>
        <w:t xml:space="preserve"> </w:t>
      </w:r>
      <w:r>
        <w:rPr>
          <w:rFonts w:ascii="Arial" w:cs="Arial" w:eastAsia="Arial" w:hAnsi="Arial"/>
          <w:sz w:val="18"/>
          <w:szCs w:val="18"/>
          <w:color w:val="auto"/>
        </w:rPr>
        <w:t>damage our offshore production facilities or coastal refining and petrochemical plants in vulnerable areas. Our facilities are designed, constructed, and operated to withstand a variety of extreme climatic and other conditions, with safety factors built in to cover a number of engineering uncertainties, including those associated with wave, wind, and current intensity, marine ice flow patterns, permafrost stability, storm surge magnitude, temperature extremes, extreme rainfall events, and earthquakes. Our consideration of changing weather conditions and inclusion of safety factors in design covers the engineering uncertainties that climate change and other events may potentially introduce. Our ability to mitigate the adverse impacts of these events depends in part upon the effectiveness of our robust facility engineering as well as our rigorous disaster preparedness and response, and business continuity planning.</w:t>
      </w:r>
    </w:p>
    <w:p>
      <w:pPr>
        <w:spacing w:after="0" w:line="43"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 xml:space="preserve">Insurance limitations. </w:t>
      </w:r>
      <w:r>
        <w:rPr>
          <w:rFonts w:ascii="Arial" w:cs="Arial" w:eastAsia="Arial" w:hAnsi="Arial"/>
          <w:sz w:val="16"/>
          <w:szCs w:val="16"/>
          <w:color w:val="auto"/>
        </w:rPr>
        <w:t>The ability of the Corporation to insure against many of the risks it faces as described in this Item 1A is limited by the availability</w:t>
      </w:r>
      <w:r>
        <w:rPr>
          <w:rFonts w:ascii="Arial" w:cs="Arial" w:eastAsia="Arial" w:hAnsi="Arial"/>
          <w:sz w:val="16"/>
          <w:szCs w:val="16"/>
          <w:b w:val="1"/>
          <w:bCs w:val="1"/>
          <w:color w:val="auto"/>
        </w:rPr>
        <w:t xml:space="preserve"> </w:t>
      </w:r>
      <w:r>
        <w:rPr>
          <w:rFonts w:ascii="Arial" w:cs="Arial" w:eastAsia="Arial" w:hAnsi="Arial"/>
          <w:sz w:val="16"/>
          <w:szCs w:val="16"/>
          <w:color w:val="auto"/>
        </w:rPr>
        <w:t>and cost of coverage, which may not be economic, as well as the capacity of the applicable insurance markets, which may not be sufficient.</w:t>
      </w:r>
    </w:p>
    <w:p>
      <w:pPr>
        <w:spacing w:after="0" w:line="8" w:lineRule="exact"/>
        <w:rPr>
          <w:sz w:val="20"/>
          <w:szCs w:val="20"/>
          <w:color w:val="auto"/>
        </w:rPr>
      </w:pPr>
    </w:p>
    <w:p>
      <w:pPr>
        <w:jc w:val="both"/>
        <w:spacing w:after="0" w:line="292" w:lineRule="auto"/>
        <w:rPr>
          <w:sz w:val="20"/>
          <w:szCs w:val="20"/>
          <w:color w:val="auto"/>
        </w:rPr>
      </w:pPr>
      <w:r>
        <w:rPr>
          <w:rFonts w:ascii="Arial" w:cs="Arial" w:eastAsia="Arial" w:hAnsi="Arial"/>
          <w:sz w:val="16"/>
          <w:szCs w:val="16"/>
          <w:b w:val="1"/>
          <w:bCs w:val="1"/>
          <w:color w:val="auto"/>
        </w:rPr>
        <w:t xml:space="preserve">Competition. </w:t>
      </w:r>
      <w:r>
        <w:rPr>
          <w:rFonts w:ascii="Arial" w:cs="Arial" w:eastAsia="Arial" w:hAnsi="Arial"/>
          <w:sz w:val="16"/>
          <w:szCs w:val="16"/>
          <w:color w:val="auto"/>
        </w:rPr>
        <w:t>As noted in Item 1 above, the energy and petrochemical industries are highly competitive. We face competition not only from other private</w:t>
      </w:r>
      <w:r>
        <w:rPr>
          <w:rFonts w:ascii="Arial" w:cs="Arial" w:eastAsia="Arial" w:hAnsi="Arial"/>
          <w:sz w:val="16"/>
          <w:szCs w:val="16"/>
          <w:b w:val="1"/>
          <w:bCs w:val="1"/>
          <w:color w:val="auto"/>
        </w:rPr>
        <w:t xml:space="preserve"> </w:t>
      </w:r>
      <w:r>
        <w:rPr>
          <w:rFonts w:ascii="Arial" w:cs="Arial" w:eastAsia="Arial" w:hAnsi="Arial"/>
          <w:sz w:val="16"/>
          <w:szCs w:val="16"/>
          <w:color w:val="auto"/>
        </w:rPr>
        <w:t>firms, but also from state-owned companies that are increasingly competing for opportunities outside of their home countries and as partners with other private firms. In some cases, these state-owned companies may pursue opportunities in furtherance of strategic objectives of their government owners, with less focus on financial returns than companies owned by private shareholders, such as ExxonMobil. Technology and expertise provided by industry service companies may also enhance the competitiveness of firms that may not have the internal resources and capabilities of ExxonMobil or reduce the need for resource-owning countries to partner with private-sector oil and gas companies in order to monetize national resources. As described in more detail above, our hydrocarbon-based energy products are also subject to growing and, in many cases, government-supported competition from alternative energy sources.</w:t>
      </w:r>
    </w:p>
    <w:p>
      <w:pPr>
        <w:spacing w:after="0" w:line="5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Reputation. </w:t>
      </w:r>
      <w:r>
        <w:rPr>
          <w:rFonts w:ascii="Arial" w:cs="Arial" w:eastAsia="Arial" w:hAnsi="Arial"/>
          <w:sz w:val="18"/>
          <w:szCs w:val="18"/>
          <w:color w:val="auto"/>
        </w:rPr>
        <w:t>Our reputation is an important corporate asset. Factors that could have a negative impact on our reputation include an operating incident or</w:t>
      </w:r>
      <w:r>
        <w:rPr>
          <w:rFonts w:ascii="Arial" w:cs="Arial" w:eastAsia="Arial" w:hAnsi="Arial"/>
          <w:sz w:val="18"/>
          <w:szCs w:val="18"/>
          <w:b w:val="1"/>
          <w:bCs w:val="1"/>
          <w:color w:val="auto"/>
        </w:rPr>
        <w:t xml:space="preserve"> </w:t>
      </w:r>
      <w:r>
        <w:rPr>
          <w:rFonts w:ascii="Arial" w:cs="Arial" w:eastAsia="Arial" w:hAnsi="Arial"/>
          <w:sz w:val="18"/>
          <w:szCs w:val="18"/>
          <w:color w:val="auto"/>
        </w:rPr>
        <w:t>significant cybersecurity disruption; changes in consumer views concerning our products; a perception by investors or others that the Corporation is making insufficient progress with respect to our ambition to lead in the energy transition, or that pursuit of this ambition may result in allocation of capital to investments with reduced returns; and other adverse events such as those described in this Item 1A. Negative impacts on our reputation could in turn make it more difficult for us to compete successfully for new opportunities, obtain necessary regulatory approvals, obtain financing, attract talent, or could reduce consumer demand for our branded products. ExxonMobil’s reputation may also be harmed by events which negatively affect the image of our industry as a whole.</w:t>
      </w:r>
    </w:p>
    <w:p>
      <w:pPr>
        <w:spacing w:after="0" w:line="3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Projections, estimates, and descriptions of ExxonMobil’s plans and objectives included or incorporated in Items 1, 1A, 2, 7 and 7A of this report are forward-looking statements. Actual future results, including project completion dates, production rates, capital expenditures, costs, and business plans could differ materially due to, among other things, the factors discussed above and elsewhere in this report.</w:t>
      </w:r>
    </w:p>
    <w:p>
      <w:pPr>
        <w:spacing w:after="0" w:line="3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1B. UNRESOLVED STAFF COMMENTS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8" w:name="page9"/>
    <w:bookmarkEnd w:id="8"/>
    <w:p>
      <w:pPr>
        <w:spacing w:after="0"/>
        <w:rPr>
          <w:sz w:val="20"/>
          <w:szCs w:val="20"/>
          <w:color w:val="auto"/>
        </w:rPr>
      </w:pPr>
      <w:r>
        <w:rPr>
          <w:rFonts w:ascii="Arial" w:cs="Arial" w:eastAsia="Arial" w:hAnsi="Arial"/>
          <w:sz w:val="20"/>
          <w:szCs w:val="20"/>
          <w:b w:val="1"/>
          <w:bCs w:val="1"/>
          <w:color w:val="auto"/>
        </w:rPr>
        <w:t>ITEM 2. PROPERTIES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with regard to oil and gas producing activities follows: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Disclosure of Reserves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Summary of Oil and Gas Reserves at Year-End 2021</w:t>
      </w:r>
    </w:p>
    <w:p>
      <w:pPr>
        <w:spacing w:after="0" w:line="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table below summarizes the oil-equivalent proved reserves in each geographic area and by product type for consolidated subsidiaries and equity companies. Natural gas is converted to an oil-equivalent basis at six billion cubic feet per one million barrels. The Corporation has reported proved reserves on the basis of the average of the first-day-of-the-month price for each month during the last 12-month period. As a result of higher average prices in 2021, certain quantities of crude oil, bitumen, and natural gas that did not qualify as proved reserves in the prior year qualified as proved reserves at year-end 2021. Otherwise, no major discovery or other favorable or adverse event has occurred since December 31, 2021 that would cause a significant change in the estimated proved reserves as of that date.</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4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4"/>
              </w:rPr>
              <w:t>Oil-Equivalent</w:t>
            </w:r>
          </w:p>
        </w:tc>
      </w:tr>
      <w:tr>
        <w:trPr>
          <w:trHeight w:val="189"/>
        </w:trPr>
        <w:tc>
          <w:tcPr>
            <w:tcW w:w="3460" w:type="dxa"/>
            <w:vAlign w:val="bottom"/>
          </w:tcPr>
          <w:p>
            <w:pPr>
              <w:spacing w:after="0"/>
              <w:rPr>
                <w:sz w:val="16"/>
                <w:szCs w:val="16"/>
                <w:color w:val="auto"/>
              </w:rPr>
            </w:pPr>
          </w:p>
        </w:tc>
        <w:tc>
          <w:tcPr>
            <w:tcW w:w="1300" w:type="dxa"/>
            <w:vAlign w:val="bottom"/>
          </w:tcPr>
          <w:p>
            <w:pPr>
              <w:jc w:val="center"/>
              <w:ind w:right="19"/>
              <w:spacing w:after="0"/>
              <w:rPr>
                <w:sz w:val="20"/>
                <w:szCs w:val="20"/>
                <w:color w:val="auto"/>
              </w:rPr>
            </w:pPr>
            <w:r>
              <w:rPr>
                <w:rFonts w:ascii="Arial" w:cs="Arial" w:eastAsia="Arial" w:hAnsi="Arial"/>
                <w:sz w:val="16"/>
                <w:szCs w:val="16"/>
                <w:b w:val="1"/>
                <w:bCs w:val="1"/>
                <w:color w:val="auto"/>
                <w:w w:val="95"/>
              </w:rPr>
              <w:t>Crude</w:t>
            </w:r>
          </w:p>
        </w:tc>
        <w:tc>
          <w:tcPr>
            <w:tcW w:w="1280" w:type="dxa"/>
            <w:vAlign w:val="bottom"/>
          </w:tcPr>
          <w:p>
            <w:pPr>
              <w:jc w:val="center"/>
              <w:ind w:right="19"/>
              <w:spacing w:after="0"/>
              <w:rPr>
                <w:sz w:val="20"/>
                <w:szCs w:val="20"/>
                <w:color w:val="auto"/>
              </w:rPr>
            </w:pPr>
            <w:r>
              <w:rPr>
                <w:rFonts w:ascii="Arial" w:cs="Arial" w:eastAsia="Arial" w:hAnsi="Arial"/>
                <w:sz w:val="16"/>
                <w:szCs w:val="16"/>
                <w:b w:val="1"/>
                <w:bCs w:val="1"/>
                <w:color w:val="auto"/>
                <w:w w:val="95"/>
              </w:rPr>
              <w:t>Natural Gas</w:t>
            </w:r>
          </w:p>
        </w:tc>
        <w:tc>
          <w:tcPr>
            <w:tcW w:w="128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88"/>
              </w:rPr>
              <w:t>Synthetic</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7"/>
              </w:rPr>
              <w:t>Natural</w:t>
            </w: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4"/>
              </w:rPr>
              <w:t>Total</w:t>
            </w:r>
          </w:p>
        </w:tc>
      </w:tr>
      <w:tr>
        <w:trPr>
          <w:trHeight w:val="223"/>
        </w:trPr>
        <w:tc>
          <w:tcPr>
            <w:tcW w:w="34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Oil</w:t>
            </w:r>
          </w:p>
        </w:tc>
        <w:tc>
          <w:tcPr>
            <w:tcW w:w="128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94"/>
              </w:rPr>
              <w:t>Liquids</w:t>
            </w:r>
          </w:p>
        </w:tc>
        <w:tc>
          <w:tcPr>
            <w:tcW w:w="12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Bitumen</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Oil</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5"/>
              </w:rPr>
              <w:t>Gas</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All Products</w:t>
            </w:r>
          </w:p>
        </w:tc>
      </w:tr>
      <w:tr>
        <w:trPr>
          <w:trHeight w:val="210"/>
        </w:trPr>
        <w:tc>
          <w:tcPr>
            <w:tcW w:w="3460" w:type="dxa"/>
            <w:vAlign w:val="bottom"/>
          </w:tcPr>
          <w:p>
            <w:pPr>
              <w:spacing w:after="0"/>
              <w:rPr>
                <w:sz w:val="18"/>
                <w:szCs w:val="18"/>
                <w:color w:val="auto"/>
              </w:rPr>
            </w:pPr>
          </w:p>
        </w:tc>
        <w:tc>
          <w:tcPr>
            <w:tcW w:w="1300" w:type="dxa"/>
            <w:vAlign w:val="bottom"/>
          </w:tcPr>
          <w:p>
            <w:pPr>
              <w:jc w:val="center"/>
              <w:ind w:right="19"/>
              <w:spacing w:after="0"/>
              <w:rPr>
                <w:sz w:val="20"/>
                <w:szCs w:val="20"/>
                <w:color w:val="auto"/>
              </w:rPr>
            </w:pPr>
            <w:r>
              <w:rPr>
                <w:rFonts w:ascii="Arial" w:cs="Arial" w:eastAsia="Arial" w:hAnsi="Arial"/>
                <w:sz w:val="16"/>
                <w:szCs w:val="16"/>
                <w:i w:val="1"/>
                <w:iCs w:val="1"/>
                <w:color w:val="auto"/>
                <w:w w:val="97"/>
              </w:rPr>
              <w:t>(million bbls)</w:t>
            </w:r>
          </w:p>
        </w:tc>
        <w:tc>
          <w:tcPr>
            <w:tcW w:w="1280" w:type="dxa"/>
            <w:vAlign w:val="bottom"/>
          </w:tcPr>
          <w:p>
            <w:pPr>
              <w:jc w:val="center"/>
              <w:ind w:right="39"/>
              <w:spacing w:after="0"/>
              <w:rPr>
                <w:sz w:val="20"/>
                <w:szCs w:val="20"/>
                <w:color w:val="auto"/>
              </w:rPr>
            </w:pPr>
            <w:r>
              <w:rPr>
                <w:rFonts w:ascii="Arial" w:cs="Arial" w:eastAsia="Arial" w:hAnsi="Arial"/>
                <w:sz w:val="16"/>
                <w:szCs w:val="16"/>
                <w:i w:val="1"/>
                <w:iCs w:val="1"/>
                <w:color w:val="auto"/>
                <w:w w:val="97"/>
              </w:rPr>
              <w:t>(million bbls)</w:t>
            </w:r>
          </w:p>
        </w:tc>
        <w:tc>
          <w:tcPr>
            <w:tcW w:w="1280" w:type="dxa"/>
            <w:vAlign w:val="bottom"/>
          </w:tcPr>
          <w:p>
            <w:pPr>
              <w:jc w:val="right"/>
              <w:ind w:right="179"/>
              <w:spacing w:after="0"/>
              <w:rPr>
                <w:sz w:val="20"/>
                <w:szCs w:val="20"/>
                <w:color w:val="auto"/>
              </w:rPr>
            </w:pPr>
            <w:r>
              <w:rPr>
                <w:rFonts w:ascii="Arial" w:cs="Arial" w:eastAsia="Arial" w:hAnsi="Arial"/>
                <w:sz w:val="16"/>
                <w:szCs w:val="16"/>
                <w:i w:val="1"/>
                <w:iCs w:val="1"/>
                <w:color w:val="auto"/>
              </w:rPr>
              <w:t>(million bbls)</w:t>
            </w:r>
          </w:p>
        </w:tc>
        <w:tc>
          <w:tcPr>
            <w:tcW w:w="1280" w:type="dxa"/>
            <w:vAlign w:val="bottom"/>
          </w:tcPr>
          <w:p>
            <w:pPr>
              <w:jc w:val="center"/>
              <w:spacing w:after="0"/>
              <w:rPr>
                <w:sz w:val="20"/>
                <w:szCs w:val="20"/>
                <w:color w:val="auto"/>
              </w:rPr>
            </w:pPr>
            <w:r>
              <w:rPr>
                <w:rFonts w:ascii="Arial" w:cs="Arial" w:eastAsia="Arial" w:hAnsi="Arial"/>
                <w:sz w:val="16"/>
                <w:szCs w:val="16"/>
                <w:i w:val="1"/>
                <w:iCs w:val="1"/>
                <w:color w:val="auto"/>
                <w:w w:val="97"/>
              </w:rPr>
              <w:t>(million bbls)</w:t>
            </w:r>
          </w:p>
        </w:tc>
        <w:tc>
          <w:tcPr>
            <w:tcW w:w="1380" w:type="dxa"/>
            <w:vAlign w:val="bottom"/>
          </w:tcPr>
          <w:p>
            <w:pPr>
              <w:jc w:val="center"/>
              <w:spacing w:after="0"/>
              <w:rPr>
                <w:sz w:val="20"/>
                <w:szCs w:val="20"/>
                <w:color w:val="auto"/>
              </w:rPr>
            </w:pPr>
            <w:r>
              <w:rPr>
                <w:rFonts w:ascii="Arial" w:cs="Arial" w:eastAsia="Arial" w:hAnsi="Arial"/>
                <w:sz w:val="16"/>
                <w:szCs w:val="16"/>
                <w:i w:val="1"/>
                <w:iCs w:val="1"/>
                <w:color w:val="auto"/>
                <w:w w:val="99"/>
              </w:rPr>
              <w:t>(billion cubic ft)</w:t>
            </w:r>
          </w:p>
        </w:tc>
        <w:tc>
          <w:tcPr>
            <w:tcW w:w="1260" w:type="dxa"/>
            <w:vAlign w:val="bottom"/>
          </w:tcPr>
          <w:p>
            <w:pPr>
              <w:jc w:val="center"/>
              <w:spacing w:after="0"/>
              <w:rPr>
                <w:sz w:val="20"/>
                <w:szCs w:val="20"/>
                <w:color w:val="auto"/>
              </w:rPr>
            </w:pPr>
            <w:r>
              <w:rPr>
                <w:rFonts w:ascii="Arial" w:cs="Arial" w:eastAsia="Arial" w:hAnsi="Arial"/>
                <w:sz w:val="16"/>
                <w:szCs w:val="16"/>
                <w:i w:val="1"/>
                <w:iCs w:val="1"/>
                <w:color w:val="auto"/>
                <w:w w:val="97"/>
              </w:rPr>
              <w:t>(million bbls)</w:t>
            </w:r>
          </w:p>
        </w:tc>
      </w:tr>
      <w:tr>
        <w:trPr>
          <w:trHeight w:val="216"/>
        </w:trPr>
        <w:tc>
          <w:tcPr>
            <w:tcW w:w="3460" w:type="dxa"/>
            <w:vAlign w:val="bottom"/>
          </w:tcPr>
          <w:p>
            <w:pPr>
              <w:ind w:left="20"/>
              <w:spacing w:after="0"/>
              <w:rPr>
                <w:sz w:val="20"/>
                <w:szCs w:val="20"/>
                <w:color w:val="auto"/>
              </w:rPr>
            </w:pPr>
            <w:r>
              <w:rPr>
                <w:rFonts w:ascii="Arial" w:cs="Arial" w:eastAsia="Arial" w:hAnsi="Arial"/>
                <w:sz w:val="16"/>
                <w:szCs w:val="16"/>
                <w:b w:val="1"/>
                <w:bCs w:val="1"/>
                <w:color w:val="auto"/>
              </w:rPr>
              <w:t>Proved Reserves</w:t>
            </w:r>
          </w:p>
        </w:tc>
        <w:tc>
          <w:tcPr>
            <w:tcW w:w="1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3460" w:type="dxa"/>
            <w:vAlign w:val="bottom"/>
          </w:tcPr>
          <w:p>
            <w:pPr>
              <w:ind w:left="220"/>
              <w:spacing w:after="0"/>
              <w:rPr>
                <w:sz w:val="20"/>
                <w:szCs w:val="20"/>
                <w:color w:val="auto"/>
              </w:rPr>
            </w:pPr>
            <w:r>
              <w:rPr>
                <w:rFonts w:ascii="Arial" w:cs="Arial" w:eastAsia="Arial" w:hAnsi="Arial"/>
                <w:sz w:val="16"/>
                <w:szCs w:val="16"/>
                <w:b w:val="1"/>
                <w:bCs w:val="1"/>
                <w:color w:val="auto"/>
              </w:rPr>
              <w:t>Developed</w:t>
            </w:r>
          </w:p>
        </w:tc>
        <w:tc>
          <w:tcPr>
            <w:tcW w:w="1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3460" w:type="dxa"/>
            <w:vAlign w:val="bottom"/>
          </w:tcPr>
          <w:p>
            <w:pPr>
              <w:ind w:left="480"/>
              <w:spacing w:after="0"/>
              <w:rPr>
                <w:sz w:val="20"/>
                <w:szCs w:val="20"/>
                <w:color w:val="auto"/>
              </w:rPr>
            </w:pPr>
            <w:r>
              <w:rPr>
                <w:rFonts w:ascii="Arial" w:cs="Arial" w:eastAsia="Arial" w:hAnsi="Arial"/>
                <w:sz w:val="16"/>
                <w:szCs w:val="16"/>
                <w:b w:val="1"/>
                <w:bCs w:val="1"/>
                <w:color w:val="auto"/>
              </w:rPr>
              <w:t>Consolidated Subsidiaries</w:t>
            </w:r>
          </w:p>
        </w:tc>
        <w:tc>
          <w:tcPr>
            <w:tcW w:w="1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3460" w:type="dxa"/>
            <w:vAlign w:val="bottom"/>
          </w:tcPr>
          <w:p>
            <w:pPr>
              <w:ind w:left="680"/>
              <w:spacing w:after="0"/>
              <w:rPr>
                <w:sz w:val="20"/>
                <w:szCs w:val="20"/>
                <w:color w:val="auto"/>
              </w:rPr>
            </w:pPr>
            <w:r>
              <w:rPr>
                <w:rFonts w:ascii="Arial" w:cs="Arial" w:eastAsia="Arial" w:hAnsi="Arial"/>
                <w:sz w:val="16"/>
                <w:szCs w:val="16"/>
                <w:color w:val="auto"/>
              </w:rPr>
              <w:t>United States</w:t>
            </w: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1,170</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493</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11,287</w:t>
            </w:r>
          </w:p>
        </w:tc>
        <w:tc>
          <w:tcPr>
            <w:tcW w:w="1260" w:type="dxa"/>
            <w:vAlign w:val="bottom"/>
          </w:tcPr>
          <w:p>
            <w:pPr>
              <w:jc w:val="right"/>
              <w:spacing w:after="0"/>
              <w:rPr>
                <w:sz w:val="20"/>
                <w:szCs w:val="20"/>
                <w:color w:val="auto"/>
              </w:rPr>
            </w:pPr>
            <w:r>
              <w:rPr>
                <w:rFonts w:ascii="Arial" w:cs="Arial" w:eastAsia="Arial" w:hAnsi="Arial"/>
                <w:sz w:val="16"/>
                <w:szCs w:val="16"/>
                <w:color w:val="auto"/>
              </w:rPr>
              <w:t>3,544</w:t>
            </w:r>
          </w:p>
        </w:tc>
      </w:tr>
      <w:tr>
        <w:trPr>
          <w:trHeight w:val="216"/>
        </w:trPr>
        <w:tc>
          <w:tcPr>
            <w:tcW w:w="3460" w:type="dxa"/>
            <w:vAlign w:val="bottom"/>
          </w:tcPr>
          <w:p>
            <w:pPr>
              <w:ind w:left="680"/>
              <w:spacing w:after="0"/>
              <w:rPr>
                <w:sz w:val="20"/>
                <w:szCs w:val="20"/>
                <w:color w:val="auto"/>
              </w:rPr>
            </w:pPr>
            <w:r>
              <w:rPr>
                <w:rFonts w:ascii="Arial" w:cs="Arial" w:eastAsia="Arial" w:hAnsi="Arial"/>
                <w:sz w:val="16"/>
                <w:szCs w:val="16"/>
                <w:color w:val="auto"/>
              </w:rPr>
              <w:t xml:space="preserve">Canada/Other Americas </w:t>
            </w:r>
            <w:r>
              <w:rPr>
                <w:rFonts w:ascii="Arial" w:cs="Arial" w:eastAsia="Arial" w:hAnsi="Arial"/>
                <w:sz w:val="16"/>
                <w:szCs w:val="16"/>
                <w:i w:val="1"/>
                <w:iCs w:val="1"/>
                <w:color w:val="auto"/>
              </w:rPr>
              <w:t>(1)</w:t>
            </w: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262</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6</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2,635</w:t>
            </w: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326</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574</w:t>
            </w:r>
          </w:p>
        </w:tc>
        <w:tc>
          <w:tcPr>
            <w:tcW w:w="1260" w:type="dxa"/>
            <w:vAlign w:val="bottom"/>
          </w:tcPr>
          <w:p>
            <w:pPr>
              <w:jc w:val="right"/>
              <w:spacing w:after="0"/>
              <w:rPr>
                <w:sz w:val="20"/>
                <w:szCs w:val="20"/>
                <w:color w:val="auto"/>
              </w:rPr>
            </w:pPr>
            <w:r>
              <w:rPr>
                <w:rFonts w:ascii="Arial" w:cs="Arial" w:eastAsia="Arial" w:hAnsi="Arial"/>
                <w:sz w:val="16"/>
                <w:szCs w:val="16"/>
                <w:color w:val="auto"/>
              </w:rPr>
              <w:t>3,325</w:t>
            </w:r>
          </w:p>
        </w:tc>
      </w:tr>
      <w:tr>
        <w:trPr>
          <w:trHeight w:val="216"/>
        </w:trPr>
        <w:tc>
          <w:tcPr>
            <w:tcW w:w="3460" w:type="dxa"/>
            <w:vAlign w:val="bottom"/>
          </w:tcPr>
          <w:p>
            <w:pPr>
              <w:ind w:left="680"/>
              <w:spacing w:after="0"/>
              <w:rPr>
                <w:sz w:val="20"/>
                <w:szCs w:val="20"/>
                <w:color w:val="auto"/>
              </w:rPr>
            </w:pPr>
            <w:r>
              <w:rPr>
                <w:rFonts w:ascii="Arial" w:cs="Arial" w:eastAsia="Arial" w:hAnsi="Arial"/>
                <w:sz w:val="16"/>
                <w:szCs w:val="16"/>
                <w:color w:val="auto"/>
              </w:rPr>
              <w:t>Europe</w:t>
            </w: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3</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377</w:t>
            </w:r>
          </w:p>
        </w:tc>
        <w:tc>
          <w:tcPr>
            <w:tcW w:w="1260" w:type="dxa"/>
            <w:vAlign w:val="bottom"/>
          </w:tcPr>
          <w:p>
            <w:pPr>
              <w:jc w:val="right"/>
              <w:spacing w:after="0"/>
              <w:rPr>
                <w:sz w:val="20"/>
                <w:szCs w:val="20"/>
                <w:color w:val="auto"/>
              </w:rPr>
            </w:pPr>
            <w:r>
              <w:rPr>
                <w:rFonts w:ascii="Arial" w:cs="Arial" w:eastAsia="Arial" w:hAnsi="Arial"/>
                <w:sz w:val="16"/>
                <w:szCs w:val="16"/>
                <w:color w:val="auto"/>
              </w:rPr>
              <w:t>66</w:t>
            </w:r>
          </w:p>
        </w:tc>
      </w:tr>
      <w:tr>
        <w:trPr>
          <w:trHeight w:val="216"/>
        </w:trPr>
        <w:tc>
          <w:tcPr>
            <w:tcW w:w="3460" w:type="dxa"/>
            <w:vAlign w:val="bottom"/>
          </w:tcPr>
          <w:p>
            <w:pPr>
              <w:ind w:left="680"/>
              <w:spacing w:after="0"/>
              <w:rPr>
                <w:sz w:val="20"/>
                <w:szCs w:val="20"/>
                <w:color w:val="auto"/>
              </w:rPr>
            </w:pPr>
            <w:r>
              <w:rPr>
                <w:rFonts w:ascii="Arial" w:cs="Arial" w:eastAsia="Arial" w:hAnsi="Arial"/>
                <w:sz w:val="16"/>
                <w:szCs w:val="16"/>
                <w:color w:val="auto"/>
              </w:rPr>
              <w:t>Africa</w:t>
            </w: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304</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26</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315</w:t>
            </w:r>
          </w:p>
        </w:tc>
        <w:tc>
          <w:tcPr>
            <w:tcW w:w="1260" w:type="dxa"/>
            <w:vAlign w:val="bottom"/>
          </w:tcPr>
          <w:p>
            <w:pPr>
              <w:jc w:val="right"/>
              <w:spacing w:after="0"/>
              <w:rPr>
                <w:sz w:val="20"/>
                <w:szCs w:val="20"/>
                <w:color w:val="auto"/>
              </w:rPr>
            </w:pPr>
            <w:r>
              <w:rPr>
                <w:rFonts w:ascii="Arial" w:cs="Arial" w:eastAsia="Arial" w:hAnsi="Arial"/>
                <w:sz w:val="16"/>
                <w:szCs w:val="16"/>
                <w:color w:val="auto"/>
              </w:rPr>
              <w:t>382</w:t>
            </w:r>
          </w:p>
        </w:tc>
      </w:tr>
      <w:tr>
        <w:trPr>
          <w:trHeight w:val="216"/>
        </w:trPr>
        <w:tc>
          <w:tcPr>
            <w:tcW w:w="3460" w:type="dxa"/>
            <w:vAlign w:val="bottom"/>
          </w:tcPr>
          <w:p>
            <w:pPr>
              <w:ind w:left="680"/>
              <w:spacing w:after="0"/>
              <w:rPr>
                <w:sz w:val="20"/>
                <w:szCs w:val="20"/>
                <w:color w:val="auto"/>
              </w:rPr>
            </w:pPr>
            <w:r>
              <w:rPr>
                <w:rFonts w:ascii="Arial" w:cs="Arial" w:eastAsia="Arial" w:hAnsi="Arial"/>
                <w:sz w:val="16"/>
                <w:szCs w:val="16"/>
                <w:color w:val="auto"/>
              </w:rPr>
              <w:t>Asia</w:t>
            </w: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2,096</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58</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2,527</w:t>
            </w:r>
          </w:p>
        </w:tc>
        <w:tc>
          <w:tcPr>
            <w:tcW w:w="1260" w:type="dxa"/>
            <w:vAlign w:val="bottom"/>
          </w:tcPr>
          <w:p>
            <w:pPr>
              <w:jc w:val="right"/>
              <w:spacing w:after="0"/>
              <w:rPr>
                <w:sz w:val="20"/>
                <w:szCs w:val="20"/>
                <w:color w:val="auto"/>
              </w:rPr>
            </w:pPr>
            <w:r>
              <w:rPr>
                <w:rFonts w:ascii="Arial" w:cs="Arial" w:eastAsia="Arial" w:hAnsi="Arial"/>
                <w:sz w:val="16"/>
                <w:szCs w:val="16"/>
                <w:color w:val="auto"/>
              </w:rPr>
              <w:t>2,575</w:t>
            </w:r>
          </w:p>
        </w:tc>
      </w:tr>
      <w:tr>
        <w:trPr>
          <w:trHeight w:val="216"/>
        </w:trPr>
        <w:tc>
          <w:tcPr>
            <w:tcW w:w="3460" w:type="dxa"/>
            <w:vAlign w:val="bottom"/>
          </w:tcPr>
          <w:p>
            <w:pPr>
              <w:ind w:left="680"/>
              <w:spacing w:after="0"/>
              <w:rPr>
                <w:sz w:val="20"/>
                <w:szCs w:val="20"/>
                <w:color w:val="auto"/>
              </w:rPr>
            </w:pPr>
            <w:r>
              <w:rPr>
                <w:rFonts w:ascii="Arial" w:cs="Arial" w:eastAsia="Arial" w:hAnsi="Arial"/>
                <w:sz w:val="16"/>
                <w:szCs w:val="16"/>
                <w:color w:val="auto"/>
              </w:rPr>
              <w:t>Australia/Oceania</w:t>
            </w:r>
          </w:p>
        </w:tc>
        <w:tc>
          <w:tcPr>
            <w:tcW w:w="13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45</w:t>
            </w:r>
          </w:p>
        </w:tc>
        <w:tc>
          <w:tcPr>
            <w:tcW w:w="1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18</w:t>
            </w:r>
          </w:p>
        </w:tc>
        <w:tc>
          <w:tcPr>
            <w:tcW w:w="1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3,513</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648</w:t>
            </w:r>
          </w:p>
        </w:tc>
      </w:tr>
      <w:tr>
        <w:trPr>
          <w:trHeight w:val="209"/>
        </w:trPr>
        <w:tc>
          <w:tcPr>
            <w:tcW w:w="3460" w:type="dxa"/>
            <w:vAlign w:val="bottom"/>
          </w:tcPr>
          <w:p>
            <w:pPr>
              <w:ind w:left="880"/>
              <w:spacing w:after="0"/>
              <w:rPr>
                <w:sz w:val="20"/>
                <w:szCs w:val="20"/>
                <w:color w:val="auto"/>
              </w:rPr>
            </w:pPr>
            <w:r>
              <w:rPr>
                <w:rFonts w:ascii="Arial" w:cs="Arial" w:eastAsia="Arial" w:hAnsi="Arial"/>
                <w:sz w:val="16"/>
                <w:szCs w:val="16"/>
                <w:color w:val="auto"/>
              </w:rPr>
              <w:t>Total Consolidated</w:t>
            </w: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3,880</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601</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2,635</w:t>
            </w: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326</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18,593</w:t>
            </w:r>
          </w:p>
        </w:tc>
        <w:tc>
          <w:tcPr>
            <w:tcW w:w="1260" w:type="dxa"/>
            <w:vAlign w:val="bottom"/>
          </w:tcPr>
          <w:p>
            <w:pPr>
              <w:jc w:val="right"/>
              <w:spacing w:after="0"/>
              <w:rPr>
                <w:sz w:val="20"/>
                <w:szCs w:val="20"/>
                <w:color w:val="auto"/>
              </w:rPr>
            </w:pPr>
            <w:r>
              <w:rPr>
                <w:rFonts w:ascii="Arial" w:cs="Arial" w:eastAsia="Arial" w:hAnsi="Arial"/>
                <w:sz w:val="16"/>
                <w:szCs w:val="16"/>
                <w:color w:val="auto"/>
              </w:rPr>
              <w:t>10,540</w:t>
            </w:r>
          </w:p>
        </w:tc>
      </w:tr>
      <w:tr>
        <w:trPr>
          <w:trHeight w:val="324"/>
        </w:trPr>
        <w:tc>
          <w:tcPr>
            <w:tcW w:w="3460" w:type="dxa"/>
            <w:vAlign w:val="bottom"/>
          </w:tcPr>
          <w:p>
            <w:pPr>
              <w:ind w:left="480"/>
              <w:spacing w:after="0"/>
              <w:rPr>
                <w:sz w:val="20"/>
                <w:szCs w:val="20"/>
                <w:color w:val="auto"/>
              </w:rPr>
            </w:pPr>
            <w:r>
              <w:rPr>
                <w:rFonts w:ascii="Arial" w:cs="Arial" w:eastAsia="Arial" w:hAnsi="Arial"/>
                <w:sz w:val="16"/>
                <w:szCs w:val="16"/>
                <w:b w:val="1"/>
                <w:bCs w:val="1"/>
                <w:color w:val="auto"/>
              </w:rPr>
              <w:t>Equity Companies</w:t>
            </w:r>
          </w:p>
        </w:tc>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16"/>
        </w:trPr>
        <w:tc>
          <w:tcPr>
            <w:tcW w:w="3460" w:type="dxa"/>
            <w:vAlign w:val="bottom"/>
          </w:tcPr>
          <w:p>
            <w:pPr>
              <w:ind w:left="680"/>
              <w:spacing w:after="0"/>
              <w:rPr>
                <w:sz w:val="20"/>
                <w:szCs w:val="20"/>
                <w:color w:val="auto"/>
              </w:rPr>
            </w:pPr>
            <w:r>
              <w:rPr>
                <w:rFonts w:ascii="Arial" w:cs="Arial" w:eastAsia="Arial" w:hAnsi="Arial"/>
                <w:sz w:val="16"/>
                <w:szCs w:val="16"/>
                <w:color w:val="auto"/>
              </w:rPr>
              <w:t>United States</w:t>
            </w: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127</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6</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117</w:t>
            </w:r>
          </w:p>
        </w:tc>
        <w:tc>
          <w:tcPr>
            <w:tcW w:w="1260" w:type="dxa"/>
            <w:vAlign w:val="bottom"/>
          </w:tcPr>
          <w:p>
            <w:pPr>
              <w:jc w:val="right"/>
              <w:spacing w:after="0"/>
              <w:rPr>
                <w:sz w:val="20"/>
                <w:szCs w:val="20"/>
                <w:color w:val="auto"/>
              </w:rPr>
            </w:pPr>
            <w:r>
              <w:rPr>
                <w:rFonts w:ascii="Arial" w:cs="Arial" w:eastAsia="Arial" w:hAnsi="Arial"/>
                <w:sz w:val="16"/>
                <w:szCs w:val="16"/>
                <w:color w:val="auto"/>
              </w:rPr>
              <w:t>153</w:t>
            </w:r>
          </w:p>
        </w:tc>
      </w:tr>
      <w:tr>
        <w:trPr>
          <w:trHeight w:val="216"/>
        </w:trPr>
        <w:tc>
          <w:tcPr>
            <w:tcW w:w="3460" w:type="dxa"/>
            <w:vAlign w:val="bottom"/>
          </w:tcPr>
          <w:p>
            <w:pPr>
              <w:ind w:left="680"/>
              <w:spacing w:after="0"/>
              <w:rPr>
                <w:sz w:val="20"/>
                <w:szCs w:val="20"/>
                <w:color w:val="auto"/>
              </w:rPr>
            </w:pPr>
            <w:r>
              <w:rPr>
                <w:rFonts w:ascii="Arial" w:cs="Arial" w:eastAsia="Arial" w:hAnsi="Arial"/>
                <w:sz w:val="16"/>
                <w:szCs w:val="16"/>
                <w:color w:val="auto"/>
              </w:rPr>
              <w:t>Europe</w:t>
            </w: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10</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339</w:t>
            </w:r>
          </w:p>
        </w:tc>
        <w:tc>
          <w:tcPr>
            <w:tcW w:w="1260" w:type="dxa"/>
            <w:vAlign w:val="bottom"/>
          </w:tcPr>
          <w:p>
            <w:pPr>
              <w:jc w:val="right"/>
              <w:spacing w:after="0"/>
              <w:rPr>
                <w:sz w:val="20"/>
                <w:szCs w:val="20"/>
                <w:color w:val="auto"/>
              </w:rPr>
            </w:pPr>
            <w:r>
              <w:rPr>
                <w:rFonts w:ascii="Arial" w:cs="Arial" w:eastAsia="Arial" w:hAnsi="Arial"/>
                <w:sz w:val="16"/>
                <w:szCs w:val="16"/>
                <w:color w:val="auto"/>
              </w:rPr>
              <w:t>66</w:t>
            </w:r>
          </w:p>
        </w:tc>
      </w:tr>
      <w:tr>
        <w:trPr>
          <w:trHeight w:val="216"/>
        </w:trPr>
        <w:tc>
          <w:tcPr>
            <w:tcW w:w="3460" w:type="dxa"/>
            <w:vAlign w:val="bottom"/>
          </w:tcPr>
          <w:p>
            <w:pPr>
              <w:ind w:left="680"/>
              <w:spacing w:after="0"/>
              <w:rPr>
                <w:sz w:val="20"/>
                <w:szCs w:val="20"/>
                <w:color w:val="auto"/>
              </w:rPr>
            </w:pPr>
            <w:r>
              <w:rPr>
                <w:rFonts w:ascii="Arial" w:cs="Arial" w:eastAsia="Arial" w:hAnsi="Arial"/>
                <w:sz w:val="16"/>
                <w:szCs w:val="16"/>
                <w:color w:val="auto"/>
              </w:rPr>
              <w:t>Africa</w:t>
            </w: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3460" w:type="dxa"/>
            <w:vAlign w:val="bottom"/>
          </w:tcPr>
          <w:p>
            <w:pPr>
              <w:ind w:left="680"/>
              <w:spacing w:after="0"/>
              <w:rPr>
                <w:sz w:val="20"/>
                <w:szCs w:val="20"/>
                <w:color w:val="auto"/>
              </w:rPr>
            </w:pPr>
            <w:r>
              <w:rPr>
                <w:rFonts w:ascii="Arial" w:cs="Arial" w:eastAsia="Arial" w:hAnsi="Arial"/>
                <w:sz w:val="16"/>
                <w:szCs w:val="16"/>
                <w:color w:val="auto"/>
              </w:rPr>
              <w:t>Asia</w:t>
            </w:r>
          </w:p>
        </w:tc>
        <w:tc>
          <w:tcPr>
            <w:tcW w:w="13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322</w:t>
            </w:r>
          </w:p>
        </w:tc>
        <w:tc>
          <w:tcPr>
            <w:tcW w:w="1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152</w:t>
            </w:r>
          </w:p>
        </w:tc>
        <w:tc>
          <w:tcPr>
            <w:tcW w:w="1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6,017</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1,477</w:t>
            </w:r>
          </w:p>
        </w:tc>
      </w:tr>
      <w:tr>
        <w:trPr>
          <w:trHeight w:val="210"/>
        </w:trPr>
        <w:tc>
          <w:tcPr>
            <w:tcW w:w="3460" w:type="dxa"/>
            <w:vAlign w:val="bottom"/>
          </w:tcPr>
          <w:p>
            <w:pPr>
              <w:ind w:left="880"/>
              <w:spacing w:after="0"/>
              <w:rPr>
                <w:sz w:val="20"/>
                <w:szCs w:val="20"/>
                <w:color w:val="auto"/>
              </w:rPr>
            </w:pPr>
            <w:r>
              <w:rPr>
                <w:rFonts w:ascii="Arial" w:cs="Arial" w:eastAsia="Arial" w:hAnsi="Arial"/>
                <w:sz w:val="16"/>
                <w:szCs w:val="16"/>
                <w:color w:val="auto"/>
              </w:rPr>
              <w:t>Total Equity Company</w:t>
            </w:r>
          </w:p>
        </w:tc>
        <w:tc>
          <w:tcPr>
            <w:tcW w:w="13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459</w:t>
            </w:r>
          </w:p>
        </w:tc>
        <w:tc>
          <w:tcPr>
            <w:tcW w:w="1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158</w:t>
            </w:r>
          </w:p>
        </w:tc>
        <w:tc>
          <w:tcPr>
            <w:tcW w:w="1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6,473</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1,696</w:t>
            </w:r>
          </w:p>
        </w:tc>
      </w:tr>
      <w:tr>
        <w:trPr>
          <w:trHeight w:val="209"/>
        </w:trPr>
        <w:tc>
          <w:tcPr>
            <w:tcW w:w="3460" w:type="dxa"/>
            <w:vAlign w:val="bottom"/>
          </w:tcPr>
          <w:p>
            <w:pPr>
              <w:ind w:left="880"/>
              <w:spacing w:after="0"/>
              <w:rPr>
                <w:sz w:val="20"/>
                <w:szCs w:val="20"/>
                <w:color w:val="auto"/>
              </w:rPr>
            </w:pPr>
            <w:r>
              <w:rPr>
                <w:rFonts w:ascii="Arial" w:cs="Arial" w:eastAsia="Arial" w:hAnsi="Arial"/>
                <w:sz w:val="16"/>
                <w:szCs w:val="16"/>
                <w:color w:val="auto"/>
              </w:rPr>
              <w:t>Total Developed</w:t>
            </w: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4,339</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759</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2,635</w:t>
            </w: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326</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25,066</w:t>
            </w:r>
          </w:p>
        </w:tc>
        <w:tc>
          <w:tcPr>
            <w:tcW w:w="1260" w:type="dxa"/>
            <w:vAlign w:val="bottom"/>
          </w:tcPr>
          <w:p>
            <w:pPr>
              <w:jc w:val="right"/>
              <w:spacing w:after="0"/>
              <w:rPr>
                <w:sz w:val="20"/>
                <w:szCs w:val="20"/>
                <w:color w:val="auto"/>
              </w:rPr>
            </w:pPr>
            <w:r>
              <w:rPr>
                <w:rFonts w:ascii="Arial" w:cs="Arial" w:eastAsia="Arial" w:hAnsi="Arial"/>
                <w:sz w:val="16"/>
                <w:szCs w:val="16"/>
                <w:color w:val="auto"/>
              </w:rPr>
              <w:t>12,236</w:t>
            </w:r>
          </w:p>
        </w:tc>
      </w:tr>
      <w:tr>
        <w:trPr>
          <w:trHeight w:val="324"/>
        </w:trPr>
        <w:tc>
          <w:tcPr>
            <w:tcW w:w="3460" w:type="dxa"/>
            <w:vAlign w:val="bottom"/>
          </w:tcPr>
          <w:p>
            <w:pPr>
              <w:ind w:left="220"/>
              <w:spacing w:after="0"/>
              <w:rPr>
                <w:sz w:val="20"/>
                <w:szCs w:val="20"/>
                <w:color w:val="auto"/>
              </w:rPr>
            </w:pPr>
            <w:r>
              <w:rPr>
                <w:rFonts w:ascii="Arial" w:cs="Arial" w:eastAsia="Arial" w:hAnsi="Arial"/>
                <w:sz w:val="16"/>
                <w:szCs w:val="16"/>
                <w:b w:val="1"/>
                <w:bCs w:val="1"/>
                <w:color w:val="auto"/>
              </w:rPr>
              <w:t>Undeveloped</w:t>
            </w:r>
          </w:p>
        </w:tc>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16"/>
        </w:trPr>
        <w:tc>
          <w:tcPr>
            <w:tcW w:w="3460" w:type="dxa"/>
            <w:vAlign w:val="bottom"/>
          </w:tcPr>
          <w:p>
            <w:pPr>
              <w:ind w:left="480"/>
              <w:spacing w:after="0"/>
              <w:rPr>
                <w:sz w:val="20"/>
                <w:szCs w:val="20"/>
                <w:color w:val="auto"/>
              </w:rPr>
            </w:pPr>
            <w:r>
              <w:rPr>
                <w:rFonts w:ascii="Arial" w:cs="Arial" w:eastAsia="Arial" w:hAnsi="Arial"/>
                <w:sz w:val="16"/>
                <w:szCs w:val="16"/>
                <w:b w:val="1"/>
                <w:bCs w:val="1"/>
                <w:color w:val="auto"/>
              </w:rPr>
              <w:t>Consolidated Subsidiaries</w:t>
            </w:r>
          </w:p>
        </w:tc>
        <w:tc>
          <w:tcPr>
            <w:tcW w:w="1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3460" w:type="dxa"/>
            <w:vAlign w:val="bottom"/>
          </w:tcPr>
          <w:p>
            <w:pPr>
              <w:ind w:left="680"/>
              <w:spacing w:after="0"/>
              <w:rPr>
                <w:sz w:val="20"/>
                <w:szCs w:val="20"/>
                <w:color w:val="auto"/>
              </w:rPr>
            </w:pPr>
            <w:r>
              <w:rPr>
                <w:rFonts w:ascii="Arial" w:cs="Arial" w:eastAsia="Arial" w:hAnsi="Arial"/>
                <w:sz w:val="16"/>
                <w:szCs w:val="16"/>
                <w:color w:val="auto"/>
              </w:rPr>
              <w:t>United States</w:t>
            </w: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1,137</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484</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3,701</w:t>
            </w:r>
          </w:p>
        </w:tc>
        <w:tc>
          <w:tcPr>
            <w:tcW w:w="1260" w:type="dxa"/>
            <w:vAlign w:val="bottom"/>
          </w:tcPr>
          <w:p>
            <w:pPr>
              <w:jc w:val="right"/>
              <w:spacing w:after="0"/>
              <w:rPr>
                <w:sz w:val="20"/>
                <w:szCs w:val="20"/>
                <w:color w:val="auto"/>
              </w:rPr>
            </w:pPr>
            <w:r>
              <w:rPr>
                <w:rFonts w:ascii="Arial" w:cs="Arial" w:eastAsia="Arial" w:hAnsi="Arial"/>
                <w:sz w:val="16"/>
                <w:szCs w:val="16"/>
                <w:color w:val="auto"/>
              </w:rPr>
              <w:t>2,238</w:t>
            </w:r>
          </w:p>
        </w:tc>
      </w:tr>
      <w:tr>
        <w:trPr>
          <w:trHeight w:val="216"/>
        </w:trPr>
        <w:tc>
          <w:tcPr>
            <w:tcW w:w="3460" w:type="dxa"/>
            <w:vAlign w:val="bottom"/>
          </w:tcPr>
          <w:p>
            <w:pPr>
              <w:ind w:left="680"/>
              <w:spacing w:after="0"/>
              <w:rPr>
                <w:sz w:val="20"/>
                <w:szCs w:val="20"/>
                <w:color w:val="auto"/>
              </w:rPr>
            </w:pPr>
            <w:r>
              <w:rPr>
                <w:rFonts w:ascii="Arial" w:cs="Arial" w:eastAsia="Arial" w:hAnsi="Arial"/>
                <w:sz w:val="16"/>
                <w:szCs w:val="16"/>
                <w:color w:val="auto"/>
              </w:rPr>
              <w:t xml:space="preserve">Canada/Other Americas </w:t>
            </w:r>
            <w:r>
              <w:rPr>
                <w:rFonts w:ascii="Arial" w:cs="Arial" w:eastAsia="Arial" w:hAnsi="Arial"/>
                <w:sz w:val="16"/>
                <w:szCs w:val="16"/>
                <w:i w:val="1"/>
                <w:iCs w:val="1"/>
                <w:color w:val="auto"/>
              </w:rPr>
              <w:t>(1)</w:t>
            </w: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507</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1</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259</w:t>
            </w: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112</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345</w:t>
            </w:r>
          </w:p>
        </w:tc>
        <w:tc>
          <w:tcPr>
            <w:tcW w:w="1260" w:type="dxa"/>
            <w:vAlign w:val="bottom"/>
          </w:tcPr>
          <w:p>
            <w:pPr>
              <w:jc w:val="right"/>
              <w:spacing w:after="0"/>
              <w:rPr>
                <w:sz w:val="20"/>
                <w:szCs w:val="20"/>
                <w:color w:val="auto"/>
              </w:rPr>
            </w:pPr>
            <w:r>
              <w:rPr>
                <w:rFonts w:ascii="Arial" w:cs="Arial" w:eastAsia="Arial" w:hAnsi="Arial"/>
                <w:sz w:val="16"/>
                <w:szCs w:val="16"/>
                <w:color w:val="auto"/>
              </w:rPr>
              <w:t>937</w:t>
            </w:r>
          </w:p>
        </w:tc>
      </w:tr>
      <w:tr>
        <w:trPr>
          <w:trHeight w:val="216"/>
        </w:trPr>
        <w:tc>
          <w:tcPr>
            <w:tcW w:w="3460" w:type="dxa"/>
            <w:vAlign w:val="bottom"/>
          </w:tcPr>
          <w:p>
            <w:pPr>
              <w:ind w:left="680"/>
              <w:spacing w:after="0"/>
              <w:rPr>
                <w:sz w:val="20"/>
                <w:szCs w:val="20"/>
                <w:color w:val="auto"/>
              </w:rPr>
            </w:pPr>
            <w:r>
              <w:rPr>
                <w:rFonts w:ascii="Arial" w:cs="Arial" w:eastAsia="Arial" w:hAnsi="Arial"/>
                <w:sz w:val="16"/>
                <w:szCs w:val="16"/>
                <w:color w:val="auto"/>
              </w:rPr>
              <w:t>Europe</w:t>
            </w: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126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6"/>
        </w:trPr>
        <w:tc>
          <w:tcPr>
            <w:tcW w:w="3460" w:type="dxa"/>
            <w:vAlign w:val="bottom"/>
          </w:tcPr>
          <w:p>
            <w:pPr>
              <w:ind w:left="680"/>
              <w:spacing w:after="0"/>
              <w:rPr>
                <w:sz w:val="20"/>
                <w:szCs w:val="20"/>
                <w:color w:val="auto"/>
              </w:rPr>
            </w:pPr>
            <w:r>
              <w:rPr>
                <w:rFonts w:ascii="Arial" w:cs="Arial" w:eastAsia="Arial" w:hAnsi="Arial"/>
                <w:sz w:val="16"/>
                <w:szCs w:val="16"/>
                <w:color w:val="auto"/>
              </w:rPr>
              <w:t>Africa</w:t>
            </w: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31</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26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216"/>
        </w:trPr>
        <w:tc>
          <w:tcPr>
            <w:tcW w:w="3460" w:type="dxa"/>
            <w:vAlign w:val="bottom"/>
          </w:tcPr>
          <w:p>
            <w:pPr>
              <w:ind w:left="680"/>
              <w:spacing w:after="0"/>
              <w:rPr>
                <w:sz w:val="20"/>
                <w:szCs w:val="20"/>
                <w:color w:val="auto"/>
              </w:rPr>
            </w:pPr>
            <w:r>
              <w:rPr>
                <w:rFonts w:ascii="Arial" w:cs="Arial" w:eastAsia="Arial" w:hAnsi="Arial"/>
                <w:sz w:val="16"/>
                <w:szCs w:val="16"/>
                <w:color w:val="auto"/>
              </w:rPr>
              <w:t>Asia</w:t>
            </w: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941</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47</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1,166</w:t>
            </w:r>
          </w:p>
        </w:tc>
        <w:tc>
          <w:tcPr>
            <w:tcW w:w="1260" w:type="dxa"/>
            <w:vAlign w:val="bottom"/>
          </w:tcPr>
          <w:p>
            <w:pPr>
              <w:jc w:val="right"/>
              <w:spacing w:after="0"/>
              <w:rPr>
                <w:sz w:val="20"/>
                <w:szCs w:val="20"/>
                <w:color w:val="auto"/>
              </w:rPr>
            </w:pPr>
            <w:r>
              <w:rPr>
                <w:rFonts w:ascii="Arial" w:cs="Arial" w:eastAsia="Arial" w:hAnsi="Arial"/>
                <w:sz w:val="16"/>
                <w:szCs w:val="16"/>
                <w:color w:val="auto"/>
              </w:rPr>
              <w:t>1,182</w:t>
            </w:r>
          </w:p>
        </w:tc>
      </w:tr>
      <w:tr>
        <w:trPr>
          <w:trHeight w:val="216"/>
        </w:trPr>
        <w:tc>
          <w:tcPr>
            <w:tcW w:w="3460" w:type="dxa"/>
            <w:vAlign w:val="bottom"/>
          </w:tcPr>
          <w:p>
            <w:pPr>
              <w:ind w:left="680"/>
              <w:spacing w:after="0"/>
              <w:rPr>
                <w:sz w:val="20"/>
                <w:szCs w:val="20"/>
                <w:color w:val="auto"/>
              </w:rPr>
            </w:pPr>
            <w:r>
              <w:rPr>
                <w:rFonts w:ascii="Arial" w:cs="Arial" w:eastAsia="Arial" w:hAnsi="Arial"/>
                <w:sz w:val="16"/>
                <w:szCs w:val="16"/>
                <w:color w:val="auto"/>
              </w:rPr>
              <w:t>Australia/Oceania</w:t>
            </w:r>
          </w:p>
        </w:tc>
        <w:tc>
          <w:tcPr>
            <w:tcW w:w="13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29</w:t>
            </w:r>
          </w:p>
        </w:tc>
        <w:tc>
          <w:tcPr>
            <w:tcW w:w="1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w:t>
            </w:r>
          </w:p>
        </w:tc>
        <w:tc>
          <w:tcPr>
            <w:tcW w:w="1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2,850</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507</w:t>
            </w:r>
          </w:p>
        </w:tc>
      </w:tr>
      <w:tr>
        <w:trPr>
          <w:trHeight w:val="210"/>
        </w:trPr>
        <w:tc>
          <w:tcPr>
            <w:tcW w:w="3460" w:type="dxa"/>
            <w:vAlign w:val="bottom"/>
          </w:tcPr>
          <w:p>
            <w:pPr>
              <w:ind w:left="880"/>
              <w:spacing w:after="0"/>
              <w:rPr>
                <w:sz w:val="20"/>
                <w:szCs w:val="20"/>
                <w:color w:val="auto"/>
              </w:rPr>
            </w:pPr>
            <w:r>
              <w:rPr>
                <w:rFonts w:ascii="Arial" w:cs="Arial" w:eastAsia="Arial" w:hAnsi="Arial"/>
                <w:sz w:val="16"/>
                <w:szCs w:val="16"/>
                <w:color w:val="auto"/>
              </w:rPr>
              <w:t>Total Consolidated</w:t>
            </w: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2,645</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535</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259</w:t>
            </w: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112</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8,070</w:t>
            </w:r>
          </w:p>
        </w:tc>
        <w:tc>
          <w:tcPr>
            <w:tcW w:w="1260" w:type="dxa"/>
            <w:vAlign w:val="bottom"/>
          </w:tcPr>
          <w:p>
            <w:pPr>
              <w:jc w:val="right"/>
              <w:spacing w:after="0"/>
              <w:rPr>
                <w:sz w:val="20"/>
                <w:szCs w:val="20"/>
                <w:color w:val="auto"/>
              </w:rPr>
            </w:pPr>
            <w:r>
              <w:rPr>
                <w:rFonts w:ascii="Arial" w:cs="Arial" w:eastAsia="Arial" w:hAnsi="Arial"/>
                <w:sz w:val="16"/>
                <w:szCs w:val="16"/>
                <w:color w:val="auto"/>
              </w:rPr>
              <w:t>4,896</w:t>
            </w:r>
          </w:p>
        </w:tc>
      </w:tr>
      <w:tr>
        <w:trPr>
          <w:trHeight w:val="324"/>
        </w:trPr>
        <w:tc>
          <w:tcPr>
            <w:tcW w:w="3460" w:type="dxa"/>
            <w:vAlign w:val="bottom"/>
          </w:tcPr>
          <w:p>
            <w:pPr>
              <w:ind w:left="480"/>
              <w:spacing w:after="0"/>
              <w:rPr>
                <w:sz w:val="20"/>
                <w:szCs w:val="20"/>
                <w:color w:val="auto"/>
              </w:rPr>
            </w:pPr>
            <w:r>
              <w:rPr>
                <w:rFonts w:ascii="Arial" w:cs="Arial" w:eastAsia="Arial" w:hAnsi="Arial"/>
                <w:sz w:val="16"/>
                <w:szCs w:val="16"/>
                <w:b w:val="1"/>
                <w:bCs w:val="1"/>
                <w:color w:val="auto"/>
              </w:rPr>
              <w:t>Equity Companies</w:t>
            </w:r>
          </w:p>
        </w:tc>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16"/>
        </w:trPr>
        <w:tc>
          <w:tcPr>
            <w:tcW w:w="3460" w:type="dxa"/>
            <w:vAlign w:val="bottom"/>
          </w:tcPr>
          <w:p>
            <w:pPr>
              <w:ind w:left="680"/>
              <w:spacing w:after="0"/>
              <w:rPr>
                <w:sz w:val="20"/>
                <w:szCs w:val="20"/>
                <w:color w:val="auto"/>
              </w:rPr>
            </w:pPr>
            <w:r>
              <w:rPr>
                <w:rFonts w:ascii="Arial" w:cs="Arial" w:eastAsia="Arial" w:hAnsi="Arial"/>
                <w:sz w:val="16"/>
                <w:szCs w:val="16"/>
                <w:color w:val="auto"/>
              </w:rPr>
              <w:t>United States</w:t>
            </w: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28</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23</w:t>
            </w:r>
          </w:p>
        </w:tc>
        <w:tc>
          <w:tcPr>
            <w:tcW w:w="126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216"/>
        </w:trPr>
        <w:tc>
          <w:tcPr>
            <w:tcW w:w="3460" w:type="dxa"/>
            <w:vAlign w:val="bottom"/>
          </w:tcPr>
          <w:p>
            <w:pPr>
              <w:ind w:left="680"/>
              <w:spacing w:after="0"/>
              <w:rPr>
                <w:sz w:val="20"/>
                <w:szCs w:val="20"/>
                <w:color w:val="auto"/>
              </w:rPr>
            </w:pPr>
            <w:r>
              <w:rPr>
                <w:rFonts w:ascii="Arial" w:cs="Arial" w:eastAsia="Arial" w:hAnsi="Arial"/>
                <w:sz w:val="16"/>
                <w:szCs w:val="16"/>
                <w:color w:val="auto"/>
              </w:rPr>
              <w:t>Europe</w:t>
            </w: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69</w:t>
            </w:r>
          </w:p>
        </w:tc>
        <w:tc>
          <w:tcPr>
            <w:tcW w:w="126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16"/>
        </w:trPr>
        <w:tc>
          <w:tcPr>
            <w:tcW w:w="3460" w:type="dxa"/>
            <w:vAlign w:val="bottom"/>
          </w:tcPr>
          <w:p>
            <w:pPr>
              <w:ind w:left="680"/>
              <w:spacing w:after="0"/>
              <w:rPr>
                <w:sz w:val="20"/>
                <w:szCs w:val="20"/>
                <w:color w:val="auto"/>
              </w:rPr>
            </w:pPr>
            <w:r>
              <w:rPr>
                <w:rFonts w:ascii="Arial" w:cs="Arial" w:eastAsia="Arial" w:hAnsi="Arial"/>
                <w:sz w:val="16"/>
                <w:szCs w:val="16"/>
                <w:color w:val="auto"/>
              </w:rPr>
              <w:t>Africa</w:t>
            </w: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5</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806</w:t>
            </w:r>
          </w:p>
        </w:tc>
        <w:tc>
          <w:tcPr>
            <w:tcW w:w="1260" w:type="dxa"/>
            <w:vAlign w:val="bottom"/>
          </w:tcPr>
          <w:p>
            <w:pPr>
              <w:jc w:val="right"/>
              <w:spacing w:after="0"/>
              <w:rPr>
                <w:sz w:val="20"/>
                <w:szCs w:val="20"/>
                <w:color w:val="auto"/>
              </w:rPr>
            </w:pPr>
            <w:r>
              <w:rPr>
                <w:rFonts w:ascii="Arial" w:cs="Arial" w:eastAsia="Arial" w:hAnsi="Arial"/>
                <w:sz w:val="16"/>
                <w:szCs w:val="16"/>
                <w:color w:val="auto"/>
              </w:rPr>
              <w:t>139</w:t>
            </w:r>
          </w:p>
        </w:tc>
      </w:tr>
      <w:tr>
        <w:trPr>
          <w:trHeight w:val="216"/>
        </w:trPr>
        <w:tc>
          <w:tcPr>
            <w:tcW w:w="3460" w:type="dxa"/>
            <w:vAlign w:val="bottom"/>
          </w:tcPr>
          <w:p>
            <w:pPr>
              <w:ind w:left="680"/>
              <w:spacing w:after="0"/>
              <w:rPr>
                <w:sz w:val="20"/>
                <w:szCs w:val="20"/>
                <w:color w:val="auto"/>
              </w:rPr>
            </w:pPr>
            <w:r>
              <w:rPr>
                <w:rFonts w:ascii="Arial" w:cs="Arial" w:eastAsia="Arial" w:hAnsi="Arial"/>
                <w:sz w:val="16"/>
                <w:szCs w:val="16"/>
                <w:color w:val="auto"/>
              </w:rPr>
              <w:t>Asia</w:t>
            </w:r>
          </w:p>
        </w:tc>
        <w:tc>
          <w:tcPr>
            <w:tcW w:w="13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419</w:t>
            </w:r>
          </w:p>
        </w:tc>
        <w:tc>
          <w:tcPr>
            <w:tcW w:w="1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112</w:t>
            </w:r>
          </w:p>
        </w:tc>
        <w:tc>
          <w:tcPr>
            <w:tcW w:w="1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4,141</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1,221</w:t>
            </w:r>
          </w:p>
        </w:tc>
      </w:tr>
      <w:tr>
        <w:trPr>
          <w:trHeight w:val="210"/>
        </w:trPr>
        <w:tc>
          <w:tcPr>
            <w:tcW w:w="3460" w:type="dxa"/>
            <w:vAlign w:val="bottom"/>
          </w:tcPr>
          <w:p>
            <w:pPr>
              <w:ind w:left="880"/>
              <w:spacing w:after="0"/>
              <w:rPr>
                <w:sz w:val="20"/>
                <w:szCs w:val="20"/>
                <w:color w:val="auto"/>
              </w:rPr>
            </w:pPr>
            <w:r>
              <w:rPr>
                <w:rFonts w:ascii="Arial" w:cs="Arial" w:eastAsia="Arial" w:hAnsi="Arial"/>
                <w:sz w:val="16"/>
                <w:szCs w:val="16"/>
                <w:color w:val="auto"/>
              </w:rPr>
              <w:t>Total Equity Company</w:t>
            </w:r>
          </w:p>
        </w:tc>
        <w:tc>
          <w:tcPr>
            <w:tcW w:w="13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452</w:t>
            </w:r>
          </w:p>
        </w:tc>
        <w:tc>
          <w:tcPr>
            <w:tcW w:w="1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112</w:t>
            </w:r>
          </w:p>
        </w:tc>
        <w:tc>
          <w:tcPr>
            <w:tcW w:w="1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5,039</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1,404</w:t>
            </w:r>
          </w:p>
        </w:tc>
      </w:tr>
      <w:tr>
        <w:trPr>
          <w:trHeight w:val="209"/>
        </w:trPr>
        <w:tc>
          <w:tcPr>
            <w:tcW w:w="3460" w:type="dxa"/>
            <w:vAlign w:val="bottom"/>
          </w:tcPr>
          <w:p>
            <w:pPr>
              <w:ind w:left="880"/>
              <w:spacing w:after="0"/>
              <w:rPr>
                <w:sz w:val="20"/>
                <w:szCs w:val="20"/>
                <w:color w:val="auto"/>
              </w:rPr>
            </w:pPr>
            <w:r>
              <w:rPr>
                <w:rFonts w:ascii="Arial" w:cs="Arial" w:eastAsia="Arial" w:hAnsi="Arial"/>
                <w:sz w:val="16"/>
                <w:szCs w:val="16"/>
                <w:color w:val="auto"/>
              </w:rPr>
              <w:t>Total Undeveloped</w:t>
            </w:r>
          </w:p>
        </w:tc>
        <w:tc>
          <w:tcPr>
            <w:tcW w:w="13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3,097</w:t>
            </w:r>
          </w:p>
        </w:tc>
        <w:tc>
          <w:tcPr>
            <w:tcW w:w="1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647</w:t>
            </w:r>
          </w:p>
        </w:tc>
        <w:tc>
          <w:tcPr>
            <w:tcW w:w="1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259</w:t>
            </w:r>
          </w:p>
        </w:tc>
        <w:tc>
          <w:tcPr>
            <w:tcW w:w="12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112</w:t>
            </w: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13,109</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6,300</w:t>
            </w:r>
          </w:p>
        </w:tc>
      </w:tr>
      <w:tr>
        <w:trPr>
          <w:trHeight w:val="213"/>
        </w:trPr>
        <w:tc>
          <w:tcPr>
            <w:tcW w:w="3460" w:type="dxa"/>
            <w:vAlign w:val="bottom"/>
          </w:tcPr>
          <w:p>
            <w:pPr>
              <w:ind w:left="20"/>
              <w:spacing w:after="0"/>
              <w:rPr>
                <w:sz w:val="20"/>
                <w:szCs w:val="20"/>
                <w:color w:val="auto"/>
              </w:rPr>
            </w:pPr>
            <w:r>
              <w:rPr>
                <w:rFonts w:ascii="Arial" w:cs="Arial" w:eastAsia="Arial" w:hAnsi="Arial"/>
                <w:sz w:val="16"/>
                <w:szCs w:val="16"/>
                <w:b w:val="1"/>
                <w:bCs w:val="1"/>
                <w:color w:val="auto"/>
              </w:rPr>
              <w:t>Total Proved Reserves</w:t>
            </w:r>
          </w:p>
        </w:tc>
        <w:tc>
          <w:tcPr>
            <w:tcW w:w="13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7,436</w:t>
            </w:r>
          </w:p>
        </w:tc>
        <w:tc>
          <w:tcPr>
            <w:tcW w:w="1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1,406</w:t>
            </w:r>
          </w:p>
        </w:tc>
        <w:tc>
          <w:tcPr>
            <w:tcW w:w="1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2,894</w:t>
            </w:r>
          </w:p>
        </w:tc>
        <w:tc>
          <w:tcPr>
            <w:tcW w:w="12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438</w:t>
            </w: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38,175</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18,536</w:t>
            </w:r>
          </w:p>
        </w:tc>
      </w:tr>
    </w:tbl>
    <w:p>
      <w:pPr>
        <w:spacing w:after="0" w:line="200" w:lineRule="exact"/>
        <w:rPr>
          <w:sz w:val="20"/>
          <w:szCs w:val="20"/>
          <w:color w:val="auto"/>
        </w:rPr>
      </w:pPr>
    </w:p>
    <w:p>
      <w:pPr>
        <w:spacing w:after="0" w:line="204" w:lineRule="exact"/>
        <w:rPr>
          <w:sz w:val="20"/>
          <w:szCs w:val="20"/>
          <w:color w:val="auto"/>
        </w:rPr>
      </w:pPr>
    </w:p>
    <w:p>
      <w:pPr>
        <w:ind w:left="340" w:hanging="332"/>
        <w:spacing w:after="0" w:line="277" w:lineRule="auto"/>
        <w:tabs>
          <w:tab w:leader="none" w:pos="334"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Other Americas includes proved developed reserves of 106 million barrels of crude oil and 151 billion cubic feet of natural gas, as well as proved undeveloped reserves of 488 million barrels of crude oil and 233 billion cubic feet of natural gas.</w:t>
      </w:r>
    </w:p>
    <w:p>
      <w:pPr>
        <w:sectPr>
          <w:pgSz w:w="11900" w:h="16838" w:orient="portrait"/>
          <w:cols w:equalWidth="0" w:num="1">
            <w:col w:w="11240"/>
          </w:cols>
          <w:pgMar w:left="320" w:top="913" w:right="339"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type w:val="continuous"/>
        </w:sectPr>
      </w:pPr>
    </w:p>
    <w:bookmarkStart w:id="9" w:name="page10"/>
    <w:bookmarkEnd w:id="9"/>
    <w:p>
      <w:pPr>
        <w:jc w:val="both"/>
        <w:spacing w:after="0" w:line="277" w:lineRule="auto"/>
        <w:rPr>
          <w:sz w:val="20"/>
          <w:szCs w:val="20"/>
          <w:color w:val="auto"/>
        </w:rPr>
      </w:pPr>
      <w:r>
        <w:rPr>
          <w:rFonts w:ascii="Arial" w:cs="Arial" w:eastAsia="Arial" w:hAnsi="Arial"/>
          <w:sz w:val="18"/>
          <w:szCs w:val="18"/>
          <w:color w:val="auto"/>
        </w:rPr>
        <w:t>In the preceding reserves information, consolidated subsidiary and equity company reserves are reported separately. However, the Corporation operates its business with the same view of equity company reserves as it has for reserves from consolidated subsidiaries.</w:t>
      </w:r>
    </w:p>
    <w:p>
      <w:pPr>
        <w:spacing w:after="0" w:line="3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Corporation anticipates several projects will come online over the next few years providing additional production capacity. However, actual volumes will vary from year to year due to the timing of individual project start-ups; operational outages; reservoir performance; performance of enhanced oil recovery projects; regulatory changes; the impact of fiscal and commercial terms; asset sales; weather events; price effects on production sharing contracts; changes in the amount and timing of capital investments that may vary depending on the oil and gas price environment; and other factors described in Item 1A. Risk Factors.</w:t>
      </w:r>
    </w:p>
    <w:p>
      <w:pPr>
        <w:spacing w:after="0" w:line="6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estimation of proved reserves, which is based on the requirement of reasonable certainty, is an ongoing process based on rigorous technical evaluations, commercial and market assessments and detailed analysis of well and reservoir information such as flow rates and reservoir pressures. Furthermore, the Corporation only records proved reserves for projects which have received significant funding commitments by management toward the development of the reserves. Although the Corporation is reasonably certain that proved reserves will be produced, the timing and amount recovered can be affected by a number of factors including completion of development projects, reservoir performance, regulatory approvals, government policies, consumer preferences, and significant changes in crude oil and natural gas price levels. In addition, proved reserves could be affected by an extended period of low prices which could reduce the level of the Corporation’s capital spending and also impact our partners’ capacity to fund their share of joint projects.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Technologies Used in Establishing Proved Reserves Additions in 2021</w:t>
      </w:r>
    </w:p>
    <w:p>
      <w:pPr>
        <w:spacing w:after="0" w:line="27"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auto"/>
        </w:rPr>
        <w:t>Additions to ExxonMobil’s proved reserves in 2021 were based on estimates generated through the integration of available and appropriate geological, engineering and production data, utilizing well-established technologies that have been demonstrated in the field to yield repeatable and consistent results.</w:t>
      </w:r>
    </w:p>
    <w:p>
      <w:pPr>
        <w:spacing w:after="0" w:line="3"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Data used in these integrated assessments included information obtained directly from the subsurface via wellbores, such as well logs, reservoir core samples, fluid samples, static and dynamic pressure information, production test data, and surveillance and performance information. The data utilized also included subsurface information obtained through indirect measurements including high-quality 3</w:t>
      </w:r>
      <w:r>
        <w:rPr>
          <w:rFonts w:ascii="MS PGothic" w:cs="MS PGothic" w:eastAsia="MS PGothic" w:hAnsi="MS PGothic"/>
          <w:sz w:val="18"/>
          <w:szCs w:val="18"/>
          <w:color w:val="auto"/>
        </w:rPr>
        <w:t>‑</w:t>
      </w:r>
      <w:r>
        <w:rPr>
          <w:rFonts w:ascii="Arial" w:cs="Arial" w:eastAsia="Arial" w:hAnsi="Arial"/>
          <w:sz w:val="18"/>
          <w:szCs w:val="18"/>
          <w:color w:val="auto"/>
        </w:rPr>
        <w:t>D and 4</w:t>
      </w:r>
      <w:r>
        <w:rPr>
          <w:rFonts w:ascii="MS PGothic" w:cs="MS PGothic" w:eastAsia="MS PGothic" w:hAnsi="MS PGothic"/>
          <w:sz w:val="18"/>
          <w:szCs w:val="18"/>
          <w:color w:val="auto"/>
        </w:rPr>
        <w:t>‑</w:t>
      </w:r>
      <w:r>
        <w:rPr>
          <w:rFonts w:ascii="Arial" w:cs="Arial" w:eastAsia="Arial" w:hAnsi="Arial"/>
          <w:sz w:val="18"/>
          <w:szCs w:val="18"/>
          <w:color w:val="auto"/>
        </w:rPr>
        <w:t>D seismic data, calibrated with available well control information. The tools used to interpret the data included seismic processing software, reservoir modeling and simulation software, and data analysis packages.</w:t>
      </w:r>
    </w:p>
    <w:p>
      <w:pPr>
        <w:spacing w:after="0" w:line="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some circumstances, where appropriate analog reservoirs were available, reservoir parameters from these analogs were used to increase the quality of and confidence in the reserves estimates.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C. Qualifications of Reserves Technical Oversight Group and Internal Controls over Proved Reserves</w:t>
      </w:r>
    </w:p>
    <w:p>
      <w:pPr>
        <w:spacing w:after="0" w:line="10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ExxonMobil has a dedicated Global Reserves and Resources group that provides technical oversight and is separate from the operating organization. Primary responsibilities of this group include oversight of the reserves estimation process for compliance with Securities and Exchange Commission (SEC) rules and regulations, review of annual changes in reserves estimates, and the reporting of ExxonMobil’s proved reserves. This group also maintains the official company reserves estimates for ExxonMobil’s proved reserves of crude oil, natural gas liquids, bitumen, synthetic oil, and natural gas. In addition, the group provides training to personnel involved in the reserves estimation and reporting process within ExxonMobil and its affiliates. The Manager of the Global Reserves and Resources group has more than 30 years of experience in reservoir engineering and reserves assessment, has a degree in Engineering and served on the Oil and Gas Reserves Committee of the Society of Petroleum Engineers (SPE). The group is staffed with individuals that have an average of more than 15 years of technical experience in the petroleum industry, including expertise in the classification and categorization of reserves under SEC guidelines. This group includes individuals who hold degrees in either Engineering or Geology.</w:t>
      </w:r>
    </w:p>
    <w:p>
      <w:pPr>
        <w:spacing w:after="0" w:line="11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Global Reserves and Resources group maintains a central database containing the official company reserves estimates. Appropriate controls, including limitations on database access and update capabilities, are in place to ensure data integrity within this central database. An annual review of the system’s controls is performed by internal audit. Key components of the reserves estimation process include technical evaluations, commercial and market assessments, analysis of well and field performance, and long-standing approval guidelines. No changes may be made to the reserves estimates in the central database, including additions of any new initial reserves estimates or subsequent revisions, unless these changes have been thoroughly reviewed and evaluated by duly authorized geoscience and engineering professionals within the operating organization. In addition, changes to reserves estimates that exceed certain thresholds require further review and approval by the appropriate level of management within the operating organization before the changes may be made in the central database. Endorsement by the Global Reserves and Resources group for all proved reserves changes is a mandatory component of this review process. After all changes are made, reviews are held with senior management for final endorsement.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Proved Undeveloped Reserves</w:t>
      </w:r>
    </w:p>
    <w:p>
      <w:pPr>
        <w:spacing w:after="0" w:line="9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At year-end 2021, approximately 6.3 billion oil-equivalent barrels (GOEB) of ExxonMobil’s proved reserves were classified as proved undeveloped. This represents 34 percent of the 18.5 GOEB reported in proved reserves. This compares to 5.0 GOEB of proved undeveloped reserves reported at the end of 2020. During the year, ExxonMobil conducted development activities that resulted in the transfer of approximately 0.5 GOEB from proved undeveloped to proved developed reserves by year end. The largest transfers were related to development activities in the United States. During 2021, extensions and discoveries, primarily in the United States, Brazil, and Guyana, resulted in an addition of approximately 1.3 GOEB of proved undeveloped reserves, along with an increase of approximately 0.6 GOEB due to revisions primarily in Asia and Canada.</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Overall, investments of $8.0 billion were made by the Corporation during 2021 to progress the development of reported proved undeveloped reserves, including $7.8 billion for oil and gas producing activities, along with additional investments for other non-oil and gas producing activities such as the construction of support infrastructure and other related facilities. These investments represented 65 percent of the $12.3 billion in total reported Upstream capital and exploration expenditures.</w:t>
      </w:r>
    </w:p>
    <w:p>
      <w:pPr>
        <w:spacing w:after="0" w:line="13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One of ExxonMobil’s requirements for reporting proved reserves is that management has made significant funding commitments toward the development of the reserves. ExxonMobil has a disciplined investment strategy and many major fields require long lead-time in order to be developed. Development projects typically take several years from the time of recording proved undeveloped reserves to the start of production and can exceed five years for large and complex projects. Proved undeveloped reserves in Australia, Canada, Kazakhstan, the United States, and the United Arab Emirates have remained undeveloped for five years or more primarily due to constraints on the capacity of infrastructure, as well as the time required to complete development for very large projects. The Corporation is reasonably certain that these proved reserves will be produced; however, the timing and amount recovered can be affected by a number of factors including completion of development projects, reservoir performance, regulatory approvals, government policies, consumer preferences, the pace of co-venturer/government funding, changes in the amount and timing of capital investments, and significant changes in crude oil and natural gas price levels. Of the proved undeveloped reserves that have been reported for five or more years, over 80 percent are contained in the aforementioned countries. In Australia, proved undeveloped reserves are associated with future compression for the Gorgon Jansz LNG project. In Canada, proved undeveloped reserves are related to Cold Lake operations. In Kazakhstan, the proved undeveloped reserves are related to the remainder of the Tengizchevroil joint venture development that includes a production license in the Tengiz - Korolev field complex. The Tengizchevroil joint venture is producing, and proved undeveloped reserves will continue to move to proved developed as approved development phases progress. In the United Arab Emirates, proved undeveloped reserves are associated with an approved development plan and continued drilling investment for the producing Upper Zakum field.</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11" w:name="page12"/>
    <w:bookmarkEnd w:id="11"/>
    <w:p>
      <w:pPr>
        <w:ind w:right="6060" w:firstLine="8"/>
        <w:spacing w:after="0" w:line="354" w:lineRule="auto"/>
        <w:tabs>
          <w:tab w:leader="none" w:pos="1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Oil and Gas Production, Production Prices and Production Costs A. Oil and Gas Production</w:t>
      </w:r>
    </w:p>
    <w:p>
      <w:pPr>
        <w:spacing w:after="0"/>
        <w:rPr>
          <w:rFonts w:ascii="Arial" w:cs="Arial" w:eastAsia="Arial" w:hAnsi="Arial"/>
          <w:sz w:val="18"/>
          <w:szCs w:val="18"/>
          <w:b w:val="1"/>
          <w:bCs w:val="1"/>
          <w:color w:val="auto"/>
        </w:rPr>
      </w:pPr>
      <w:r>
        <w:rPr>
          <w:rFonts w:ascii="Arial" w:cs="Arial" w:eastAsia="Arial" w:hAnsi="Arial"/>
          <w:sz w:val="18"/>
          <w:szCs w:val="18"/>
          <w:color w:val="auto"/>
        </w:rPr>
        <w:t>The table below summarizes production by final product sold and by geographic area for the last three years.</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640" w:type="dxa"/>
            <w:vAlign w:val="bottom"/>
          </w:tcPr>
          <w:p>
            <w:pPr>
              <w:spacing w:after="0"/>
              <w:rPr>
                <w:sz w:val="16"/>
                <w:szCs w:val="16"/>
                <w:color w:val="auto"/>
              </w:rPr>
            </w:pPr>
          </w:p>
        </w:tc>
        <w:tc>
          <w:tcPr>
            <w:tcW w:w="1220" w:type="dxa"/>
            <w:vAlign w:val="bottom"/>
            <w:gridSpan w:val="2"/>
          </w:tcPr>
          <w:p>
            <w:pPr>
              <w:jc w:val="center"/>
              <w:ind w:left="679"/>
              <w:spacing w:after="0"/>
              <w:rPr>
                <w:sz w:val="20"/>
                <w:szCs w:val="20"/>
                <w:color w:val="auto"/>
              </w:rPr>
            </w:pPr>
            <w:r>
              <w:rPr>
                <w:rFonts w:ascii="Arial" w:cs="Arial" w:eastAsia="Arial" w:hAnsi="Arial"/>
                <w:sz w:val="14"/>
                <w:szCs w:val="14"/>
                <w:b w:val="1"/>
                <w:bCs w:val="1"/>
                <w:color w:val="auto"/>
                <w:w w:val="96"/>
              </w:rPr>
              <w:t>2020</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660" w:type="dxa"/>
            <w:vAlign w:val="bottom"/>
          </w:tcPr>
          <w:p>
            <w:pPr>
              <w:spacing w:after="0"/>
              <w:rPr>
                <w:sz w:val="16"/>
                <w:szCs w:val="16"/>
                <w:color w:val="auto"/>
              </w:rPr>
            </w:pPr>
          </w:p>
        </w:tc>
      </w:tr>
      <w:tr>
        <w:trPr>
          <w:trHeight w:val="26"/>
        </w:trPr>
        <w:tc>
          <w:tcPr>
            <w:tcW w:w="57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4"/>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04"/>
        </w:trPr>
        <w:tc>
          <w:tcPr>
            <w:tcW w:w="57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980" w:type="dxa"/>
            <w:vAlign w:val="bottom"/>
            <w:gridSpan w:val="4"/>
          </w:tcPr>
          <w:p>
            <w:pPr>
              <w:jc w:val="center"/>
              <w:spacing w:after="0"/>
              <w:rPr>
                <w:sz w:val="20"/>
                <w:szCs w:val="20"/>
                <w:color w:val="auto"/>
              </w:rPr>
            </w:pPr>
            <w:r>
              <w:rPr>
                <w:rFonts w:ascii="Arial" w:cs="Arial" w:eastAsia="Arial" w:hAnsi="Arial"/>
                <w:sz w:val="16"/>
                <w:szCs w:val="16"/>
                <w:i w:val="1"/>
                <w:iCs w:val="1"/>
                <w:color w:val="auto"/>
                <w:w w:val="93"/>
              </w:rPr>
              <w:t>(thousands of barrels daily)</w:t>
            </w:r>
          </w:p>
        </w:tc>
        <w:tc>
          <w:tcPr>
            <w:tcW w:w="112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16"/>
        </w:trPr>
        <w:tc>
          <w:tcPr>
            <w:tcW w:w="5740" w:type="dxa"/>
            <w:vAlign w:val="bottom"/>
          </w:tcPr>
          <w:p>
            <w:pPr>
              <w:ind w:left="20"/>
              <w:spacing w:after="0"/>
              <w:rPr>
                <w:sz w:val="20"/>
                <w:szCs w:val="20"/>
                <w:color w:val="auto"/>
              </w:rPr>
            </w:pPr>
            <w:r>
              <w:rPr>
                <w:rFonts w:ascii="Arial" w:cs="Arial" w:eastAsia="Arial" w:hAnsi="Arial"/>
                <w:sz w:val="16"/>
                <w:szCs w:val="16"/>
                <w:b w:val="1"/>
                <w:bCs w:val="1"/>
                <w:color w:val="auto"/>
              </w:rPr>
              <w:t>Crude oil and natural gas liquids production</w:t>
            </w:r>
          </w:p>
        </w:tc>
        <w:tc>
          <w:tcPr>
            <w:tcW w:w="1100" w:type="dxa"/>
            <w:vAlign w:val="bottom"/>
          </w:tcPr>
          <w:p>
            <w:pPr>
              <w:jc w:val="right"/>
              <w:ind w:right="299"/>
              <w:spacing w:after="0"/>
              <w:rPr>
                <w:sz w:val="20"/>
                <w:szCs w:val="20"/>
                <w:color w:val="auto"/>
              </w:rPr>
            </w:pPr>
            <w:r>
              <w:rPr>
                <w:rFonts w:ascii="Arial" w:cs="Arial" w:eastAsia="Arial" w:hAnsi="Arial"/>
                <w:sz w:val="16"/>
                <w:szCs w:val="16"/>
                <w:color w:val="auto"/>
              </w:rPr>
              <w:t>Crude Oil</w:t>
            </w:r>
          </w:p>
        </w:tc>
        <w:tc>
          <w:tcPr>
            <w:tcW w:w="640" w:type="dxa"/>
            <w:vAlign w:val="bottom"/>
          </w:tcPr>
          <w:p>
            <w:pPr>
              <w:jc w:val="right"/>
              <w:ind w:right="159"/>
              <w:spacing w:after="0"/>
              <w:rPr>
                <w:sz w:val="20"/>
                <w:szCs w:val="20"/>
                <w:color w:val="auto"/>
              </w:rPr>
            </w:pPr>
            <w:r>
              <w:rPr>
                <w:rFonts w:ascii="Arial" w:cs="Arial" w:eastAsia="Arial" w:hAnsi="Arial"/>
                <w:sz w:val="16"/>
                <w:szCs w:val="16"/>
                <w:color w:val="auto"/>
              </w:rPr>
              <w:t>NGL</w:t>
            </w:r>
          </w:p>
        </w:tc>
        <w:tc>
          <w:tcPr>
            <w:tcW w:w="120" w:type="dxa"/>
            <w:vAlign w:val="bottom"/>
          </w:tcPr>
          <w:p>
            <w:pPr>
              <w:spacing w:after="0"/>
              <w:rPr>
                <w:sz w:val="18"/>
                <w:szCs w:val="18"/>
                <w:color w:val="auto"/>
              </w:rPr>
            </w:pPr>
          </w:p>
        </w:tc>
        <w:tc>
          <w:tcPr>
            <w:tcW w:w="1100" w:type="dxa"/>
            <w:vAlign w:val="bottom"/>
          </w:tcPr>
          <w:p>
            <w:pPr>
              <w:jc w:val="right"/>
              <w:ind w:right="299"/>
              <w:spacing w:after="0"/>
              <w:rPr>
                <w:sz w:val="20"/>
                <w:szCs w:val="20"/>
                <w:color w:val="auto"/>
              </w:rPr>
            </w:pPr>
            <w:r>
              <w:rPr>
                <w:rFonts w:ascii="Arial" w:cs="Arial" w:eastAsia="Arial" w:hAnsi="Arial"/>
                <w:sz w:val="16"/>
                <w:szCs w:val="16"/>
                <w:color w:val="auto"/>
              </w:rPr>
              <w:t>Crude Oil</w:t>
            </w:r>
          </w:p>
        </w:tc>
        <w:tc>
          <w:tcPr>
            <w:tcW w:w="760" w:type="dxa"/>
            <w:vAlign w:val="bottom"/>
            <w:gridSpan w:val="2"/>
          </w:tcPr>
          <w:p>
            <w:pPr>
              <w:ind w:left="80"/>
              <w:spacing w:after="0"/>
              <w:rPr>
                <w:sz w:val="20"/>
                <w:szCs w:val="20"/>
                <w:color w:val="auto"/>
              </w:rPr>
            </w:pPr>
            <w:r>
              <w:rPr>
                <w:rFonts w:ascii="Arial" w:cs="Arial" w:eastAsia="Arial" w:hAnsi="Arial"/>
                <w:sz w:val="16"/>
                <w:szCs w:val="16"/>
                <w:color w:val="auto"/>
              </w:rPr>
              <w:t>NGL</w:t>
            </w:r>
          </w:p>
        </w:tc>
        <w:tc>
          <w:tcPr>
            <w:tcW w:w="1120" w:type="dxa"/>
            <w:vAlign w:val="bottom"/>
          </w:tcPr>
          <w:p>
            <w:pPr>
              <w:jc w:val="right"/>
              <w:ind w:right="299"/>
              <w:spacing w:after="0"/>
              <w:rPr>
                <w:sz w:val="20"/>
                <w:szCs w:val="20"/>
                <w:color w:val="auto"/>
              </w:rPr>
            </w:pPr>
            <w:r>
              <w:rPr>
                <w:rFonts w:ascii="Arial" w:cs="Arial" w:eastAsia="Arial" w:hAnsi="Arial"/>
                <w:sz w:val="16"/>
                <w:szCs w:val="16"/>
                <w:color w:val="auto"/>
              </w:rPr>
              <w:t>Crude Oil</w:t>
            </w:r>
          </w:p>
        </w:tc>
        <w:tc>
          <w:tcPr>
            <w:tcW w:w="660" w:type="dxa"/>
            <w:vAlign w:val="bottom"/>
          </w:tcPr>
          <w:p>
            <w:pPr>
              <w:jc w:val="right"/>
              <w:ind w:right="179"/>
              <w:spacing w:after="0"/>
              <w:rPr>
                <w:sz w:val="20"/>
                <w:szCs w:val="20"/>
                <w:color w:val="auto"/>
              </w:rPr>
            </w:pPr>
            <w:r>
              <w:rPr>
                <w:rFonts w:ascii="Arial" w:cs="Arial" w:eastAsia="Arial" w:hAnsi="Arial"/>
                <w:sz w:val="16"/>
                <w:szCs w:val="16"/>
                <w:color w:val="auto"/>
              </w:rPr>
              <w:t>NGL</w:t>
            </w:r>
          </w:p>
        </w:tc>
      </w:tr>
      <w:tr>
        <w:trPr>
          <w:trHeight w:val="196"/>
        </w:trPr>
        <w:tc>
          <w:tcPr>
            <w:tcW w:w="5740" w:type="dxa"/>
            <w:vAlign w:val="bottom"/>
          </w:tcPr>
          <w:p>
            <w:pPr>
              <w:ind w:left="480"/>
              <w:spacing w:after="0"/>
              <w:rPr>
                <w:sz w:val="20"/>
                <w:szCs w:val="20"/>
                <w:color w:val="auto"/>
              </w:rPr>
            </w:pPr>
            <w:r>
              <w:rPr>
                <w:rFonts w:ascii="Arial" w:cs="Arial" w:eastAsia="Arial" w:hAnsi="Arial"/>
                <w:sz w:val="16"/>
                <w:szCs w:val="16"/>
                <w:b w:val="1"/>
                <w:bCs w:val="1"/>
                <w:color w:val="auto"/>
              </w:rPr>
              <w:t>Consolidated Subsidiaries</w:t>
            </w:r>
          </w:p>
        </w:tc>
        <w:tc>
          <w:tcPr>
            <w:tcW w:w="11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r>
      <w:tr>
        <w:trPr>
          <w:trHeight w:val="230"/>
        </w:trPr>
        <w:tc>
          <w:tcPr>
            <w:tcW w:w="5740" w:type="dxa"/>
            <w:vAlign w:val="bottom"/>
          </w:tcPr>
          <w:p>
            <w:pPr>
              <w:ind w:left="880"/>
              <w:spacing w:after="0"/>
              <w:rPr>
                <w:sz w:val="20"/>
                <w:szCs w:val="20"/>
                <w:color w:val="auto"/>
              </w:rPr>
            </w:pPr>
            <w:r>
              <w:rPr>
                <w:rFonts w:ascii="Arial" w:cs="Arial" w:eastAsia="Arial" w:hAnsi="Arial"/>
                <w:sz w:val="16"/>
                <w:szCs w:val="16"/>
                <w:color w:val="auto"/>
              </w:rPr>
              <w:t>United States</w:t>
            </w:r>
          </w:p>
        </w:tc>
        <w:tc>
          <w:tcPr>
            <w:tcW w:w="1100" w:type="dxa"/>
            <w:vAlign w:val="bottom"/>
          </w:tcPr>
          <w:p>
            <w:pPr>
              <w:jc w:val="right"/>
              <w:ind w:right="279"/>
              <w:spacing w:after="0"/>
              <w:rPr>
                <w:sz w:val="20"/>
                <w:szCs w:val="20"/>
                <w:color w:val="auto"/>
              </w:rPr>
            </w:pPr>
            <w:r>
              <w:rPr>
                <w:rFonts w:ascii="Arial" w:cs="Arial" w:eastAsia="Arial" w:hAnsi="Arial"/>
                <w:sz w:val="16"/>
                <w:szCs w:val="16"/>
                <w:color w:val="auto"/>
              </w:rPr>
              <w:t>482</w:t>
            </w:r>
          </w:p>
        </w:tc>
        <w:tc>
          <w:tcPr>
            <w:tcW w:w="640" w:type="dxa"/>
            <w:vAlign w:val="bottom"/>
          </w:tcPr>
          <w:p>
            <w:pPr>
              <w:jc w:val="right"/>
              <w:spacing w:after="0"/>
              <w:rPr>
                <w:sz w:val="20"/>
                <w:szCs w:val="20"/>
                <w:color w:val="auto"/>
              </w:rPr>
            </w:pPr>
            <w:r>
              <w:rPr>
                <w:rFonts w:ascii="Arial" w:cs="Arial" w:eastAsia="Arial" w:hAnsi="Arial"/>
                <w:sz w:val="16"/>
                <w:szCs w:val="16"/>
                <w:color w:val="auto"/>
              </w:rPr>
              <w:t>195</w:t>
            </w:r>
          </w:p>
        </w:tc>
        <w:tc>
          <w:tcPr>
            <w:tcW w:w="1220" w:type="dxa"/>
            <w:vAlign w:val="bottom"/>
            <w:gridSpan w:val="2"/>
          </w:tcPr>
          <w:p>
            <w:pPr>
              <w:jc w:val="right"/>
              <w:ind w:right="259"/>
              <w:spacing w:after="0"/>
              <w:rPr>
                <w:sz w:val="20"/>
                <w:szCs w:val="20"/>
                <w:color w:val="auto"/>
              </w:rPr>
            </w:pPr>
            <w:r>
              <w:rPr>
                <w:rFonts w:ascii="Arial" w:cs="Arial" w:eastAsia="Arial" w:hAnsi="Arial"/>
                <w:sz w:val="16"/>
                <w:szCs w:val="16"/>
                <w:color w:val="auto"/>
              </w:rPr>
              <w:t>481</w:t>
            </w:r>
          </w:p>
        </w:tc>
        <w:tc>
          <w:tcPr>
            <w:tcW w:w="640" w:type="dxa"/>
            <w:vAlign w:val="bottom"/>
          </w:tcPr>
          <w:p>
            <w:pPr>
              <w:jc w:val="right"/>
              <w:spacing w:after="0"/>
              <w:rPr>
                <w:sz w:val="20"/>
                <w:szCs w:val="20"/>
                <w:color w:val="auto"/>
              </w:rPr>
            </w:pPr>
            <w:r>
              <w:rPr>
                <w:rFonts w:ascii="Arial" w:cs="Arial" w:eastAsia="Arial" w:hAnsi="Arial"/>
                <w:sz w:val="16"/>
                <w:szCs w:val="16"/>
                <w:color w:val="auto"/>
              </w:rPr>
              <w:t>154</w:t>
            </w:r>
          </w:p>
        </w:tc>
        <w:tc>
          <w:tcPr>
            <w:tcW w:w="120" w:type="dxa"/>
            <w:vAlign w:val="bottom"/>
          </w:tcPr>
          <w:p>
            <w:pPr>
              <w:spacing w:after="0"/>
              <w:rPr>
                <w:sz w:val="19"/>
                <w:szCs w:val="19"/>
                <w:color w:val="auto"/>
              </w:rPr>
            </w:pPr>
          </w:p>
        </w:tc>
        <w:tc>
          <w:tcPr>
            <w:tcW w:w="1120" w:type="dxa"/>
            <w:vAlign w:val="bottom"/>
          </w:tcPr>
          <w:p>
            <w:pPr>
              <w:jc w:val="right"/>
              <w:ind w:right="279"/>
              <w:spacing w:after="0"/>
              <w:rPr>
                <w:sz w:val="20"/>
                <w:szCs w:val="20"/>
                <w:color w:val="auto"/>
              </w:rPr>
            </w:pPr>
            <w:r>
              <w:rPr>
                <w:rFonts w:ascii="Arial" w:cs="Arial" w:eastAsia="Arial" w:hAnsi="Arial"/>
                <w:sz w:val="16"/>
                <w:szCs w:val="16"/>
                <w:color w:val="auto"/>
              </w:rPr>
              <w:t>461</w:t>
            </w:r>
          </w:p>
        </w:tc>
        <w:tc>
          <w:tcPr>
            <w:tcW w:w="660" w:type="dxa"/>
            <w:vAlign w:val="bottom"/>
          </w:tcPr>
          <w:p>
            <w:pPr>
              <w:jc w:val="right"/>
              <w:spacing w:after="0"/>
              <w:rPr>
                <w:sz w:val="20"/>
                <w:szCs w:val="20"/>
                <w:color w:val="auto"/>
              </w:rPr>
            </w:pPr>
            <w:r>
              <w:rPr>
                <w:rFonts w:ascii="Arial" w:cs="Arial" w:eastAsia="Arial" w:hAnsi="Arial"/>
                <w:sz w:val="16"/>
                <w:szCs w:val="16"/>
                <w:color w:val="auto"/>
              </w:rPr>
              <w:t>131</w:t>
            </w:r>
          </w:p>
        </w:tc>
      </w:tr>
      <w:tr>
        <w:trPr>
          <w:trHeight w:val="216"/>
        </w:trPr>
        <w:tc>
          <w:tcPr>
            <w:tcW w:w="5740" w:type="dxa"/>
            <w:vAlign w:val="bottom"/>
          </w:tcPr>
          <w:p>
            <w:pPr>
              <w:ind w:left="880"/>
              <w:spacing w:after="0"/>
              <w:rPr>
                <w:sz w:val="20"/>
                <w:szCs w:val="20"/>
                <w:color w:val="auto"/>
              </w:rPr>
            </w:pPr>
            <w:r>
              <w:rPr>
                <w:rFonts w:ascii="Arial" w:cs="Arial" w:eastAsia="Arial" w:hAnsi="Arial"/>
                <w:sz w:val="16"/>
                <w:szCs w:val="16"/>
                <w:color w:val="auto"/>
              </w:rPr>
              <w:t xml:space="preserve">Canada/Other Americas </w:t>
            </w:r>
            <w:r>
              <w:rPr>
                <w:rFonts w:ascii="Arial" w:cs="Arial" w:eastAsia="Arial" w:hAnsi="Arial"/>
                <w:sz w:val="16"/>
                <w:szCs w:val="16"/>
                <w:i w:val="1"/>
                <w:iCs w:val="1"/>
                <w:color w:val="auto"/>
              </w:rPr>
              <w:t>(1)</w:t>
            </w:r>
          </w:p>
        </w:tc>
        <w:tc>
          <w:tcPr>
            <w:tcW w:w="1100" w:type="dxa"/>
            <w:vAlign w:val="bottom"/>
          </w:tcPr>
          <w:p>
            <w:pPr>
              <w:jc w:val="right"/>
              <w:ind w:right="279"/>
              <w:spacing w:after="0"/>
              <w:rPr>
                <w:sz w:val="20"/>
                <w:szCs w:val="20"/>
                <w:color w:val="auto"/>
              </w:rPr>
            </w:pPr>
            <w:r>
              <w:rPr>
                <w:rFonts w:ascii="Arial" w:cs="Arial" w:eastAsia="Arial" w:hAnsi="Arial"/>
                <w:sz w:val="16"/>
                <w:szCs w:val="16"/>
                <w:color w:val="auto"/>
              </w:rPr>
              <w:t>130</w:t>
            </w:r>
          </w:p>
        </w:tc>
        <w:tc>
          <w:tcPr>
            <w:tcW w:w="640" w:type="dxa"/>
            <w:vAlign w:val="bottom"/>
          </w:tcPr>
          <w:p>
            <w:pPr>
              <w:jc w:val="right"/>
              <w:spacing w:after="0"/>
              <w:rPr>
                <w:sz w:val="20"/>
                <w:szCs w:val="20"/>
                <w:color w:val="auto"/>
              </w:rPr>
            </w:pPr>
            <w:r>
              <w:rPr>
                <w:rFonts w:ascii="Arial" w:cs="Arial" w:eastAsia="Arial" w:hAnsi="Arial"/>
                <w:sz w:val="16"/>
                <w:szCs w:val="16"/>
                <w:color w:val="auto"/>
              </w:rPr>
              <w:t>3</w:t>
            </w:r>
          </w:p>
        </w:tc>
        <w:tc>
          <w:tcPr>
            <w:tcW w:w="1220" w:type="dxa"/>
            <w:vAlign w:val="bottom"/>
            <w:gridSpan w:val="2"/>
          </w:tcPr>
          <w:p>
            <w:pPr>
              <w:jc w:val="right"/>
              <w:ind w:right="259"/>
              <w:spacing w:after="0"/>
              <w:rPr>
                <w:sz w:val="20"/>
                <w:szCs w:val="20"/>
                <w:color w:val="auto"/>
              </w:rPr>
            </w:pPr>
            <w:r>
              <w:rPr>
                <w:rFonts w:ascii="Arial" w:cs="Arial" w:eastAsia="Arial" w:hAnsi="Arial"/>
                <w:sz w:val="16"/>
                <w:szCs w:val="16"/>
                <w:color w:val="auto"/>
              </w:rPr>
              <w:t>121</w:t>
            </w:r>
          </w:p>
        </w:tc>
        <w:tc>
          <w:tcPr>
            <w:tcW w:w="64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1120" w:type="dxa"/>
            <w:vAlign w:val="bottom"/>
          </w:tcPr>
          <w:p>
            <w:pPr>
              <w:jc w:val="right"/>
              <w:ind w:right="279"/>
              <w:spacing w:after="0"/>
              <w:rPr>
                <w:sz w:val="20"/>
                <w:szCs w:val="20"/>
                <w:color w:val="auto"/>
              </w:rPr>
            </w:pPr>
            <w:r>
              <w:rPr>
                <w:rFonts w:ascii="Arial" w:cs="Arial" w:eastAsia="Arial" w:hAnsi="Arial"/>
                <w:sz w:val="16"/>
                <w:szCs w:val="16"/>
                <w:color w:val="auto"/>
              </w:rPr>
              <w:t>87</w:t>
            </w:r>
          </w:p>
        </w:tc>
        <w:tc>
          <w:tcPr>
            <w:tcW w:w="66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6"/>
        </w:trPr>
        <w:tc>
          <w:tcPr>
            <w:tcW w:w="5740" w:type="dxa"/>
            <w:vAlign w:val="bottom"/>
          </w:tcPr>
          <w:p>
            <w:pPr>
              <w:ind w:left="880"/>
              <w:spacing w:after="0"/>
              <w:rPr>
                <w:sz w:val="20"/>
                <w:szCs w:val="20"/>
                <w:color w:val="auto"/>
              </w:rPr>
            </w:pPr>
            <w:r>
              <w:rPr>
                <w:rFonts w:ascii="Arial" w:cs="Arial" w:eastAsia="Arial" w:hAnsi="Arial"/>
                <w:sz w:val="16"/>
                <w:szCs w:val="16"/>
                <w:color w:val="auto"/>
              </w:rPr>
              <w:t>Europe</w:t>
            </w:r>
          </w:p>
        </w:tc>
        <w:tc>
          <w:tcPr>
            <w:tcW w:w="1100" w:type="dxa"/>
            <w:vAlign w:val="bottom"/>
          </w:tcPr>
          <w:p>
            <w:pPr>
              <w:jc w:val="right"/>
              <w:ind w:right="279"/>
              <w:spacing w:after="0"/>
              <w:rPr>
                <w:sz w:val="20"/>
                <w:szCs w:val="20"/>
                <w:color w:val="auto"/>
              </w:rPr>
            </w:pPr>
            <w:r>
              <w:rPr>
                <w:rFonts w:ascii="Arial" w:cs="Arial" w:eastAsia="Arial" w:hAnsi="Arial"/>
                <w:sz w:val="16"/>
                <w:szCs w:val="16"/>
                <w:color w:val="auto"/>
              </w:rPr>
              <w:t>16</w:t>
            </w:r>
          </w:p>
        </w:tc>
        <w:tc>
          <w:tcPr>
            <w:tcW w:w="640" w:type="dxa"/>
            <w:vAlign w:val="bottom"/>
          </w:tcPr>
          <w:p>
            <w:pPr>
              <w:jc w:val="right"/>
              <w:spacing w:after="0"/>
              <w:rPr>
                <w:sz w:val="20"/>
                <w:szCs w:val="20"/>
                <w:color w:val="auto"/>
              </w:rPr>
            </w:pPr>
            <w:r>
              <w:rPr>
                <w:rFonts w:ascii="Arial" w:cs="Arial" w:eastAsia="Arial" w:hAnsi="Arial"/>
                <w:sz w:val="16"/>
                <w:szCs w:val="16"/>
                <w:color w:val="auto"/>
              </w:rPr>
              <w:t>3</w:t>
            </w:r>
          </w:p>
        </w:tc>
        <w:tc>
          <w:tcPr>
            <w:tcW w:w="1220" w:type="dxa"/>
            <w:vAlign w:val="bottom"/>
            <w:gridSpan w:val="2"/>
          </w:tcPr>
          <w:p>
            <w:pPr>
              <w:jc w:val="right"/>
              <w:ind w:right="259"/>
              <w:spacing w:after="0"/>
              <w:rPr>
                <w:sz w:val="20"/>
                <w:szCs w:val="20"/>
                <w:color w:val="auto"/>
              </w:rPr>
            </w:pPr>
            <w:r>
              <w:rPr>
                <w:rFonts w:ascii="Arial" w:cs="Arial" w:eastAsia="Arial" w:hAnsi="Arial"/>
                <w:sz w:val="16"/>
                <w:szCs w:val="16"/>
                <w:color w:val="auto"/>
              </w:rPr>
              <w:t>22</w:t>
            </w:r>
          </w:p>
        </w:tc>
        <w:tc>
          <w:tcPr>
            <w:tcW w:w="64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1120" w:type="dxa"/>
            <w:vAlign w:val="bottom"/>
          </w:tcPr>
          <w:p>
            <w:pPr>
              <w:jc w:val="right"/>
              <w:ind w:right="279"/>
              <w:spacing w:after="0"/>
              <w:rPr>
                <w:sz w:val="20"/>
                <w:szCs w:val="20"/>
                <w:color w:val="auto"/>
              </w:rPr>
            </w:pPr>
            <w:r>
              <w:rPr>
                <w:rFonts w:ascii="Arial" w:cs="Arial" w:eastAsia="Arial" w:hAnsi="Arial"/>
                <w:sz w:val="16"/>
                <w:szCs w:val="16"/>
                <w:color w:val="auto"/>
              </w:rPr>
              <w:t>84</w:t>
            </w:r>
          </w:p>
        </w:tc>
        <w:tc>
          <w:tcPr>
            <w:tcW w:w="66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16"/>
        </w:trPr>
        <w:tc>
          <w:tcPr>
            <w:tcW w:w="5740" w:type="dxa"/>
            <w:vAlign w:val="bottom"/>
          </w:tcPr>
          <w:p>
            <w:pPr>
              <w:ind w:left="880"/>
              <w:spacing w:after="0"/>
              <w:rPr>
                <w:sz w:val="20"/>
                <w:szCs w:val="20"/>
                <w:color w:val="auto"/>
              </w:rPr>
            </w:pPr>
            <w:r>
              <w:rPr>
                <w:rFonts w:ascii="Arial" w:cs="Arial" w:eastAsia="Arial" w:hAnsi="Arial"/>
                <w:sz w:val="16"/>
                <w:szCs w:val="16"/>
                <w:color w:val="auto"/>
              </w:rPr>
              <w:t>Africa</w:t>
            </w:r>
          </w:p>
        </w:tc>
        <w:tc>
          <w:tcPr>
            <w:tcW w:w="1100" w:type="dxa"/>
            <w:vAlign w:val="bottom"/>
          </w:tcPr>
          <w:p>
            <w:pPr>
              <w:jc w:val="right"/>
              <w:ind w:right="279"/>
              <w:spacing w:after="0"/>
              <w:rPr>
                <w:sz w:val="20"/>
                <w:szCs w:val="20"/>
                <w:color w:val="auto"/>
              </w:rPr>
            </w:pPr>
            <w:r>
              <w:rPr>
                <w:rFonts w:ascii="Arial" w:cs="Arial" w:eastAsia="Arial" w:hAnsi="Arial"/>
                <w:sz w:val="16"/>
                <w:szCs w:val="16"/>
                <w:color w:val="auto"/>
              </w:rPr>
              <w:t>241</w:t>
            </w:r>
          </w:p>
        </w:tc>
        <w:tc>
          <w:tcPr>
            <w:tcW w:w="640" w:type="dxa"/>
            <w:vAlign w:val="bottom"/>
          </w:tcPr>
          <w:p>
            <w:pPr>
              <w:jc w:val="right"/>
              <w:spacing w:after="0"/>
              <w:rPr>
                <w:sz w:val="20"/>
                <w:szCs w:val="20"/>
                <w:color w:val="auto"/>
              </w:rPr>
            </w:pPr>
            <w:r>
              <w:rPr>
                <w:rFonts w:ascii="Arial" w:cs="Arial" w:eastAsia="Arial" w:hAnsi="Arial"/>
                <w:sz w:val="16"/>
                <w:szCs w:val="16"/>
                <w:color w:val="auto"/>
              </w:rPr>
              <w:t>7</w:t>
            </w:r>
          </w:p>
        </w:tc>
        <w:tc>
          <w:tcPr>
            <w:tcW w:w="1220" w:type="dxa"/>
            <w:vAlign w:val="bottom"/>
            <w:gridSpan w:val="2"/>
          </w:tcPr>
          <w:p>
            <w:pPr>
              <w:jc w:val="right"/>
              <w:ind w:right="259"/>
              <w:spacing w:after="0"/>
              <w:rPr>
                <w:sz w:val="20"/>
                <w:szCs w:val="20"/>
                <w:color w:val="auto"/>
              </w:rPr>
            </w:pPr>
            <w:r>
              <w:rPr>
                <w:rFonts w:ascii="Arial" w:cs="Arial" w:eastAsia="Arial" w:hAnsi="Arial"/>
                <w:sz w:val="16"/>
                <w:szCs w:val="16"/>
                <w:color w:val="auto"/>
              </w:rPr>
              <w:t>301</w:t>
            </w:r>
          </w:p>
        </w:tc>
        <w:tc>
          <w:tcPr>
            <w:tcW w:w="64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8"/>
                <w:szCs w:val="18"/>
                <w:color w:val="auto"/>
              </w:rPr>
            </w:pPr>
          </w:p>
        </w:tc>
        <w:tc>
          <w:tcPr>
            <w:tcW w:w="1120" w:type="dxa"/>
            <w:vAlign w:val="bottom"/>
          </w:tcPr>
          <w:p>
            <w:pPr>
              <w:jc w:val="right"/>
              <w:ind w:right="279"/>
              <w:spacing w:after="0"/>
              <w:rPr>
                <w:sz w:val="20"/>
                <w:szCs w:val="20"/>
                <w:color w:val="auto"/>
              </w:rPr>
            </w:pPr>
            <w:r>
              <w:rPr>
                <w:rFonts w:ascii="Arial" w:cs="Arial" w:eastAsia="Arial" w:hAnsi="Arial"/>
                <w:sz w:val="16"/>
                <w:szCs w:val="16"/>
                <w:color w:val="auto"/>
              </w:rPr>
              <w:t>360</w:t>
            </w:r>
          </w:p>
        </w:tc>
        <w:tc>
          <w:tcPr>
            <w:tcW w:w="66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16"/>
        </w:trPr>
        <w:tc>
          <w:tcPr>
            <w:tcW w:w="5740" w:type="dxa"/>
            <w:vAlign w:val="bottom"/>
          </w:tcPr>
          <w:p>
            <w:pPr>
              <w:ind w:left="880"/>
              <w:spacing w:after="0"/>
              <w:rPr>
                <w:sz w:val="20"/>
                <w:szCs w:val="20"/>
                <w:color w:val="auto"/>
              </w:rPr>
            </w:pPr>
            <w:r>
              <w:rPr>
                <w:rFonts w:ascii="Arial" w:cs="Arial" w:eastAsia="Arial" w:hAnsi="Arial"/>
                <w:sz w:val="16"/>
                <w:szCs w:val="16"/>
                <w:color w:val="auto"/>
              </w:rPr>
              <w:t>Asia</w:t>
            </w:r>
          </w:p>
        </w:tc>
        <w:tc>
          <w:tcPr>
            <w:tcW w:w="1100" w:type="dxa"/>
            <w:vAlign w:val="bottom"/>
          </w:tcPr>
          <w:p>
            <w:pPr>
              <w:jc w:val="right"/>
              <w:ind w:right="279"/>
              <w:spacing w:after="0"/>
              <w:rPr>
                <w:sz w:val="20"/>
                <w:szCs w:val="20"/>
                <w:color w:val="auto"/>
              </w:rPr>
            </w:pPr>
            <w:r>
              <w:rPr>
                <w:rFonts w:ascii="Arial" w:cs="Arial" w:eastAsia="Arial" w:hAnsi="Arial"/>
                <w:sz w:val="16"/>
                <w:szCs w:val="16"/>
                <w:color w:val="auto"/>
              </w:rPr>
              <w:t>407</w:t>
            </w:r>
          </w:p>
        </w:tc>
        <w:tc>
          <w:tcPr>
            <w:tcW w:w="640" w:type="dxa"/>
            <w:vAlign w:val="bottom"/>
          </w:tcPr>
          <w:p>
            <w:pPr>
              <w:jc w:val="right"/>
              <w:spacing w:after="0"/>
              <w:rPr>
                <w:sz w:val="20"/>
                <w:szCs w:val="20"/>
                <w:color w:val="auto"/>
              </w:rPr>
            </w:pPr>
            <w:r>
              <w:rPr>
                <w:rFonts w:ascii="Arial" w:cs="Arial" w:eastAsia="Arial" w:hAnsi="Arial"/>
                <w:sz w:val="16"/>
                <w:szCs w:val="16"/>
                <w:color w:val="auto"/>
              </w:rPr>
              <w:t>21</w:t>
            </w:r>
          </w:p>
        </w:tc>
        <w:tc>
          <w:tcPr>
            <w:tcW w:w="1220" w:type="dxa"/>
            <w:vAlign w:val="bottom"/>
            <w:gridSpan w:val="2"/>
          </w:tcPr>
          <w:p>
            <w:pPr>
              <w:jc w:val="right"/>
              <w:ind w:right="259"/>
              <w:spacing w:after="0"/>
              <w:rPr>
                <w:sz w:val="20"/>
                <w:szCs w:val="20"/>
                <w:color w:val="auto"/>
              </w:rPr>
            </w:pPr>
            <w:r>
              <w:rPr>
                <w:rFonts w:ascii="Arial" w:cs="Arial" w:eastAsia="Arial" w:hAnsi="Arial"/>
                <w:sz w:val="16"/>
                <w:szCs w:val="16"/>
                <w:color w:val="auto"/>
              </w:rPr>
              <w:t>449</w:t>
            </w:r>
          </w:p>
        </w:tc>
        <w:tc>
          <w:tcPr>
            <w:tcW w:w="640" w:type="dxa"/>
            <w:vAlign w:val="bottom"/>
          </w:tcPr>
          <w:p>
            <w:pPr>
              <w:jc w:val="right"/>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18"/>
                <w:szCs w:val="18"/>
                <w:color w:val="auto"/>
              </w:rPr>
            </w:pPr>
          </w:p>
        </w:tc>
        <w:tc>
          <w:tcPr>
            <w:tcW w:w="1120" w:type="dxa"/>
            <w:vAlign w:val="bottom"/>
          </w:tcPr>
          <w:p>
            <w:pPr>
              <w:jc w:val="right"/>
              <w:ind w:right="279"/>
              <w:spacing w:after="0"/>
              <w:rPr>
                <w:sz w:val="20"/>
                <w:szCs w:val="20"/>
                <w:color w:val="auto"/>
              </w:rPr>
            </w:pPr>
            <w:r>
              <w:rPr>
                <w:rFonts w:ascii="Arial" w:cs="Arial" w:eastAsia="Arial" w:hAnsi="Arial"/>
                <w:sz w:val="16"/>
                <w:szCs w:val="16"/>
                <w:color w:val="auto"/>
              </w:rPr>
              <w:t>432</w:t>
            </w:r>
          </w:p>
        </w:tc>
        <w:tc>
          <w:tcPr>
            <w:tcW w:w="66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16"/>
        </w:trPr>
        <w:tc>
          <w:tcPr>
            <w:tcW w:w="5740" w:type="dxa"/>
            <w:vAlign w:val="bottom"/>
          </w:tcPr>
          <w:p>
            <w:pPr>
              <w:ind w:left="880"/>
              <w:spacing w:after="0"/>
              <w:rPr>
                <w:sz w:val="20"/>
                <w:szCs w:val="20"/>
                <w:color w:val="auto"/>
              </w:rPr>
            </w:pPr>
            <w:r>
              <w:rPr>
                <w:rFonts w:ascii="Arial" w:cs="Arial" w:eastAsia="Arial" w:hAnsi="Arial"/>
                <w:sz w:val="16"/>
                <w:szCs w:val="16"/>
                <w:color w:val="auto"/>
              </w:rPr>
              <w:t>Australia/Oceania</w:t>
            </w:r>
          </w:p>
        </w:tc>
        <w:tc>
          <w:tcPr>
            <w:tcW w:w="11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28</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8"/>
                <w:szCs w:val="18"/>
                <w:color w:val="auto"/>
              </w:rPr>
            </w:pPr>
          </w:p>
        </w:tc>
        <w:tc>
          <w:tcPr>
            <w:tcW w:w="11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29</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8"/>
                <w:szCs w:val="18"/>
                <w:color w:val="auto"/>
              </w:rPr>
            </w:pPr>
          </w:p>
        </w:tc>
        <w:tc>
          <w:tcPr>
            <w:tcW w:w="11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30</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r>
      <w:tr>
        <w:trPr>
          <w:trHeight w:val="209"/>
        </w:trPr>
        <w:tc>
          <w:tcPr>
            <w:tcW w:w="5740" w:type="dxa"/>
            <w:vAlign w:val="bottom"/>
          </w:tcPr>
          <w:p>
            <w:pPr>
              <w:ind w:left="1320"/>
              <w:spacing w:after="0"/>
              <w:rPr>
                <w:sz w:val="20"/>
                <w:szCs w:val="20"/>
                <w:color w:val="auto"/>
              </w:rPr>
            </w:pPr>
            <w:r>
              <w:rPr>
                <w:rFonts w:ascii="Arial" w:cs="Arial" w:eastAsia="Arial" w:hAnsi="Arial"/>
                <w:sz w:val="16"/>
                <w:szCs w:val="16"/>
                <w:color w:val="auto"/>
              </w:rPr>
              <w:t>Total Consolidated Subsidiaries</w:t>
            </w:r>
          </w:p>
        </w:tc>
        <w:tc>
          <w:tcPr>
            <w:tcW w:w="1100" w:type="dxa"/>
            <w:vAlign w:val="bottom"/>
          </w:tcPr>
          <w:p>
            <w:pPr>
              <w:jc w:val="right"/>
              <w:ind w:right="279"/>
              <w:spacing w:after="0"/>
              <w:rPr>
                <w:sz w:val="20"/>
                <w:szCs w:val="20"/>
                <w:color w:val="auto"/>
              </w:rPr>
            </w:pPr>
            <w:r>
              <w:rPr>
                <w:rFonts w:ascii="Arial" w:cs="Arial" w:eastAsia="Arial" w:hAnsi="Arial"/>
                <w:sz w:val="16"/>
                <w:szCs w:val="16"/>
                <w:color w:val="auto"/>
              </w:rPr>
              <w:t>1,304</w:t>
            </w:r>
          </w:p>
        </w:tc>
        <w:tc>
          <w:tcPr>
            <w:tcW w:w="640" w:type="dxa"/>
            <w:vAlign w:val="bottom"/>
          </w:tcPr>
          <w:p>
            <w:pPr>
              <w:jc w:val="right"/>
              <w:spacing w:after="0"/>
              <w:rPr>
                <w:sz w:val="20"/>
                <w:szCs w:val="20"/>
                <w:color w:val="auto"/>
              </w:rPr>
            </w:pPr>
            <w:r>
              <w:rPr>
                <w:rFonts w:ascii="Arial" w:cs="Arial" w:eastAsia="Arial" w:hAnsi="Arial"/>
                <w:sz w:val="16"/>
                <w:szCs w:val="16"/>
                <w:color w:val="auto"/>
              </w:rPr>
              <w:t>244</w:t>
            </w:r>
          </w:p>
        </w:tc>
        <w:tc>
          <w:tcPr>
            <w:tcW w:w="1220" w:type="dxa"/>
            <w:vAlign w:val="bottom"/>
            <w:gridSpan w:val="2"/>
          </w:tcPr>
          <w:p>
            <w:pPr>
              <w:jc w:val="right"/>
              <w:ind w:right="259"/>
              <w:spacing w:after="0"/>
              <w:rPr>
                <w:sz w:val="20"/>
                <w:szCs w:val="20"/>
                <w:color w:val="auto"/>
              </w:rPr>
            </w:pPr>
            <w:r>
              <w:rPr>
                <w:rFonts w:ascii="Arial" w:cs="Arial" w:eastAsia="Arial" w:hAnsi="Arial"/>
                <w:sz w:val="16"/>
                <w:szCs w:val="16"/>
                <w:color w:val="auto"/>
              </w:rPr>
              <w:t>1,403</w:t>
            </w:r>
          </w:p>
        </w:tc>
        <w:tc>
          <w:tcPr>
            <w:tcW w:w="640" w:type="dxa"/>
            <w:vAlign w:val="bottom"/>
          </w:tcPr>
          <w:p>
            <w:pPr>
              <w:jc w:val="right"/>
              <w:spacing w:after="0"/>
              <w:rPr>
                <w:sz w:val="20"/>
                <w:szCs w:val="20"/>
                <w:color w:val="auto"/>
              </w:rPr>
            </w:pPr>
            <w:r>
              <w:rPr>
                <w:rFonts w:ascii="Arial" w:cs="Arial" w:eastAsia="Arial" w:hAnsi="Arial"/>
                <w:sz w:val="16"/>
                <w:szCs w:val="16"/>
                <w:color w:val="auto"/>
              </w:rPr>
              <w:t>213</w:t>
            </w:r>
          </w:p>
        </w:tc>
        <w:tc>
          <w:tcPr>
            <w:tcW w:w="120" w:type="dxa"/>
            <w:vAlign w:val="bottom"/>
          </w:tcPr>
          <w:p>
            <w:pPr>
              <w:spacing w:after="0"/>
              <w:rPr>
                <w:sz w:val="18"/>
                <w:szCs w:val="18"/>
                <w:color w:val="auto"/>
              </w:rPr>
            </w:pPr>
          </w:p>
        </w:tc>
        <w:tc>
          <w:tcPr>
            <w:tcW w:w="1120" w:type="dxa"/>
            <w:vAlign w:val="bottom"/>
          </w:tcPr>
          <w:p>
            <w:pPr>
              <w:jc w:val="right"/>
              <w:ind w:right="279"/>
              <w:spacing w:after="0"/>
              <w:rPr>
                <w:sz w:val="20"/>
                <w:szCs w:val="20"/>
                <w:color w:val="auto"/>
              </w:rPr>
            </w:pPr>
            <w:r>
              <w:rPr>
                <w:rFonts w:ascii="Arial" w:cs="Arial" w:eastAsia="Arial" w:hAnsi="Arial"/>
                <w:sz w:val="16"/>
                <w:szCs w:val="16"/>
                <w:color w:val="auto"/>
              </w:rPr>
              <w:t>1,454</w:t>
            </w:r>
          </w:p>
        </w:tc>
        <w:tc>
          <w:tcPr>
            <w:tcW w:w="660" w:type="dxa"/>
            <w:vAlign w:val="bottom"/>
          </w:tcPr>
          <w:p>
            <w:pPr>
              <w:jc w:val="right"/>
              <w:spacing w:after="0"/>
              <w:rPr>
                <w:sz w:val="20"/>
                <w:szCs w:val="20"/>
                <w:color w:val="auto"/>
              </w:rPr>
            </w:pPr>
            <w:r>
              <w:rPr>
                <w:rFonts w:ascii="Arial" w:cs="Arial" w:eastAsia="Arial" w:hAnsi="Arial"/>
                <w:sz w:val="16"/>
                <w:szCs w:val="16"/>
                <w:color w:val="auto"/>
              </w:rPr>
              <w:t>205</w:t>
            </w:r>
          </w:p>
        </w:tc>
      </w:tr>
      <w:tr>
        <w:trPr>
          <w:trHeight w:val="324"/>
        </w:trPr>
        <w:tc>
          <w:tcPr>
            <w:tcW w:w="5740" w:type="dxa"/>
            <w:vAlign w:val="bottom"/>
          </w:tcPr>
          <w:p>
            <w:pPr>
              <w:ind w:left="480"/>
              <w:spacing w:after="0"/>
              <w:rPr>
                <w:sz w:val="20"/>
                <w:szCs w:val="20"/>
                <w:color w:val="auto"/>
              </w:rPr>
            </w:pPr>
            <w:r>
              <w:rPr>
                <w:rFonts w:ascii="Arial" w:cs="Arial" w:eastAsia="Arial" w:hAnsi="Arial"/>
                <w:sz w:val="16"/>
                <w:szCs w:val="16"/>
                <w:b w:val="1"/>
                <w:bCs w:val="1"/>
                <w:color w:val="auto"/>
              </w:rPr>
              <w:t>Equity Companies</w:t>
            </w:r>
          </w:p>
        </w:tc>
        <w:tc>
          <w:tcPr>
            <w:tcW w:w="1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16"/>
        </w:trPr>
        <w:tc>
          <w:tcPr>
            <w:tcW w:w="5740" w:type="dxa"/>
            <w:vAlign w:val="bottom"/>
          </w:tcPr>
          <w:p>
            <w:pPr>
              <w:ind w:left="880"/>
              <w:spacing w:after="0"/>
              <w:rPr>
                <w:sz w:val="20"/>
                <w:szCs w:val="20"/>
                <w:color w:val="auto"/>
              </w:rPr>
            </w:pPr>
            <w:r>
              <w:rPr>
                <w:rFonts w:ascii="Arial" w:cs="Arial" w:eastAsia="Arial" w:hAnsi="Arial"/>
                <w:sz w:val="16"/>
                <w:szCs w:val="16"/>
                <w:color w:val="auto"/>
              </w:rPr>
              <w:t>United States</w:t>
            </w:r>
          </w:p>
        </w:tc>
        <w:tc>
          <w:tcPr>
            <w:tcW w:w="1100" w:type="dxa"/>
            <w:vAlign w:val="bottom"/>
          </w:tcPr>
          <w:p>
            <w:pPr>
              <w:jc w:val="right"/>
              <w:ind w:right="279"/>
              <w:spacing w:after="0"/>
              <w:rPr>
                <w:sz w:val="20"/>
                <w:szCs w:val="20"/>
                <w:color w:val="auto"/>
              </w:rPr>
            </w:pPr>
            <w:r>
              <w:rPr>
                <w:rFonts w:ascii="Arial" w:cs="Arial" w:eastAsia="Arial" w:hAnsi="Arial"/>
                <w:sz w:val="16"/>
                <w:szCs w:val="16"/>
                <w:color w:val="auto"/>
              </w:rPr>
              <w:t>43</w:t>
            </w:r>
          </w:p>
        </w:tc>
        <w:tc>
          <w:tcPr>
            <w:tcW w:w="640" w:type="dxa"/>
            <w:vAlign w:val="bottom"/>
          </w:tcPr>
          <w:p>
            <w:pPr>
              <w:jc w:val="right"/>
              <w:spacing w:after="0"/>
              <w:rPr>
                <w:sz w:val="20"/>
                <w:szCs w:val="20"/>
                <w:color w:val="auto"/>
              </w:rPr>
            </w:pPr>
            <w:r>
              <w:rPr>
                <w:rFonts w:ascii="Arial" w:cs="Arial" w:eastAsia="Arial" w:hAnsi="Arial"/>
                <w:sz w:val="16"/>
                <w:szCs w:val="16"/>
                <w:color w:val="auto"/>
              </w:rPr>
              <w:t>1</w:t>
            </w:r>
          </w:p>
        </w:tc>
        <w:tc>
          <w:tcPr>
            <w:tcW w:w="1220" w:type="dxa"/>
            <w:vAlign w:val="bottom"/>
            <w:gridSpan w:val="2"/>
          </w:tcPr>
          <w:p>
            <w:pPr>
              <w:jc w:val="right"/>
              <w:ind w:right="259"/>
              <w:spacing w:after="0"/>
              <w:rPr>
                <w:sz w:val="20"/>
                <w:szCs w:val="20"/>
                <w:color w:val="auto"/>
              </w:rPr>
            </w:pPr>
            <w:r>
              <w:rPr>
                <w:rFonts w:ascii="Arial" w:cs="Arial" w:eastAsia="Arial" w:hAnsi="Arial"/>
                <w:sz w:val="16"/>
                <w:szCs w:val="16"/>
                <w:color w:val="auto"/>
              </w:rPr>
              <w:t>49</w:t>
            </w:r>
          </w:p>
        </w:tc>
        <w:tc>
          <w:tcPr>
            <w:tcW w:w="64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120" w:type="dxa"/>
            <w:vAlign w:val="bottom"/>
          </w:tcPr>
          <w:p>
            <w:pPr>
              <w:jc w:val="right"/>
              <w:ind w:right="279"/>
              <w:spacing w:after="0"/>
              <w:rPr>
                <w:sz w:val="20"/>
                <w:szCs w:val="20"/>
                <w:color w:val="auto"/>
              </w:rPr>
            </w:pPr>
            <w:r>
              <w:rPr>
                <w:rFonts w:ascii="Arial" w:cs="Arial" w:eastAsia="Arial" w:hAnsi="Arial"/>
                <w:sz w:val="16"/>
                <w:szCs w:val="16"/>
                <w:color w:val="auto"/>
              </w:rPr>
              <w:t>52</w:t>
            </w:r>
          </w:p>
        </w:tc>
        <w:tc>
          <w:tcPr>
            <w:tcW w:w="66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6"/>
        </w:trPr>
        <w:tc>
          <w:tcPr>
            <w:tcW w:w="5740" w:type="dxa"/>
            <w:vAlign w:val="bottom"/>
          </w:tcPr>
          <w:p>
            <w:pPr>
              <w:ind w:left="880"/>
              <w:spacing w:after="0"/>
              <w:rPr>
                <w:sz w:val="20"/>
                <w:szCs w:val="20"/>
                <w:color w:val="auto"/>
              </w:rPr>
            </w:pPr>
            <w:r>
              <w:rPr>
                <w:rFonts w:ascii="Arial" w:cs="Arial" w:eastAsia="Arial" w:hAnsi="Arial"/>
                <w:sz w:val="16"/>
                <w:szCs w:val="16"/>
                <w:color w:val="auto"/>
              </w:rPr>
              <w:t>Europe</w:t>
            </w:r>
          </w:p>
        </w:tc>
        <w:tc>
          <w:tcPr>
            <w:tcW w:w="1100" w:type="dxa"/>
            <w:vAlign w:val="bottom"/>
          </w:tcPr>
          <w:p>
            <w:pPr>
              <w:jc w:val="right"/>
              <w:ind w:right="279"/>
              <w:spacing w:after="0"/>
              <w:rPr>
                <w:sz w:val="20"/>
                <w:szCs w:val="20"/>
                <w:color w:val="auto"/>
              </w:rPr>
            </w:pPr>
            <w:r>
              <w:rPr>
                <w:rFonts w:ascii="Arial" w:cs="Arial" w:eastAsia="Arial" w:hAnsi="Arial"/>
                <w:sz w:val="16"/>
                <w:szCs w:val="16"/>
                <w:color w:val="auto"/>
              </w:rPr>
              <w:t>3</w:t>
            </w: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259"/>
              <w:spacing w:after="0"/>
              <w:rPr>
                <w:sz w:val="20"/>
                <w:szCs w:val="20"/>
                <w:color w:val="auto"/>
              </w:rPr>
            </w:pPr>
            <w:r>
              <w:rPr>
                <w:rFonts w:ascii="Arial" w:cs="Arial" w:eastAsia="Arial" w:hAnsi="Arial"/>
                <w:sz w:val="16"/>
                <w:szCs w:val="16"/>
                <w:color w:val="auto"/>
              </w:rPr>
              <w:t>3</w:t>
            </w: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79"/>
              <w:spacing w:after="0"/>
              <w:rPr>
                <w:sz w:val="20"/>
                <w:szCs w:val="20"/>
                <w:color w:val="auto"/>
              </w:rPr>
            </w:pPr>
            <w:r>
              <w:rPr>
                <w:rFonts w:ascii="Arial" w:cs="Arial" w:eastAsia="Arial" w:hAnsi="Arial"/>
                <w:sz w:val="16"/>
                <w:szCs w:val="16"/>
                <w:color w:val="auto"/>
              </w:rPr>
              <w:t>3</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5740" w:type="dxa"/>
            <w:vAlign w:val="bottom"/>
          </w:tcPr>
          <w:p>
            <w:pPr>
              <w:ind w:left="880"/>
              <w:spacing w:after="0"/>
              <w:rPr>
                <w:sz w:val="20"/>
                <w:szCs w:val="20"/>
                <w:color w:val="auto"/>
              </w:rPr>
            </w:pPr>
            <w:r>
              <w:rPr>
                <w:rFonts w:ascii="Arial" w:cs="Arial" w:eastAsia="Arial" w:hAnsi="Arial"/>
                <w:sz w:val="16"/>
                <w:szCs w:val="16"/>
                <w:color w:val="auto"/>
              </w:rPr>
              <w:t>Asia</w:t>
            </w:r>
          </w:p>
        </w:tc>
        <w:tc>
          <w:tcPr>
            <w:tcW w:w="11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207</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18"/>
                <w:szCs w:val="18"/>
                <w:color w:val="auto"/>
              </w:rPr>
            </w:pPr>
          </w:p>
        </w:tc>
        <w:tc>
          <w:tcPr>
            <w:tcW w:w="11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208</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18"/>
                <w:szCs w:val="18"/>
                <w:color w:val="auto"/>
              </w:rPr>
            </w:pPr>
          </w:p>
        </w:tc>
        <w:tc>
          <w:tcPr>
            <w:tcW w:w="11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232</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w:t>
            </w:r>
          </w:p>
        </w:tc>
      </w:tr>
      <w:tr>
        <w:trPr>
          <w:trHeight w:val="210"/>
        </w:trPr>
        <w:tc>
          <w:tcPr>
            <w:tcW w:w="5740" w:type="dxa"/>
            <w:vAlign w:val="bottom"/>
          </w:tcPr>
          <w:p>
            <w:pPr>
              <w:ind w:left="1320"/>
              <w:spacing w:after="0"/>
              <w:rPr>
                <w:sz w:val="20"/>
                <w:szCs w:val="20"/>
                <w:color w:val="auto"/>
              </w:rPr>
            </w:pPr>
            <w:r>
              <w:rPr>
                <w:rFonts w:ascii="Arial" w:cs="Arial" w:eastAsia="Arial" w:hAnsi="Arial"/>
                <w:sz w:val="16"/>
                <w:szCs w:val="16"/>
                <w:color w:val="auto"/>
              </w:rPr>
              <w:t>Total Equity Companies</w:t>
            </w:r>
          </w:p>
        </w:tc>
        <w:tc>
          <w:tcPr>
            <w:tcW w:w="11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253</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18"/>
                <w:szCs w:val="18"/>
                <w:color w:val="auto"/>
              </w:rPr>
            </w:pPr>
          </w:p>
        </w:tc>
        <w:tc>
          <w:tcPr>
            <w:tcW w:w="11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260</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18"/>
                <w:szCs w:val="18"/>
                <w:color w:val="auto"/>
              </w:rPr>
            </w:pPr>
          </w:p>
        </w:tc>
        <w:tc>
          <w:tcPr>
            <w:tcW w:w="11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287</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w:t>
            </w:r>
          </w:p>
        </w:tc>
      </w:tr>
      <w:tr>
        <w:trPr>
          <w:trHeight w:val="304"/>
        </w:trPr>
        <w:tc>
          <w:tcPr>
            <w:tcW w:w="5740" w:type="dxa"/>
            <w:vAlign w:val="bottom"/>
          </w:tcPr>
          <w:p>
            <w:pPr>
              <w:ind w:left="20"/>
              <w:spacing w:after="0"/>
              <w:rPr>
                <w:sz w:val="20"/>
                <w:szCs w:val="20"/>
                <w:color w:val="auto"/>
              </w:rPr>
            </w:pPr>
            <w:r>
              <w:rPr>
                <w:rFonts w:ascii="Arial" w:cs="Arial" w:eastAsia="Arial" w:hAnsi="Arial"/>
                <w:sz w:val="16"/>
                <w:szCs w:val="16"/>
                <w:b w:val="1"/>
                <w:bCs w:val="1"/>
                <w:color w:val="auto"/>
              </w:rPr>
              <w:t>Total crude oil and natural gas liquids production</w:t>
            </w:r>
          </w:p>
        </w:tc>
        <w:tc>
          <w:tcPr>
            <w:tcW w:w="1100" w:type="dxa"/>
            <w:vAlign w:val="bottom"/>
          </w:tcPr>
          <w:p>
            <w:pPr>
              <w:jc w:val="right"/>
              <w:ind w:right="279"/>
              <w:spacing w:after="0"/>
              <w:rPr>
                <w:sz w:val="20"/>
                <w:szCs w:val="20"/>
                <w:color w:val="auto"/>
              </w:rPr>
            </w:pPr>
            <w:r>
              <w:rPr>
                <w:rFonts w:ascii="Arial" w:cs="Arial" w:eastAsia="Arial" w:hAnsi="Arial"/>
                <w:sz w:val="16"/>
                <w:szCs w:val="16"/>
                <w:color w:val="auto"/>
              </w:rPr>
              <w:t>1,557</w:t>
            </w:r>
          </w:p>
        </w:tc>
        <w:tc>
          <w:tcPr>
            <w:tcW w:w="640" w:type="dxa"/>
            <w:vAlign w:val="bottom"/>
          </w:tcPr>
          <w:p>
            <w:pPr>
              <w:jc w:val="right"/>
              <w:spacing w:after="0"/>
              <w:rPr>
                <w:sz w:val="20"/>
                <w:szCs w:val="20"/>
                <w:color w:val="auto"/>
              </w:rPr>
            </w:pPr>
            <w:r>
              <w:rPr>
                <w:rFonts w:ascii="Arial" w:cs="Arial" w:eastAsia="Arial" w:hAnsi="Arial"/>
                <w:sz w:val="16"/>
                <w:szCs w:val="16"/>
                <w:color w:val="auto"/>
              </w:rPr>
              <w:t>305</w:t>
            </w:r>
          </w:p>
        </w:tc>
        <w:tc>
          <w:tcPr>
            <w:tcW w:w="1220" w:type="dxa"/>
            <w:vAlign w:val="bottom"/>
            <w:gridSpan w:val="2"/>
          </w:tcPr>
          <w:p>
            <w:pPr>
              <w:jc w:val="right"/>
              <w:ind w:right="259"/>
              <w:spacing w:after="0"/>
              <w:rPr>
                <w:sz w:val="20"/>
                <w:szCs w:val="20"/>
                <w:color w:val="auto"/>
              </w:rPr>
            </w:pPr>
            <w:r>
              <w:rPr>
                <w:rFonts w:ascii="Arial" w:cs="Arial" w:eastAsia="Arial" w:hAnsi="Arial"/>
                <w:sz w:val="16"/>
                <w:szCs w:val="16"/>
                <w:color w:val="auto"/>
              </w:rPr>
              <w:t>1,663</w:t>
            </w:r>
          </w:p>
        </w:tc>
        <w:tc>
          <w:tcPr>
            <w:tcW w:w="640" w:type="dxa"/>
            <w:vAlign w:val="bottom"/>
          </w:tcPr>
          <w:p>
            <w:pPr>
              <w:jc w:val="right"/>
              <w:spacing w:after="0"/>
              <w:rPr>
                <w:sz w:val="20"/>
                <w:szCs w:val="20"/>
                <w:color w:val="auto"/>
              </w:rPr>
            </w:pPr>
            <w:r>
              <w:rPr>
                <w:rFonts w:ascii="Arial" w:cs="Arial" w:eastAsia="Arial" w:hAnsi="Arial"/>
                <w:sz w:val="16"/>
                <w:szCs w:val="16"/>
                <w:color w:val="auto"/>
              </w:rPr>
              <w:t>276</w:t>
            </w:r>
          </w:p>
        </w:tc>
        <w:tc>
          <w:tcPr>
            <w:tcW w:w="120" w:type="dxa"/>
            <w:vAlign w:val="bottom"/>
          </w:tcPr>
          <w:p>
            <w:pPr>
              <w:spacing w:after="0"/>
              <w:rPr>
                <w:sz w:val="24"/>
                <w:szCs w:val="24"/>
                <w:color w:val="auto"/>
              </w:rPr>
            </w:pPr>
          </w:p>
        </w:tc>
        <w:tc>
          <w:tcPr>
            <w:tcW w:w="1120" w:type="dxa"/>
            <w:vAlign w:val="bottom"/>
          </w:tcPr>
          <w:p>
            <w:pPr>
              <w:jc w:val="right"/>
              <w:ind w:right="279"/>
              <w:spacing w:after="0"/>
              <w:rPr>
                <w:sz w:val="20"/>
                <w:szCs w:val="20"/>
                <w:color w:val="auto"/>
              </w:rPr>
            </w:pPr>
            <w:r>
              <w:rPr>
                <w:rFonts w:ascii="Arial" w:cs="Arial" w:eastAsia="Arial" w:hAnsi="Arial"/>
                <w:sz w:val="16"/>
                <w:szCs w:val="16"/>
                <w:color w:val="auto"/>
              </w:rPr>
              <w:t>1,741</w:t>
            </w:r>
          </w:p>
        </w:tc>
        <w:tc>
          <w:tcPr>
            <w:tcW w:w="660" w:type="dxa"/>
            <w:vAlign w:val="bottom"/>
          </w:tcPr>
          <w:p>
            <w:pPr>
              <w:jc w:val="right"/>
              <w:spacing w:after="0"/>
              <w:rPr>
                <w:sz w:val="20"/>
                <w:szCs w:val="20"/>
                <w:color w:val="auto"/>
              </w:rPr>
            </w:pPr>
            <w:r>
              <w:rPr>
                <w:rFonts w:ascii="Arial" w:cs="Arial" w:eastAsia="Arial" w:hAnsi="Arial"/>
                <w:sz w:val="16"/>
                <w:szCs w:val="16"/>
                <w:color w:val="auto"/>
              </w:rPr>
              <w:t>269</w:t>
            </w:r>
          </w:p>
        </w:tc>
      </w:tr>
      <w:tr>
        <w:trPr>
          <w:trHeight w:val="324"/>
        </w:trPr>
        <w:tc>
          <w:tcPr>
            <w:tcW w:w="5740" w:type="dxa"/>
            <w:vAlign w:val="bottom"/>
          </w:tcPr>
          <w:p>
            <w:pPr>
              <w:ind w:left="20"/>
              <w:spacing w:after="0"/>
              <w:rPr>
                <w:sz w:val="20"/>
                <w:szCs w:val="20"/>
                <w:color w:val="auto"/>
              </w:rPr>
            </w:pPr>
            <w:r>
              <w:rPr>
                <w:rFonts w:ascii="Arial" w:cs="Arial" w:eastAsia="Arial" w:hAnsi="Arial"/>
                <w:sz w:val="16"/>
                <w:szCs w:val="16"/>
                <w:b w:val="1"/>
                <w:bCs w:val="1"/>
                <w:color w:val="auto"/>
              </w:rPr>
              <w:t>Bitumen production</w:t>
            </w:r>
          </w:p>
        </w:tc>
        <w:tc>
          <w:tcPr>
            <w:tcW w:w="1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16"/>
        </w:trPr>
        <w:tc>
          <w:tcPr>
            <w:tcW w:w="5740" w:type="dxa"/>
            <w:vAlign w:val="bottom"/>
          </w:tcPr>
          <w:p>
            <w:pPr>
              <w:ind w:left="480"/>
              <w:spacing w:after="0"/>
              <w:rPr>
                <w:sz w:val="20"/>
                <w:szCs w:val="20"/>
                <w:color w:val="auto"/>
              </w:rPr>
            </w:pPr>
            <w:r>
              <w:rPr>
                <w:rFonts w:ascii="Arial" w:cs="Arial" w:eastAsia="Arial" w:hAnsi="Arial"/>
                <w:sz w:val="16"/>
                <w:szCs w:val="16"/>
                <w:b w:val="1"/>
                <w:bCs w:val="1"/>
                <w:color w:val="auto"/>
              </w:rPr>
              <w:t>Consolidated Subsidiaries</w:t>
            </w:r>
          </w:p>
        </w:tc>
        <w:tc>
          <w:tcPr>
            <w:tcW w:w="1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5740" w:type="dxa"/>
            <w:vAlign w:val="bottom"/>
          </w:tcPr>
          <w:p>
            <w:pPr>
              <w:ind w:left="880"/>
              <w:spacing w:after="0"/>
              <w:rPr>
                <w:sz w:val="20"/>
                <w:szCs w:val="20"/>
                <w:color w:val="auto"/>
              </w:rPr>
            </w:pPr>
            <w:r>
              <w:rPr>
                <w:rFonts w:ascii="Arial" w:cs="Arial" w:eastAsia="Arial" w:hAnsi="Arial"/>
                <w:sz w:val="16"/>
                <w:szCs w:val="16"/>
                <w:color w:val="auto"/>
              </w:rPr>
              <w:t>Canada/Other Americas</w:t>
            </w:r>
          </w:p>
        </w:tc>
        <w:tc>
          <w:tcPr>
            <w:tcW w:w="1100" w:type="dxa"/>
            <w:vAlign w:val="bottom"/>
          </w:tcPr>
          <w:p>
            <w:pPr>
              <w:jc w:val="right"/>
              <w:ind w:right="279"/>
              <w:spacing w:after="0"/>
              <w:rPr>
                <w:sz w:val="20"/>
                <w:szCs w:val="20"/>
                <w:color w:val="auto"/>
              </w:rPr>
            </w:pPr>
            <w:r>
              <w:rPr>
                <w:rFonts w:ascii="Arial" w:cs="Arial" w:eastAsia="Arial" w:hAnsi="Arial"/>
                <w:sz w:val="16"/>
                <w:szCs w:val="16"/>
                <w:color w:val="auto"/>
              </w:rPr>
              <w:t>365</w:t>
            </w:r>
          </w:p>
        </w:tc>
        <w:tc>
          <w:tcPr>
            <w:tcW w:w="640" w:type="dxa"/>
            <w:vAlign w:val="bottom"/>
          </w:tcPr>
          <w:p>
            <w:pPr>
              <w:spacing w:after="0"/>
              <w:rPr>
                <w:sz w:val="18"/>
                <w:szCs w:val="18"/>
                <w:color w:val="auto"/>
              </w:rPr>
            </w:pPr>
          </w:p>
        </w:tc>
        <w:tc>
          <w:tcPr>
            <w:tcW w:w="1220" w:type="dxa"/>
            <w:vAlign w:val="bottom"/>
            <w:gridSpan w:val="2"/>
          </w:tcPr>
          <w:p>
            <w:pPr>
              <w:jc w:val="right"/>
              <w:ind w:right="259"/>
              <w:spacing w:after="0"/>
              <w:rPr>
                <w:sz w:val="20"/>
                <w:szCs w:val="20"/>
                <w:color w:val="auto"/>
              </w:rPr>
            </w:pPr>
            <w:r>
              <w:rPr>
                <w:rFonts w:ascii="Arial" w:cs="Arial" w:eastAsia="Arial" w:hAnsi="Arial"/>
                <w:sz w:val="16"/>
                <w:szCs w:val="16"/>
                <w:color w:val="auto"/>
              </w:rPr>
              <w:t>342</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279"/>
              <w:spacing w:after="0"/>
              <w:rPr>
                <w:sz w:val="20"/>
                <w:szCs w:val="20"/>
                <w:color w:val="auto"/>
              </w:rPr>
            </w:pPr>
            <w:r>
              <w:rPr>
                <w:rFonts w:ascii="Arial" w:cs="Arial" w:eastAsia="Arial" w:hAnsi="Arial"/>
                <w:sz w:val="16"/>
                <w:szCs w:val="16"/>
                <w:color w:val="auto"/>
              </w:rPr>
              <w:t>311</w:t>
            </w:r>
          </w:p>
        </w:tc>
        <w:tc>
          <w:tcPr>
            <w:tcW w:w="660" w:type="dxa"/>
            <w:vAlign w:val="bottom"/>
          </w:tcPr>
          <w:p>
            <w:pPr>
              <w:spacing w:after="0"/>
              <w:rPr>
                <w:sz w:val="18"/>
                <w:szCs w:val="18"/>
                <w:color w:val="auto"/>
              </w:rPr>
            </w:pPr>
          </w:p>
        </w:tc>
      </w:tr>
      <w:tr>
        <w:trPr>
          <w:trHeight w:val="324"/>
        </w:trPr>
        <w:tc>
          <w:tcPr>
            <w:tcW w:w="5740" w:type="dxa"/>
            <w:vAlign w:val="bottom"/>
          </w:tcPr>
          <w:p>
            <w:pPr>
              <w:ind w:left="20"/>
              <w:spacing w:after="0"/>
              <w:rPr>
                <w:sz w:val="20"/>
                <w:szCs w:val="20"/>
                <w:color w:val="auto"/>
              </w:rPr>
            </w:pPr>
            <w:r>
              <w:rPr>
                <w:rFonts w:ascii="Arial" w:cs="Arial" w:eastAsia="Arial" w:hAnsi="Arial"/>
                <w:sz w:val="16"/>
                <w:szCs w:val="16"/>
                <w:b w:val="1"/>
                <w:bCs w:val="1"/>
                <w:color w:val="auto"/>
              </w:rPr>
              <w:t>Synthetic oil production</w:t>
            </w:r>
          </w:p>
        </w:tc>
        <w:tc>
          <w:tcPr>
            <w:tcW w:w="1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16"/>
        </w:trPr>
        <w:tc>
          <w:tcPr>
            <w:tcW w:w="5740" w:type="dxa"/>
            <w:vAlign w:val="bottom"/>
          </w:tcPr>
          <w:p>
            <w:pPr>
              <w:ind w:left="480"/>
              <w:spacing w:after="0"/>
              <w:rPr>
                <w:sz w:val="20"/>
                <w:szCs w:val="20"/>
                <w:color w:val="auto"/>
              </w:rPr>
            </w:pPr>
            <w:r>
              <w:rPr>
                <w:rFonts w:ascii="Arial" w:cs="Arial" w:eastAsia="Arial" w:hAnsi="Arial"/>
                <w:sz w:val="16"/>
                <w:szCs w:val="16"/>
                <w:b w:val="1"/>
                <w:bCs w:val="1"/>
                <w:color w:val="auto"/>
              </w:rPr>
              <w:t>Consolidated Subsidiaries</w:t>
            </w:r>
          </w:p>
        </w:tc>
        <w:tc>
          <w:tcPr>
            <w:tcW w:w="1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5740" w:type="dxa"/>
            <w:vAlign w:val="bottom"/>
          </w:tcPr>
          <w:p>
            <w:pPr>
              <w:ind w:left="880"/>
              <w:spacing w:after="0"/>
              <w:rPr>
                <w:sz w:val="20"/>
                <w:szCs w:val="20"/>
                <w:color w:val="auto"/>
              </w:rPr>
            </w:pPr>
            <w:r>
              <w:rPr>
                <w:rFonts w:ascii="Arial" w:cs="Arial" w:eastAsia="Arial" w:hAnsi="Arial"/>
                <w:sz w:val="16"/>
                <w:szCs w:val="16"/>
                <w:color w:val="auto"/>
              </w:rPr>
              <w:t>Canada/Other Americas</w:t>
            </w:r>
          </w:p>
        </w:tc>
        <w:tc>
          <w:tcPr>
            <w:tcW w:w="11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62</w:t>
            </w:r>
          </w:p>
        </w:tc>
        <w:tc>
          <w:tcPr>
            <w:tcW w:w="6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68</w:t>
            </w:r>
          </w:p>
        </w:tc>
        <w:tc>
          <w:tcPr>
            <w:tcW w:w="6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65</w:t>
            </w:r>
          </w:p>
        </w:tc>
        <w:tc>
          <w:tcPr>
            <w:tcW w:w="660" w:type="dxa"/>
            <w:vAlign w:val="bottom"/>
            <w:tcBorders>
              <w:bottom w:val="single" w:sz="8" w:color="auto"/>
            </w:tcBorders>
          </w:tcPr>
          <w:p>
            <w:pPr>
              <w:spacing w:after="0"/>
              <w:rPr>
                <w:sz w:val="18"/>
                <w:szCs w:val="18"/>
                <w:color w:val="auto"/>
              </w:rPr>
            </w:pPr>
          </w:p>
        </w:tc>
      </w:tr>
      <w:tr>
        <w:trPr>
          <w:trHeight w:val="307"/>
        </w:trPr>
        <w:tc>
          <w:tcPr>
            <w:tcW w:w="5740" w:type="dxa"/>
            <w:vAlign w:val="bottom"/>
          </w:tcPr>
          <w:p>
            <w:pPr>
              <w:ind w:left="20"/>
              <w:spacing w:after="0"/>
              <w:rPr>
                <w:sz w:val="20"/>
                <w:szCs w:val="20"/>
                <w:color w:val="auto"/>
              </w:rPr>
            </w:pPr>
            <w:r>
              <w:rPr>
                <w:rFonts w:ascii="Arial" w:cs="Arial" w:eastAsia="Arial" w:hAnsi="Arial"/>
                <w:sz w:val="16"/>
                <w:szCs w:val="16"/>
                <w:b w:val="1"/>
                <w:bCs w:val="1"/>
                <w:color w:val="auto"/>
              </w:rPr>
              <w:t>Total liquids production</w:t>
            </w:r>
          </w:p>
        </w:tc>
        <w:tc>
          <w:tcPr>
            <w:tcW w:w="1100" w:type="dxa"/>
            <w:vAlign w:val="bottom"/>
          </w:tcPr>
          <w:p>
            <w:pPr>
              <w:jc w:val="right"/>
              <w:ind w:right="279"/>
              <w:spacing w:after="0"/>
              <w:rPr>
                <w:sz w:val="20"/>
                <w:szCs w:val="20"/>
                <w:color w:val="auto"/>
              </w:rPr>
            </w:pPr>
            <w:r>
              <w:rPr>
                <w:rFonts w:ascii="Arial" w:cs="Arial" w:eastAsia="Arial" w:hAnsi="Arial"/>
                <w:sz w:val="16"/>
                <w:szCs w:val="16"/>
                <w:color w:val="auto"/>
              </w:rPr>
              <w:t>2,289</w:t>
            </w:r>
          </w:p>
        </w:tc>
        <w:tc>
          <w:tcPr>
            <w:tcW w:w="640" w:type="dxa"/>
            <w:vAlign w:val="bottom"/>
          </w:tcPr>
          <w:p>
            <w:pPr>
              <w:spacing w:after="0"/>
              <w:rPr>
                <w:sz w:val="24"/>
                <w:szCs w:val="24"/>
                <w:color w:val="auto"/>
              </w:rPr>
            </w:pPr>
          </w:p>
        </w:tc>
        <w:tc>
          <w:tcPr>
            <w:tcW w:w="1220" w:type="dxa"/>
            <w:vAlign w:val="bottom"/>
            <w:gridSpan w:val="2"/>
          </w:tcPr>
          <w:p>
            <w:pPr>
              <w:jc w:val="right"/>
              <w:ind w:right="259"/>
              <w:spacing w:after="0"/>
              <w:rPr>
                <w:sz w:val="20"/>
                <w:szCs w:val="20"/>
                <w:color w:val="auto"/>
              </w:rPr>
            </w:pPr>
            <w:r>
              <w:rPr>
                <w:rFonts w:ascii="Arial" w:cs="Arial" w:eastAsia="Arial" w:hAnsi="Arial"/>
                <w:sz w:val="16"/>
                <w:szCs w:val="16"/>
                <w:color w:val="auto"/>
              </w:rPr>
              <w:t>2,349</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right"/>
              <w:ind w:right="279"/>
              <w:spacing w:after="0"/>
              <w:rPr>
                <w:sz w:val="20"/>
                <w:szCs w:val="20"/>
                <w:color w:val="auto"/>
              </w:rPr>
            </w:pPr>
            <w:r>
              <w:rPr>
                <w:rFonts w:ascii="Arial" w:cs="Arial" w:eastAsia="Arial" w:hAnsi="Arial"/>
                <w:sz w:val="16"/>
                <w:szCs w:val="16"/>
                <w:color w:val="auto"/>
              </w:rPr>
              <w:t>2,386</w:t>
            </w:r>
          </w:p>
        </w:tc>
        <w:tc>
          <w:tcPr>
            <w:tcW w:w="660" w:type="dxa"/>
            <w:vAlign w:val="bottom"/>
          </w:tcPr>
          <w:p>
            <w:pPr>
              <w:spacing w:after="0"/>
              <w:rPr>
                <w:sz w:val="24"/>
                <w:szCs w:val="24"/>
                <w:color w:val="auto"/>
              </w:rPr>
            </w:pPr>
          </w:p>
        </w:tc>
      </w:tr>
      <w:tr>
        <w:trPr>
          <w:trHeight w:val="91"/>
        </w:trPr>
        <w:tc>
          <w:tcPr>
            <w:tcW w:w="5740" w:type="dxa"/>
            <w:vAlign w:val="bottom"/>
          </w:tcPr>
          <w:p>
            <w:pPr>
              <w:spacing w:after="0"/>
              <w:rPr>
                <w:sz w:val="7"/>
                <w:szCs w:val="7"/>
                <w:color w:val="auto"/>
              </w:rPr>
            </w:pPr>
          </w:p>
        </w:tc>
        <w:tc>
          <w:tcPr>
            <w:tcW w:w="1100" w:type="dxa"/>
            <w:vAlign w:val="bottom"/>
            <w:tcBorders>
              <w:top w:val="single" w:sz="8" w:color="auto"/>
              <w:bottom w:val="single" w:sz="8" w:color="auto"/>
            </w:tcBorders>
          </w:tcPr>
          <w:p>
            <w:pPr>
              <w:spacing w:after="0"/>
              <w:rPr>
                <w:sz w:val="7"/>
                <w:szCs w:val="7"/>
                <w:color w:val="auto"/>
              </w:rPr>
            </w:pPr>
          </w:p>
        </w:tc>
        <w:tc>
          <w:tcPr>
            <w:tcW w:w="640" w:type="dxa"/>
            <w:vAlign w:val="bottom"/>
            <w:tcBorders>
              <w:top w:val="single" w:sz="8" w:color="auto"/>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100" w:type="dxa"/>
            <w:vAlign w:val="bottom"/>
            <w:tcBorders>
              <w:top w:val="single" w:sz="8" w:color="auto"/>
              <w:bottom w:val="single" w:sz="8" w:color="auto"/>
            </w:tcBorders>
          </w:tcPr>
          <w:p>
            <w:pPr>
              <w:spacing w:after="0"/>
              <w:rPr>
                <w:sz w:val="7"/>
                <w:szCs w:val="7"/>
                <w:color w:val="auto"/>
              </w:rPr>
            </w:pPr>
          </w:p>
        </w:tc>
        <w:tc>
          <w:tcPr>
            <w:tcW w:w="640" w:type="dxa"/>
            <w:vAlign w:val="bottom"/>
            <w:tcBorders>
              <w:top w:val="single" w:sz="8" w:color="auto"/>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120" w:type="dxa"/>
            <w:vAlign w:val="bottom"/>
            <w:tcBorders>
              <w:top w:val="single" w:sz="8" w:color="auto"/>
              <w:bottom w:val="single" w:sz="8" w:color="auto"/>
            </w:tcBorders>
          </w:tcPr>
          <w:p>
            <w:pPr>
              <w:spacing w:after="0"/>
              <w:rPr>
                <w:sz w:val="7"/>
                <w:szCs w:val="7"/>
                <w:color w:val="auto"/>
              </w:rPr>
            </w:pPr>
          </w:p>
        </w:tc>
        <w:tc>
          <w:tcPr>
            <w:tcW w:w="660" w:type="dxa"/>
            <w:vAlign w:val="bottom"/>
            <w:tcBorders>
              <w:top w:val="single" w:sz="8" w:color="auto"/>
              <w:bottom w:val="single" w:sz="8" w:color="auto"/>
            </w:tcBorders>
          </w:tcPr>
          <w:p>
            <w:pPr>
              <w:spacing w:after="0"/>
              <w:rPr>
                <w:sz w:val="7"/>
                <w:szCs w:val="7"/>
                <w:color w:val="auto"/>
              </w:rPr>
            </w:pPr>
          </w:p>
        </w:tc>
      </w:tr>
      <w:tr>
        <w:trPr>
          <w:trHeight w:val="203"/>
        </w:trPr>
        <w:tc>
          <w:tcPr>
            <w:tcW w:w="57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980" w:type="dxa"/>
            <w:vAlign w:val="bottom"/>
            <w:gridSpan w:val="4"/>
          </w:tcPr>
          <w:p>
            <w:pPr>
              <w:jc w:val="center"/>
              <w:spacing w:after="0"/>
              <w:rPr>
                <w:sz w:val="20"/>
                <w:szCs w:val="20"/>
                <w:color w:val="auto"/>
              </w:rPr>
            </w:pPr>
            <w:r>
              <w:rPr>
                <w:rFonts w:ascii="Arial" w:cs="Arial" w:eastAsia="Arial" w:hAnsi="Arial"/>
                <w:sz w:val="16"/>
                <w:szCs w:val="16"/>
                <w:i w:val="1"/>
                <w:iCs w:val="1"/>
                <w:color w:val="auto"/>
                <w:w w:val="94"/>
              </w:rPr>
              <w:t>(millions of cubic feet daily)</w:t>
            </w:r>
          </w:p>
        </w:tc>
        <w:tc>
          <w:tcPr>
            <w:tcW w:w="112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16"/>
        </w:trPr>
        <w:tc>
          <w:tcPr>
            <w:tcW w:w="5740" w:type="dxa"/>
            <w:vAlign w:val="bottom"/>
          </w:tcPr>
          <w:p>
            <w:pPr>
              <w:ind w:left="20"/>
              <w:spacing w:after="0"/>
              <w:rPr>
                <w:sz w:val="20"/>
                <w:szCs w:val="20"/>
                <w:color w:val="auto"/>
              </w:rPr>
            </w:pPr>
            <w:r>
              <w:rPr>
                <w:rFonts w:ascii="Arial" w:cs="Arial" w:eastAsia="Arial" w:hAnsi="Arial"/>
                <w:sz w:val="16"/>
                <w:szCs w:val="16"/>
                <w:b w:val="1"/>
                <w:bCs w:val="1"/>
                <w:color w:val="auto"/>
              </w:rPr>
              <w:t>Natural gas production available for sale</w:t>
            </w:r>
          </w:p>
        </w:tc>
        <w:tc>
          <w:tcPr>
            <w:tcW w:w="1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5740" w:type="dxa"/>
            <w:vAlign w:val="bottom"/>
          </w:tcPr>
          <w:p>
            <w:pPr>
              <w:ind w:left="480"/>
              <w:spacing w:after="0"/>
              <w:rPr>
                <w:sz w:val="20"/>
                <w:szCs w:val="20"/>
                <w:color w:val="auto"/>
              </w:rPr>
            </w:pPr>
            <w:r>
              <w:rPr>
                <w:rFonts w:ascii="Arial" w:cs="Arial" w:eastAsia="Arial" w:hAnsi="Arial"/>
                <w:sz w:val="16"/>
                <w:szCs w:val="16"/>
                <w:b w:val="1"/>
                <w:bCs w:val="1"/>
                <w:color w:val="auto"/>
              </w:rPr>
              <w:t>Consolidated Subsidiaries</w:t>
            </w:r>
          </w:p>
        </w:tc>
        <w:tc>
          <w:tcPr>
            <w:tcW w:w="1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5740" w:type="dxa"/>
            <w:vAlign w:val="bottom"/>
          </w:tcPr>
          <w:p>
            <w:pPr>
              <w:ind w:left="880"/>
              <w:spacing w:after="0"/>
              <w:rPr>
                <w:sz w:val="20"/>
                <w:szCs w:val="20"/>
                <w:color w:val="auto"/>
              </w:rPr>
            </w:pPr>
            <w:r>
              <w:rPr>
                <w:rFonts w:ascii="Arial" w:cs="Arial" w:eastAsia="Arial" w:hAnsi="Arial"/>
                <w:sz w:val="16"/>
                <w:szCs w:val="16"/>
                <w:color w:val="auto"/>
              </w:rPr>
              <w:t>United States</w:t>
            </w:r>
          </w:p>
        </w:tc>
        <w:tc>
          <w:tcPr>
            <w:tcW w:w="1100" w:type="dxa"/>
            <w:vAlign w:val="bottom"/>
          </w:tcPr>
          <w:p>
            <w:pPr>
              <w:jc w:val="right"/>
              <w:ind w:right="279"/>
              <w:spacing w:after="0"/>
              <w:rPr>
                <w:sz w:val="20"/>
                <w:szCs w:val="20"/>
                <w:color w:val="auto"/>
              </w:rPr>
            </w:pPr>
            <w:r>
              <w:rPr>
                <w:rFonts w:ascii="Arial" w:cs="Arial" w:eastAsia="Arial" w:hAnsi="Arial"/>
                <w:sz w:val="16"/>
                <w:szCs w:val="16"/>
                <w:color w:val="auto"/>
              </w:rPr>
              <w:t>2,724</w:t>
            </w:r>
          </w:p>
        </w:tc>
        <w:tc>
          <w:tcPr>
            <w:tcW w:w="640" w:type="dxa"/>
            <w:vAlign w:val="bottom"/>
          </w:tcPr>
          <w:p>
            <w:pPr>
              <w:spacing w:after="0"/>
              <w:rPr>
                <w:sz w:val="18"/>
                <w:szCs w:val="18"/>
                <w:color w:val="auto"/>
              </w:rPr>
            </w:pPr>
          </w:p>
        </w:tc>
        <w:tc>
          <w:tcPr>
            <w:tcW w:w="1220" w:type="dxa"/>
            <w:vAlign w:val="bottom"/>
            <w:gridSpan w:val="2"/>
          </w:tcPr>
          <w:p>
            <w:pPr>
              <w:jc w:val="right"/>
              <w:ind w:right="259"/>
              <w:spacing w:after="0"/>
              <w:rPr>
                <w:sz w:val="20"/>
                <w:szCs w:val="20"/>
                <w:color w:val="auto"/>
              </w:rPr>
            </w:pPr>
            <w:r>
              <w:rPr>
                <w:rFonts w:ascii="Arial" w:cs="Arial" w:eastAsia="Arial" w:hAnsi="Arial"/>
                <w:sz w:val="16"/>
                <w:szCs w:val="16"/>
                <w:color w:val="auto"/>
              </w:rPr>
              <w:t>2,668</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279"/>
              <w:spacing w:after="0"/>
              <w:rPr>
                <w:sz w:val="20"/>
                <w:szCs w:val="20"/>
                <w:color w:val="auto"/>
              </w:rPr>
            </w:pPr>
            <w:r>
              <w:rPr>
                <w:rFonts w:ascii="Arial" w:cs="Arial" w:eastAsia="Arial" w:hAnsi="Arial"/>
                <w:sz w:val="16"/>
                <w:szCs w:val="16"/>
                <w:color w:val="auto"/>
              </w:rPr>
              <w:t>2,756</w:t>
            </w:r>
          </w:p>
        </w:tc>
        <w:tc>
          <w:tcPr>
            <w:tcW w:w="660" w:type="dxa"/>
            <w:vAlign w:val="bottom"/>
          </w:tcPr>
          <w:p>
            <w:pPr>
              <w:spacing w:after="0"/>
              <w:rPr>
                <w:sz w:val="18"/>
                <w:szCs w:val="18"/>
                <w:color w:val="auto"/>
              </w:rPr>
            </w:pPr>
          </w:p>
        </w:tc>
      </w:tr>
      <w:tr>
        <w:trPr>
          <w:trHeight w:val="216"/>
        </w:trPr>
        <w:tc>
          <w:tcPr>
            <w:tcW w:w="5740" w:type="dxa"/>
            <w:vAlign w:val="bottom"/>
          </w:tcPr>
          <w:p>
            <w:pPr>
              <w:ind w:left="880"/>
              <w:spacing w:after="0"/>
              <w:rPr>
                <w:sz w:val="20"/>
                <w:szCs w:val="20"/>
                <w:color w:val="auto"/>
              </w:rPr>
            </w:pPr>
            <w:r>
              <w:rPr>
                <w:rFonts w:ascii="Arial" w:cs="Arial" w:eastAsia="Arial" w:hAnsi="Arial"/>
                <w:sz w:val="16"/>
                <w:szCs w:val="16"/>
                <w:color w:val="auto"/>
              </w:rPr>
              <w:t xml:space="preserve">Canada/Other Americas </w:t>
            </w:r>
            <w:r>
              <w:rPr>
                <w:rFonts w:ascii="Arial" w:cs="Arial" w:eastAsia="Arial" w:hAnsi="Arial"/>
                <w:sz w:val="14"/>
                <w:szCs w:val="14"/>
                <w:i w:val="1"/>
                <w:iCs w:val="1"/>
                <w:color w:val="auto"/>
              </w:rPr>
              <w:t>(1)</w:t>
            </w:r>
          </w:p>
        </w:tc>
        <w:tc>
          <w:tcPr>
            <w:tcW w:w="1100" w:type="dxa"/>
            <w:vAlign w:val="bottom"/>
          </w:tcPr>
          <w:p>
            <w:pPr>
              <w:jc w:val="right"/>
              <w:ind w:right="279"/>
              <w:spacing w:after="0"/>
              <w:rPr>
                <w:sz w:val="20"/>
                <w:szCs w:val="20"/>
                <w:color w:val="auto"/>
              </w:rPr>
            </w:pPr>
            <w:r>
              <w:rPr>
                <w:rFonts w:ascii="Arial" w:cs="Arial" w:eastAsia="Arial" w:hAnsi="Arial"/>
                <w:sz w:val="16"/>
                <w:szCs w:val="16"/>
                <w:color w:val="auto"/>
              </w:rPr>
              <w:t>195</w:t>
            </w:r>
          </w:p>
        </w:tc>
        <w:tc>
          <w:tcPr>
            <w:tcW w:w="640" w:type="dxa"/>
            <w:vAlign w:val="bottom"/>
          </w:tcPr>
          <w:p>
            <w:pPr>
              <w:spacing w:after="0"/>
              <w:rPr>
                <w:sz w:val="18"/>
                <w:szCs w:val="18"/>
                <w:color w:val="auto"/>
              </w:rPr>
            </w:pPr>
          </w:p>
        </w:tc>
        <w:tc>
          <w:tcPr>
            <w:tcW w:w="1220" w:type="dxa"/>
            <w:vAlign w:val="bottom"/>
            <w:gridSpan w:val="2"/>
          </w:tcPr>
          <w:p>
            <w:pPr>
              <w:jc w:val="right"/>
              <w:ind w:right="259"/>
              <w:spacing w:after="0"/>
              <w:rPr>
                <w:sz w:val="20"/>
                <w:szCs w:val="20"/>
                <w:color w:val="auto"/>
              </w:rPr>
            </w:pPr>
            <w:r>
              <w:rPr>
                <w:rFonts w:ascii="Arial" w:cs="Arial" w:eastAsia="Arial" w:hAnsi="Arial"/>
                <w:sz w:val="16"/>
                <w:szCs w:val="16"/>
                <w:color w:val="auto"/>
              </w:rPr>
              <w:t>277</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279"/>
              <w:spacing w:after="0"/>
              <w:rPr>
                <w:sz w:val="20"/>
                <w:szCs w:val="20"/>
                <w:color w:val="auto"/>
              </w:rPr>
            </w:pPr>
            <w:r>
              <w:rPr>
                <w:rFonts w:ascii="Arial" w:cs="Arial" w:eastAsia="Arial" w:hAnsi="Arial"/>
                <w:sz w:val="16"/>
                <w:szCs w:val="16"/>
                <w:color w:val="auto"/>
              </w:rPr>
              <w:t>258</w:t>
            </w:r>
          </w:p>
        </w:tc>
        <w:tc>
          <w:tcPr>
            <w:tcW w:w="660" w:type="dxa"/>
            <w:vAlign w:val="bottom"/>
          </w:tcPr>
          <w:p>
            <w:pPr>
              <w:spacing w:after="0"/>
              <w:rPr>
                <w:sz w:val="18"/>
                <w:szCs w:val="18"/>
                <w:color w:val="auto"/>
              </w:rPr>
            </w:pPr>
          </w:p>
        </w:tc>
      </w:tr>
      <w:tr>
        <w:trPr>
          <w:trHeight w:val="216"/>
        </w:trPr>
        <w:tc>
          <w:tcPr>
            <w:tcW w:w="5740" w:type="dxa"/>
            <w:vAlign w:val="bottom"/>
          </w:tcPr>
          <w:p>
            <w:pPr>
              <w:ind w:left="880"/>
              <w:spacing w:after="0"/>
              <w:rPr>
                <w:sz w:val="20"/>
                <w:szCs w:val="20"/>
                <w:color w:val="auto"/>
              </w:rPr>
            </w:pPr>
            <w:r>
              <w:rPr>
                <w:rFonts w:ascii="Arial" w:cs="Arial" w:eastAsia="Arial" w:hAnsi="Arial"/>
                <w:sz w:val="16"/>
                <w:szCs w:val="16"/>
                <w:color w:val="auto"/>
              </w:rPr>
              <w:t>Europe</w:t>
            </w:r>
          </w:p>
        </w:tc>
        <w:tc>
          <w:tcPr>
            <w:tcW w:w="1100" w:type="dxa"/>
            <w:vAlign w:val="bottom"/>
          </w:tcPr>
          <w:p>
            <w:pPr>
              <w:jc w:val="right"/>
              <w:ind w:right="279"/>
              <w:spacing w:after="0"/>
              <w:rPr>
                <w:sz w:val="20"/>
                <w:szCs w:val="20"/>
                <w:color w:val="auto"/>
              </w:rPr>
            </w:pPr>
            <w:r>
              <w:rPr>
                <w:rFonts w:ascii="Arial" w:cs="Arial" w:eastAsia="Arial" w:hAnsi="Arial"/>
                <w:sz w:val="16"/>
                <w:szCs w:val="16"/>
                <w:color w:val="auto"/>
              </w:rPr>
              <w:t>377</w:t>
            </w:r>
          </w:p>
        </w:tc>
        <w:tc>
          <w:tcPr>
            <w:tcW w:w="640" w:type="dxa"/>
            <w:vAlign w:val="bottom"/>
          </w:tcPr>
          <w:p>
            <w:pPr>
              <w:spacing w:after="0"/>
              <w:rPr>
                <w:sz w:val="18"/>
                <w:szCs w:val="18"/>
                <w:color w:val="auto"/>
              </w:rPr>
            </w:pPr>
          </w:p>
        </w:tc>
        <w:tc>
          <w:tcPr>
            <w:tcW w:w="1220" w:type="dxa"/>
            <w:vAlign w:val="bottom"/>
            <w:gridSpan w:val="2"/>
          </w:tcPr>
          <w:p>
            <w:pPr>
              <w:jc w:val="right"/>
              <w:ind w:right="259"/>
              <w:spacing w:after="0"/>
              <w:rPr>
                <w:sz w:val="20"/>
                <w:szCs w:val="20"/>
                <w:color w:val="auto"/>
              </w:rPr>
            </w:pPr>
            <w:r>
              <w:rPr>
                <w:rFonts w:ascii="Arial" w:cs="Arial" w:eastAsia="Arial" w:hAnsi="Arial"/>
                <w:sz w:val="16"/>
                <w:szCs w:val="16"/>
                <w:color w:val="auto"/>
              </w:rPr>
              <w:t>447</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279"/>
              <w:spacing w:after="0"/>
              <w:rPr>
                <w:sz w:val="20"/>
                <w:szCs w:val="20"/>
                <w:color w:val="auto"/>
              </w:rPr>
            </w:pPr>
            <w:r>
              <w:rPr>
                <w:rFonts w:ascii="Arial" w:cs="Arial" w:eastAsia="Arial" w:hAnsi="Arial"/>
                <w:sz w:val="16"/>
                <w:szCs w:val="16"/>
                <w:color w:val="auto"/>
              </w:rPr>
              <w:t>808</w:t>
            </w:r>
          </w:p>
        </w:tc>
        <w:tc>
          <w:tcPr>
            <w:tcW w:w="660" w:type="dxa"/>
            <w:vAlign w:val="bottom"/>
          </w:tcPr>
          <w:p>
            <w:pPr>
              <w:spacing w:after="0"/>
              <w:rPr>
                <w:sz w:val="18"/>
                <w:szCs w:val="18"/>
                <w:color w:val="auto"/>
              </w:rPr>
            </w:pPr>
          </w:p>
        </w:tc>
      </w:tr>
      <w:tr>
        <w:trPr>
          <w:trHeight w:val="216"/>
        </w:trPr>
        <w:tc>
          <w:tcPr>
            <w:tcW w:w="5740" w:type="dxa"/>
            <w:vAlign w:val="bottom"/>
          </w:tcPr>
          <w:p>
            <w:pPr>
              <w:ind w:left="880"/>
              <w:spacing w:after="0"/>
              <w:rPr>
                <w:sz w:val="20"/>
                <w:szCs w:val="20"/>
                <w:color w:val="auto"/>
              </w:rPr>
            </w:pPr>
            <w:r>
              <w:rPr>
                <w:rFonts w:ascii="Arial" w:cs="Arial" w:eastAsia="Arial" w:hAnsi="Arial"/>
                <w:sz w:val="16"/>
                <w:szCs w:val="16"/>
                <w:color w:val="auto"/>
              </w:rPr>
              <w:t>Africa</w:t>
            </w:r>
          </w:p>
        </w:tc>
        <w:tc>
          <w:tcPr>
            <w:tcW w:w="1100" w:type="dxa"/>
            <w:vAlign w:val="bottom"/>
          </w:tcPr>
          <w:p>
            <w:pPr>
              <w:jc w:val="right"/>
              <w:ind w:right="279"/>
              <w:spacing w:after="0"/>
              <w:rPr>
                <w:sz w:val="20"/>
                <w:szCs w:val="20"/>
                <w:color w:val="auto"/>
              </w:rPr>
            </w:pPr>
            <w:r>
              <w:rPr>
                <w:rFonts w:ascii="Arial" w:cs="Arial" w:eastAsia="Arial" w:hAnsi="Arial"/>
                <w:sz w:val="16"/>
                <w:szCs w:val="16"/>
                <w:color w:val="auto"/>
              </w:rPr>
              <w:t>43</w:t>
            </w:r>
          </w:p>
        </w:tc>
        <w:tc>
          <w:tcPr>
            <w:tcW w:w="640" w:type="dxa"/>
            <w:vAlign w:val="bottom"/>
          </w:tcPr>
          <w:p>
            <w:pPr>
              <w:spacing w:after="0"/>
              <w:rPr>
                <w:sz w:val="18"/>
                <w:szCs w:val="18"/>
                <w:color w:val="auto"/>
              </w:rPr>
            </w:pPr>
          </w:p>
        </w:tc>
        <w:tc>
          <w:tcPr>
            <w:tcW w:w="1220" w:type="dxa"/>
            <w:vAlign w:val="bottom"/>
            <w:gridSpan w:val="2"/>
          </w:tcPr>
          <w:p>
            <w:pPr>
              <w:jc w:val="right"/>
              <w:ind w:right="259"/>
              <w:spacing w:after="0"/>
              <w:rPr>
                <w:sz w:val="20"/>
                <w:szCs w:val="20"/>
                <w:color w:val="auto"/>
              </w:rPr>
            </w:pPr>
            <w:r>
              <w:rPr>
                <w:rFonts w:ascii="Arial" w:cs="Arial" w:eastAsia="Arial" w:hAnsi="Arial"/>
                <w:sz w:val="16"/>
                <w:szCs w:val="16"/>
                <w:color w:val="auto"/>
              </w:rPr>
              <w:t>9</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279"/>
              <w:spacing w:after="0"/>
              <w:rPr>
                <w:sz w:val="20"/>
                <w:szCs w:val="20"/>
                <w:color w:val="auto"/>
              </w:rPr>
            </w:pPr>
            <w:r>
              <w:rPr>
                <w:rFonts w:ascii="Arial" w:cs="Arial" w:eastAsia="Arial" w:hAnsi="Arial"/>
                <w:sz w:val="16"/>
                <w:szCs w:val="16"/>
                <w:color w:val="auto"/>
              </w:rPr>
              <w:t>7</w:t>
            </w:r>
          </w:p>
        </w:tc>
        <w:tc>
          <w:tcPr>
            <w:tcW w:w="660" w:type="dxa"/>
            <w:vAlign w:val="bottom"/>
          </w:tcPr>
          <w:p>
            <w:pPr>
              <w:spacing w:after="0"/>
              <w:rPr>
                <w:sz w:val="18"/>
                <w:szCs w:val="18"/>
                <w:color w:val="auto"/>
              </w:rPr>
            </w:pPr>
          </w:p>
        </w:tc>
      </w:tr>
      <w:tr>
        <w:trPr>
          <w:trHeight w:val="216"/>
        </w:trPr>
        <w:tc>
          <w:tcPr>
            <w:tcW w:w="5740" w:type="dxa"/>
            <w:vAlign w:val="bottom"/>
          </w:tcPr>
          <w:p>
            <w:pPr>
              <w:ind w:left="880"/>
              <w:spacing w:after="0"/>
              <w:rPr>
                <w:sz w:val="20"/>
                <w:szCs w:val="20"/>
                <w:color w:val="auto"/>
              </w:rPr>
            </w:pPr>
            <w:r>
              <w:rPr>
                <w:rFonts w:ascii="Arial" w:cs="Arial" w:eastAsia="Arial" w:hAnsi="Arial"/>
                <w:sz w:val="16"/>
                <w:szCs w:val="16"/>
                <w:color w:val="auto"/>
              </w:rPr>
              <w:t>Asia</w:t>
            </w:r>
          </w:p>
        </w:tc>
        <w:tc>
          <w:tcPr>
            <w:tcW w:w="1100" w:type="dxa"/>
            <w:vAlign w:val="bottom"/>
          </w:tcPr>
          <w:p>
            <w:pPr>
              <w:jc w:val="right"/>
              <w:ind w:right="279"/>
              <w:spacing w:after="0"/>
              <w:rPr>
                <w:sz w:val="20"/>
                <w:szCs w:val="20"/>
                <w:color w:val="auto"/>
              </w:rPr>
            </w:pPr>
            <w:r>
              <w:rPr>
                <w:rFonts w:ascii="Arial" w:cs="Arial" w:eastAsia="Arial" w:hAnsi="Arial"/>
                <w:sz w:val="16"/>
                <w:szCs w:val="16"/>
                <w:color w:val="auto"/>
              </w:rPr>
              <w:t>807</w:t>
            </w:r>
          </w:p>
        </w:tc>
        <w:tc>
          <w:tcPr>
            <w:tcW w:w="640" w:type="dxa"/>
            <w:vAlign w:val="bottom"/>
          </w:tcPr>
          <w:p>
            <w:pPr>
              <w:spacing w:after="0"/>
              <w:rPr>
                <w:sz w:val="18"/>
                <w:szCs w:val="18"/>
                <w:color w:val="auto"/>
              </w:rPr>
            </w:pPr>
          </w:p>
        </w:tc>
        <w:tc>
          <w:tcPr>
            <w:tcW w:w="1220" w:type="dxa"/>
            <w:vAlign w:val="bottom"/>
            <w:gridSpan w:val="2"/>
          </w:tcPr>
          <w:p>
            <w:pPr>
              <w:jc w:val="right"/>
              <w:ind w:right="259"/>
              <w:spacing w:after="0"/>
              <w:rPr>
                <w:sz w:val="20"/>
                <w:szCs w:val="20"/>
                <w:color w:val="auto"/>
              </w:rPr>
            </w:pPr>
            <w:r>
              <w:rPr>
                <w:rFonts w:ascii="Arial" w:cs="Arial" w:eastAsia="Arial" w:hAnsi="Arial"/>
                <w:sz w:val="16"/>
                <w:szCs w:val="16"/>
                <w:color w:val="auto"/>
              </w:rPr>
              <w:t>872</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279"/>
              <w:spacing w:after="0"/>
              <w:rPr>
                <w:sz w:val="20"/>
                <w:szCs w:val="20"/>
                <w:color w:val="auto"/>
              </w:rPr>
            </w:pPr>
            <w:r>
              <w:rPr>
                <w:rFonts w:ascii="Arial" w:cs="Arial" w:eastAsia="Arial" w:hAnsi="Arial"/>
                <w:sz w:val="16"/>
                <w:szCs w:val="16"/>
                <w:color w:val="auto"/>
              </w:rPr>
              <w:t>851</w:t>
            </w:r>
          </w:p>
        </w:tc>
        <w:tc>
          <w:tcPr>
            <w:tcW w:w="660" w:type="dxa"/>
            <w:vAlign w:val="bottom"/>
          </w:tcPr>
          <w:p>
            <w:pPr>
              <w:spacing w:after="0"/>
              <w:rPr>
                <w:sz w:val="18"/>
                <w:szCs w:val="18"/>
                <w:color w:val="auto"/>
              </w:rPr>
            </w:pPr>
          </w:p>
        </w:tc>
      </w:tr>
      <w:tr>
        <w:trPr>
          <w:trHeight w:val="216"/>
        </w:trPr>
        <w:tc>
          <w:tcPr>
            <w:tcW w:w="5740" w:type="dxa"/>
            <w:vAlign w:val="bottom"/>
          </w:tcPr>
          <w:p>
            <w:pPr>
              <w:ind w:left="880"/>
              <w:spacing w:after="0"/>
              <w:rPr>
                <w:sz w:val="20"/>
                <w:szCs w:val="20"/>
                <w:color w:val="auto"/>
              </w:rPr>
            </w:pPr>
            <w:r>
              <w:rPr>
                <w:rFonts w:ascii="Arial" w:cs="Arial" w:eastAsia="Arial" w:hAnsi="Arial"/>
                <w:sz w:val="16"/>
                <w:szCs w:val="16"/>
                <w:color w:val="auto"/>
              </w:rPr>
              <w:t>Australia/Oceania</w:t>
            </w:r>
          </w:p>
        </w:tc>
        <w:tc>
          <w:tcPr>
            <w:tcW w:w="11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1,280</w:t>
            </w:r>
          </w:p>
        </w:tc>
        <w:tc>
          <w:tcPr>
            <w:tcW w:w="6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1,219</w:t>
            </w:r>
          </w:p>
        </w:tc>
        <w:tc>
          <w:tcPr>
            <w:tcW w:w="6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1,319</w:t>
            </w:r>
          </w:p>
        </w:tc>
        <w:tc>
          <w:tcPr>
            <w:tcW w:w="660" w:type="dxa"/>
            <w:vAlign w:val="bottom"/>
            <w:tcBorders>
              <w:bottom w:val="single" w:sz="8" w:color="auto"/>
            </w:tcBorders>
          </w:tcPr>
          <w:p>
            <w:pPr>
              <w:spacing w:after="0"/>
              <w:rPr>
                <w:sz w:val="18"/>
                <w:szCs w:val="18"/>
                <w:color w:val="auto"/>
              </w:rPr>
            </w:pPr>
          </w:p>
        </w:tc>
      </w:tr>
      <w:tr>
        <w:trPr>
          <w:trHeight w:val="209"/>
        </w:trPr>
        <w:tc>
          <w:tcPr>
            <w:tcW w:w="5740" w:type="dxa"/>
            <w:vAlign w:val="bottom"/>
          </w:tcPr>
          <w:p>
            <w:pPr>
              <w:ind w:left="1320"/>
              <w:spacing w:after="0"/>
              <w:rPr>
                <w:sz w:val="20"/>
                <w:szCs w:val="20"/>
                <w:color w:val="auto"/>
              </w:rPr>
            </w:pPr>
            <w:r>
              <w:rPr>
                <w:rFonts w:ascii="Arial" w:cs="Arial" w:eastAsia="Arial" w:hAnsi="Arial"/>
                <w:sz w:val="16"/>
                <w:szCs w:val="16"/>
                <w:color w:val="auto"/>
              </w:rPr>
              <w:t>Total Consolidated Subsidiaries</w:t>
            </w:r>
          </w:p>
        </w:tc>
        <w:tc>
          <w:tcPr>
            <w:tcW w:w="1100" w:type="dxa"/>
            <w:vAlign w:val="bottom"/>
          </w:tcPr>
          <w:p>
            <w:pPr>
              <w:jc w:val="right"/>
              <w:ind w:right="279"/>
              <w:spacing w:after="0"/>
              <w:rPr>
                <w:sz w:val="20"/>
                <w:szCs w:val="20"/>
                <w:color w:val="auto"/>
              </w:rPr>
            </w:pPr>
            <w:r>
              <w:rPr>
                <w:rFonts w:ascii="Arial" w:cs="Arial" w:eastAsia="Arial" w:hAnsi="Arial"/>
                <w:sz w:val="16"/>
                <w:szCs w:val="16"/>
                <w:color w:val="auto"/>
              </w:rPr>
              <w:t>5,426</w:t>
            </w:r>
          </w:p>
        </w:tc>
        <w:tc>
          <w:tcPr>
            <w:tcW w:w="640" w:type="dxa"/>
            <w:vAlign w:val="bottom"/>
          </w:tcPr>
          <w:p>
            <w:pPr>
              <w:spacing w:after="0"/>
              <w:rPr>
                <w:sz w:val="18"/>
                <w:szCs w:val="18"/>
                <w:color w:val="auto"/>
              </w:rPr>
            </w:pPr>
          </w:p>
        </w:tc>
        <w:tc>
          <w:tcPr>
            <w:tcW w:w="1220" w:type="dxa"/>
            <w:vAlign w:val="bottom"/>
            <w:gridSpan w:val="2"/>
          </w:tcPr>
          <w:p>
            <w:pPr>
              <w:jc w:val="right"/>
              <w:ind w:right="259"/>
              <w:spacing w:after="0"/>
              <w:rPr>
                <w:sz w:val="20"/>
                <w:szCs w:val="20"/>
                <w:color w:val="auto"/>
              </w:rPr>
            </w:pPr>
            <w:r>
              <w:rPr>
                <w:rFonts w:ascii="Arial" w:cs="Arial" w:eastAsia="Arial" w:hAnsi="Arial"/>
                <w:sz w:val="16"/>
                <w:szCs w:val="16"/>
                <w:color w:val="auto"/>
              </w:rPr>
              <w:t>5,492</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279"/>
              <w:spacing w:after="0"/>
              <w:rPr>
                <w:sz w:val="20"/>
                <w:szCs w:val="20"/>
                <w:color w:val="auto"/>
              </w:rPr>
            </w:pPr>
            <w:r>
              <w:rPr>
                <w:rFonts w:ascii="Arial" w:cs="Arial" w:eastAsia="Arial" w:hAnsi="Arial"/>
                <w:sz w:val="16"/>
                <w:szCs w:val="16"/>
                <w:color w:val="auto"/>
              </w:rPr>
              <w:t>5,999</w:t>
            </w:r>
          </w:p>
        </w:tc>
        <w:tc>
          <w:tcPr>
            <w:tcW w:w="660" w:type="dxa"/>
            <w:vAlign w:val="bottom"/>
          </w:tcPr>
          <w:p>
            <w:pPr>
              <w:spacing w:after="0"/>
              <w:rPr>
                <w:sz w:val="18"/>
                <w:szCs w:val="18"/>
                <w:color w:val="auto"/>
              </w:rPr>
            </w:pPr>
          </w:p>
        </w:tc>
      </w:tr>
      <w:tr>
        <w:trPr>
          <w:trHeight w:val="324"/>
        </w:trPr>
        <w:tc>
          <w:tcPr>
            <w:tcW w:w="5740" w:type="dxa"/>
            <w:vAlign w:val="bottom"/>
          </w:tcPr>
          <w:p>
            <w:pPr>
              <w:ind w:left="480"/>
              <w:spacing w:after="0"/>
              <w:rPr>
                <w:sz w:val="20"/>
                <w:szCs w:val="20"/>
                <w:color w:val="auto"/>
              </w:rPr>
            </w:pPr>
            <w:r>
              <w:rPr>
                <w:rFonts w:ascii="Arial" w:cs="Arial" w:eastAsia="Arial" w:hAnsi="Arial"/>
                <w:sz w:val="16"/>
                <w:szCs w:val="16"/>
                <w:b w:val="1"/>
                <w:bCs w:val="1"/>
                <w:color w:val="auto"/>
              </w:rPr>
              <w:t>Equity Companies</w:t>
            </w:r>
          </w:p>
        </w:tc>
        <w:tc>
          <w:tcPr>
            <w:tcW w:w="1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16"/>
        </w:trPr>
        <w:tc>
          <w:tcPr>
            <w:tcW w:w="5740" w:type="dxa"/>
            <w:vAlign w:val="bottom"/>
          </w:tcPr>
          <w:p>
            <w:pPr>
              <w:ind w:left="880"/>
              <w:spacing w:after="0"/>
              <w:rPr>
                <w:sz w:val="20"/>
                <w:szCs w:val="20"/>
                <w:color w:val="auto"/>
              </w:rPr>
            </w:pPr>
            <w:r>
              <w:rPr>
                <w:rFonts w:ascii="Arial" w:cs="Arial" w:eastAsia="Arial" w:hAnsi="Arial"/>
                <w:sz w:val="16"/>
                <w:szCs w:val="16"/>
                <w:color w:val="auto"/>
              </w:rPr>
              <w:t>United States</w:t>
            </w:r>
          </w:p>
        </w:tc>
        <w:tc>
          <w:tcPr>
            <w:tcW w:w="1100" w:type="dxa"/>
            <w:vAlign w:val="bottom"/>
          </w:tcPr>
          <w:p>
            <w:pPr>
              <w:jc w:val="right"/>
              <w:ind w:right="279"/>
              <w:spacing w:after="0"/>
              <w:rPr>
                <w:sz w:val="20"/>
                <w:szCs w:val="20"/>
                <w:color w:val="auto"/>
              </w:rPr>
            </w:pPr>
            <w:r>
              <w:rPr>
                <w:rFonts w:ascii="Arial" w:cs="Arial" w:eastAsia="Arial" w:hAnsi="Arial"/>
                <w:sz w:val="16"/>
                <w:szCs w:val="16"/>
                <w:color w:val="auto"/>
              </w:rPr>
              <w:t>22</w:t>
            </w:r>
          </w:p>
        </w:tc>
        <w:tc>
          <w:tcPr>
            <w:tcW w:w="640" w:type="dxa"/>
            <w:vAlign w:val="bottom"/>
          </w:tcPr>
          <w:p>
            <w:pPr>
              <w:spacing w:after="0"/>
              <w:rPr>
                <w:sz w:val="18"/>
                <w:szCs w:val="18"/>
                <w:color w:val="auto"/>
              </w:rPr>
            </w:pPr>
          </w:p>
        </w:tc>
        <w:tc>
          <w:tcPr>
            <w:tcW w:w="1220" w:type="dxa"/>
            <w:vAlign w:val="bottom"/>
            <w:gridSpan w:val="2"/>
          </w:tcPr>
          <w:p>
            <w:pPr>
              <w:jc w:val="right"/>
              <w:ind w:right="259"/>
              <w:spacing w:after="0"/>
              <w:rPr>
                <w:sz w:val="20"/>
                <w:szCs w:val="20"/>
                <w:color w:val="auto"/>
              </w:rPr>
            </w:pPr>
            <w:r>
              <w:rPr>
                <w:rFonts w:ascii="Arial" w:cs="Arial" w:eastAsia="Arial" w:hAnsi="Arial"/>
                <w:sz w:val="16"/>
                <w:szCs w:val="16"/>
                <w:color w:val="auto"/>
              </w:rPr>
              <w:t>23</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279"/>
              <w:spacing w:after="0"/>
              <w:rPr>
                <w:sz w:val="20"/>
                <w:szCs w:val="20"/>
                <w:color w:val="auto"/>
              </w:rPr>
            </w:pPr>
            <w:r>
              <w:rPr>
                <w:rFonts w:ascii="Arial" w:cs="Arial" w:eastAsia="Arial" w:hAnsi="Arial"/>
                <w:sz w:val="16"/>
                <w:szCs w:val="16"/>
                <w:color w:val="auto"/>
              </w:rPr>
              <w:t>22</w:t>
            </w:r>
          </w:p>
        </w:tc>
        <w:tc>
          <w:tcPr>
            <w:tcW w:w="660" w:type="dxa"/>
            <w:vAlign w:val="bottom"/>
          </w:tcPr>
          <w:p>
            <w:pPr>
              <w:spacing w:after="0"/>
              <w:rPr>
                <w:sz w:val="18"/>
                <w:szCs w:val="18"/>
                <w:color w:val="auto"/>
              </w:rPr>
            </w:pPr>
          </w:p>
        </w:tc>
      </w:tr>
      <w:tr>
        <w:trPr>
          <w:trHeight w:val="216"/>
        </w:trPr>
        <w:tc>
          <w:tcPr>
            <w:tcW w:w="5740" w:type="dxa"/>
            <w:vAlign w:val="bottom"/>
          </w:tcPr>
          <w:p>
            <w:pPr>
              <w:ind w:left="880"/>
              <w:spacing w:after="0"/>
              <w:rPr>
                <w:sz w:val="20"/>
                <w:szCs w:val="20"/>
                <w:color w:val="auto"/>
              </w:rPr>
            </w:pPr>
            <w:r>
              <w:rPr>
                <w:rFonts w:ascii="Arial" w:cs="Arial" w:eastAsia="Arial" w:hAnsi="Arial"/>
                <w:sz w:val="16"/>
                <w:szCs w:val="16"/>
                <w:color w:val="auto"/>
              </w:rPr>
              <w:t>Europe</w:t>
            </w:r>
          </w:p>
        </w:tc>
        <w:tc>
          <w:tcPr>
            <w:tcW w:w="1100" w:type="dxa"/>
            <w:vAlign w:val="bottom"/>
          </w:tcPr>
          <w:p>
            <w:pPr>
              <w:jc w:val="right"/>
              <w:ind w:right="279"/>
              <w:spacing w:after="0"/>
              <w:rPr>
                <w:sz w:val="20"/>
                <w:szCs w:val="20"/>
                <w:color w:val="auto"/>
              </w:rPr>
            </w:pPr>
            <w:r>
              <w:rPr>
                <w:rFonts w:ascii="Arial" w:cs="Arial" w:eastAsia="Arial" w:hAnsi="Arial"/>
                <w:sz w:val="16"/>
                <w:szCs w:val="16"/>
                <w:color w:val="auto"/>
              </w:rPr>
              <w:t>431</w:t>
            </w:r>
          </w:p>
        </w:tc>
        <w:tc>
          <w:tcPr>
            <w:tcW w:w="640" w:type="dxa"/>
            <w:vAlign w:val="bottom"/>
          </w:tcPr>
          <w:p>
            <w:pPr>
              <w:spacing w:after="0"/>
              <w:rPr>
                <w:sz w:val="18"/>
                <w:szCs w:val="18"/>
                <w:color w:val="auto"/>
              </w:rPr>
            </w:pPr>
          </w:p>
        </w:tc>
        <w:tc>
          <w:tcPr>
            <w:tcW w:w="1220" w:type="dxa"/>
            <w:vAlign w:val="bottom"/>
            <w:gridSpan w:val="2"/>
          </w:tcPr>
          <w:p>
            <w:pPr>
              <w:jc w:val="right"/>
              <w:ind w:right="259"/>
              <w:spacing w:after="0"/>
              <w:rPr>
                <w:sz w:val="20"/>
                <w:szCs w:val="20"/>
                <w:color w:val="auto"/>
              </w:rPr>
            </w:pPr>
            <w:r>
              <w:rPr>
                <w:rFonts w:ascii="Arial" w:cs="Arial" w:eastAsia="Arial" w:hAnsi="Arial"/>
                <w:sz w:val="16"/>
                <w:szCs w:val="16"/>
                <w:color w:val="auto"/>
              </w:rPr>
              <w:t>342</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279"/>
              <w:spacing w:after="0"/>
              <w:rPr>
                <w:sz w:val="20"/>
                <w:szCs w:val="20"/>
                <w:color w:val="auto"/>
              </w:rPr>
            </w:pPr>
            <w:r>
              <w:rPr>
                <w:rFonts w:ascii="Arial" w:cs="Arial" w:eastAsia="Arial" w:hAnsi="Arial"/>
                <w:sz w:val="16"/>
                <w:szCs w:val="16"/>
                <w:color w:val="auto"/>
              </w:rPr>
              <w:t>649</w:t>
            </w:r>
          </w:p>
        </w:tc>
        <w:tc>
          <w:tcPr>
            <w:tcW w:w="660" w:type="dxa"/>
            <w:vAlign w:val="bottom"/>
          </w:tcPr>
          <w:p>
            <w:pPr>
              <w:spacing w:after="0"/>
              <w:rPr>
                <w:sz w:val="18"/>
                <w:szCs w:val="18"/>
                <w:color w:val="auto"/>
              </w:rPr>
            </w:pPr>
          </w:p>
        </w:tc>
      </w:tr>
      <w:tr>
        <w:trPr>
          <w:trHeight w:val="216"/>
        </w:trPr>
        <w:tc>
          <w:tcPr>
            <w:tcW w:w="5740" w:type="dxa"/>
            <w:vAlign w:val="bottom"/>
          </w:tcPr>
          <w:p>
            <w:pPr>
              <w:ind w:left="880"/>
              <w:spacing w:after="0"/>
              <w:rPr>
                <w:sz w:val="20"/>
                <w:szCs w:val="20"/>
                <w:color w:val="auto"/>
              </w:rPr>
            </w:pPr>
            <w:r>
              <w:rPr>
                <w:rFonts w:ascii="Arial" w:cs="Arial" w:eastAsia="Arial" w:hAnsi="Arial"/>
                <w:sz w:val="16"/>
                <w:szCs w:val="16"/>
                <w:color w:val="auto"/>
              </w:rPr>
              <w:t>Asia</w:t>
            </w:r>
          </w:p>
        </w:tc>
        <w:tc>
          <w:tcPr>
            <w:tcW w:w="11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2,658</w:t>
            </w:r>
          </w:p>
        </w:tc>
        <w:tc>
          <w:tcPr>
            <w:tcW w:w="6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2,614</w:t>
            </w:r>
          </w:p>
        </w:tc>
        <w:tc>
          <w:tcPr>
            <w:tcW w:w="6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2,724</w:t>
            </w:r>
          </w:p>
        </w:tc>
        <w:tc>
          <w:tcPr>
            <w:tcW w:w="660" w:type="dxa"/>
            <w:vAlign w:val="bottom"/>
            <w:tcBorders>
              <w:bottom w:val="single" w:sz="8" w:color="auto"/>
            </w:tcBorders>
          </w:tcPr>
          <w:p>
            <w:pPr>
              <w:spacing w:after="0"/>
              <w:rPr>
                <w:sz w:val="18"/>
                <w:szCs w:val="18"/>
                <w:color w:val="auto"/>
              </w:rPr>
            </w:pPr>
          </w:p>
        </w:tc>
      </w:tr>
      <w:tr>
        <w:trPr>
          <w:trHeight w:val="210"/>
        </w:trPr>
        <w:tc>
          <w:tcPr>
            <w:tcW w:w="5740" w:type="dxa"/>
            <w:vAlign w:val="bottom"/>
          </w:tcPr>
          <w:p>
            <w:pPr>
              <w:ind w:left="1320"/>
              <w:spacing w:after="0"/>
              <w:rPr>
                <w:sz w:val="20"/>
                <w:szCs w:val="20"/>
                <w:color w:val="auto"/>
              </w:rPr>
            </w:pPr>
            <w:r>
              <w:rPr>
                <w:rFonts w:ascii="Arial" w:cs="Arial" w:eastAsia="Arial" w:hAnsi="Arial"/>
                <w:sz w:val="16"/>
                <w:szCs w:val="16"/>
                <w:color w:val="auto"/>
              </w:rPr>
              <w:t>Total Equity Companies</w:t>
            </w:r>
          </w:p>
        </w:tc>
        <w:tc>
          <w:tcPr>
            <w:tcW w:w="11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3,111</w:t>
            </w:r>
          </w:p>
        </w:tc>
        <w:tc>
          <w:tcPr>
            <w:tcW w:w="6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2,979</w:t>
            </w:r>
          </w:p>
        </w:tc>
        <w:tc>
          <w:tcPr>
            <w:tcW w:w="6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3,395</w:t>
            </w:r>
          </w:p>
        </w:tc>
        <w:tc>
          <w:tcPr>
            <w:tcW w:w="660" w:type="dxa"/>
            <w:vAlign w:val="bottom"/>
            <w:tcBorders>
              <w:bottom w:val="single" w:sz="8" w:color="auto"/>
            </w:tcBorders>
          </w:tcPr>
          <w:p>
            <w:pPr>
              <w:spacing w:after="0"/>
              <w:rPr>
                <w:sz w:val="18"/>
                <w:szCs w:val="18"/>
                <w:color w:val="auto"/>
              </w:rPr>
            </w:pPr>
          </w:p>
        </w:tc>
      </w:tr>
      <w:tr>
        <w:trPr>
          <w:trHeight w:val="213"/>
        </w:trPr>
        <w:tc>
          <w:tcPr>
            <w:tcW w:w="5740" w:type="dxa"/>
            <w:vAlign w:val="bottom"/>
          </w:tcPr>
          <w:p>
            <w:pPr>
              <w:ind w:left="20"/>
              <w:spacing w:after="0"/>
              <w:rPr>
                <w:sz w:val="20"/>
                <w:szCs w:val="20"/>
                <w:color w:val="auto"/>
              </w:rPr>
            </w:pPr>
            <w:r>
              <w:rPr>
                <w:rFonts w:ascii="Arial" w:cs="Arial" w:eastAsia="Arial" w:hAnsi="Arial"/>
                <w:sz w:val="16"/>
                <w:szCs w:val="16"/>
                <w:b w:val="1"/>
                <w:bCs w:val="1"/>
                <w:color w:val="auto"/>
              </w:rPr>
              <w:t>Total natural gas production available for sale</w:t>
            </w:r>
          </w:p>
        </w:tc>
        <w:tc>
          <w:tcPr>
            <w:tcW w:w="1100" w:type="dxa"/>
            <w:vAlign w:val="bottom"/>
          </w:tcPr>
          <w:p>
            <w:pPr>
              <w:jc w:val="right"/>
              <w:ind w:right="279"/>
              <w:spacing w:after="0"/>
              <w:rPr>
                <w:sz w:val="20"/>
                <w:szCs w:val="20"/>
                <w:color w:val="auto"/>
              </w:rPr>
            </w:pPr>
            <w:r>
              <w:rPr>
                <w:rFonts w:ascii="Arial" w:cs="Arial" w:eastAsia="Arial" w:hAnsi="Arial"/>
                <w:sz w:val="16"/>
                <w:szCs w:val="16"/>
                <w:color w:val="auto"/>
              </w:rPr>
              <w:t>8,537</w:t>
            </w:r>
          </w:p>
        </w:tc>
        <w:tc>
          <w:tcPr>
            <w:tcW w:w="640" w:type="dxa"/>
            <w:vAlign w:val="bottom"/>
          </w:tcPr>
          <w:p>
            <w:pPr>
              <w:spacing w:after="0"/>
              <w:rPr>
                <w:sz w:val="18"/>
                <w:szCs w:val="18"/>
                <w:color w:val="auto"/>
              </w:rPr>
            </w:pPr>
          </w:p>
        </w:tc>
        <w:tc>
          <w:tcPr>
            <w:tcW w:w="1220" w:type="dxa"/>
            <w:vAlign w:val="bottom"/>
            <w:gridSpan w:val="2"/>
          </w:tcPr>
          <w:p>
            <w:pPr>
              <w:jc w:val="right"/>
              <w:ind w:right="259"/>
              <w:spacing w:after="0"/>
              <w:rPr>
                <w:sz w:val="20"/>
                <w:szCs w:val="20"/>
                <w:color w:val="auto"/>
              </w:rPr>
            </w:pPr>
            <w:r>
              <w:rPr>
                <w:rFonts w:ascii="Arial" w:cs="Arial" w:eastAsia="Arial" w:hAnsi="Arial"/>
                <w:sz w:val="16"/>
                <w:szCs w:val="16"/>
                <w:color w:val="auto"/>
              </w:rPr>
              <w:t>8,471</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279"/>
              <w:spacing w:after="0"/>
              <w:rPr>
                <w:sz w:val="20"/>
                <w:szCs w:val="20"/>
                <w:color w:val="auto"/>
              </w:rPr>
            </w:pPr>
            <w:r>
              <w:rPr>
                <w:rFonts w:ascii="Arial" w:cs="Arial" w:eastAsia="Arial" w:hAnsi="Arial"/>
                <w:sz w:val="16"/>
                <w:szCs w:val="16"/>
                <w:color w:val="auto"/>
              </w:rPr>
              <w:t>9,394</w:t>
            </w:r>
          </w:p>
        </w:tc>
        <w:tc>
          <w:tcPr>
            <w:tcW w:w="660" w:type="dxa"/>
            <w:vAlign w:val="bottom"/>
          </w:tcPr>
          <w:p>
            <w:pPr>
              <w:spacing w:after="0"/>
              <w:rPr>
                <w:sz w:val="18"/>
                <w:szCs w:val="18"/>
                <w:color w:val="auto"/>
              </w:rPr>
            </w:pPr>
          </w:p>
        </w:tc>
      </w:tr>
      <w:tr>
        <w:trPr>
          <w:trHeight w:val="91"/>
        </w:trPr>
        <w:tc>
          <w:tcPr>
            <w:tcW w:w="5740" w:type="dxa"/>
            <w:vAlign w:val="bottom"/>
          </w:tcPr>
          <w:p>
            <w:pPr>
              <w:spacing w:after="0"/>
              <w:rPr>
                <w:sz w:val="7"/>
                <w:szCs w:val="7"/>
                <w:color w:val="auto"/>
              </w:rPr>
            </w:pPr>
          </w:p>
        </w:tc>
        <w:tc>
          <w:tcPr>
            <w:tcW w:w="1100" w:type="dxa"/>
            <w:vAlign w:val="bottom"/>
            <w:tcBorders>
              <w:top w:val="single" w:sz="8" w:color="auto"/>
              <w:bottom w:val="single" w:sz="8" w:color="auto"/>
            </w:tcBorders>
          </w:tcPr>
          <w:p>
            <w:pPr>
              <w:spacing w:after="0"/>
              <w:rPr>
                <w:sz w:val="7"/>
                <w:szCs w:val="7"/>
                <w:color w:val="auto"/>
              </w:rPr>
            </w:pPr>
          </w:p>
        </w:tc>
        <w:tc>
          <w:tcPr>
            <w:tcW w:w="640" w:type="dxa"/>
            <w:vAlign w:val="bottom"/>
            <w:tcBorders>
              <w:top w:val="single" w:sz="8" w:color="auto"/>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100" w:type="dxa"/>
            <w:vAlign w:val="bottom"/>
            <w:tcBorders>
              <w:top w:val="single" w:sz="8" w:color="auto"/>
              <w:bottom w:val="single" w:sz="8" w:color="auto"/>
            </w:tcBorders>
          </w:tcPr>
          <w:p>
            <w:pPr>
              <w:spacing w:after="0"/>
              <w:rPr>
                <w:sz w:val="7"/>
                <w:szCs w:val="7"/>
                <w:color w:val="auto"/>
              </w:rPr>
            </w:pPr>
          </w:p>
        </w:tc>
        <w:tc>
          <w:tcPr>
            <w:tcW w:w="640" w:type="dxa"/>
            <w:vAlign w:val="bottom"/>
            <w:tcBorders>
              <w:top w:val="single" w:sz="8" w:color="auto"/>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120" w:type="dxa"/>
            <w:vAlign w:val="bottom"/>
            <w:tcBorders>
              <w:top w:val="single" w:sz="8" w:color="auto"/>
              <w:bottom w:val="single" w:sz="8" w:color="auto"/>
            </w:tcBorders>
          </w:tcPr>
          <w:p>
            <w:pPr>
              <w:spacing w:after="0"/>
              <w:rPr>
                <w:sz w:val="7"/>
                <w:szCs w:val="7"/>
                <w:color w:val="auto"/>
              </w:rPr>
            </w:pPr>
          </w:p>
        </w:tc>
        <w:tc>
          <w:tcPr>
            <w:tcW w:w="660" w:type="dxa"/>
            <w:vAlign w:val="bottom"/>
            <w:tcBorders>
              <w:top w:val="single" w:sz="8" w:color="auto"/>
              <w:bottom w:val="single" w:sz="8" w:color="auto"/>
            </w:tcBorders>
          </w:tcPr>
          <w:p>
            <w:pPr>
              <w:spacing w:after="0"/>
              <w:rPr>
                <w:sz w:val="7"/>
                <w:szCs w:val="7"/>
                <w:color w:val="auto"/>
              </w:rPr>
            </w:pPr>
          </w:p>
        </w:tc>
      </w:tr>
      <w:tr>
        <w:trPr>
          <w:trHeight w:val="203"/>
        </w:trPr>
        <w:tc>
          <w:tcPr>
            <w:tcW w:w="57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740" w:type="dxa"/>
            <w:vAlign w:val="bottom"/>
            <w:gridSpan w:val="6"/>
          </w:tcPr>
          <w:p>
            <w:pPr>
              <w:jc w:val="center"/>
              <w:ind w:right="359"/>
              <w:spacing w:after="0"/>
              <w:rPr>
                <w:sz w:val="20"/>
                <w:szCs w:val="20"/>
                <w:color w:val="auto"/>
              </w:rPr>
            </w:pPr>
            <w:r>
              <w:rPr>
                <w:rFonts w:ascii="Arial" w:cs="Arial" w:eastAsia="Arial" w:hAnsi="Arial"/>
                <w:sz w:val="16"/>
                <w:szCs w:val="16"/>
                <w:i w:val="1"/>
                <w:iCs w:val="1"/>
                <w:color w:val="auto"/>
                <w:w w:val="93"/>
              </w:rPr>
              <w:t>(thousands of oil-equivalent barrels daily)</w:t>
            </w:r>
          </w:p>
        </w:tc>
        <w:tc>
          <w:tcPr>
            <w:tcW w:w="660" w:type="dxa"/>
            <w:vAlign w:val="bottom"/>
          </w:tcPr>
          <w:p>
            <w:pPr>
              <w:spacing w:after="0"/>
              <w:rPr>
                <w:sz w:val="17"/>
                <w:szCs w:val="17"/>
                <w:color w:val="auto"/>
              </w:rPr>
            </w:pPr>
          </w:p>
        </w:tc>
      </w:tr>
      <w:tr>
        <w:trPr>
          <w:trHeight w:val="219"/>
        </w:trPr>
        <w:tc>
          <w:tcPr>
            <w:tcW w:w="5740" w:type="dxa"/>
            <w:vAlign w:val="bottom"/>
          </w:tcPr>
          <w:p>
            <w:pPr>
              <w:ind w:left="20"/>
              <w:spacing w:after="0"/>
              <w:rPr>
                <w:sz w:val="20"/>
                <w:szCs w:val="20"/>
                <w:color w:val="auto"/>
              </w:rPr>
            </w:pPr>
            <w:r>
              <w:rPr>
                <w:rFonts w:ascii="Arial" w:cs="Arial" w:eastAsia="Arial" w:hAnsi="Arial"/>
                <w:sz w:val="16"/>
                <w:szCs w:val="16"/>
                <w:b w:val="1"/>
                <w:bCs w:val="1"/>
                <w:color w:val="auto"/>
              </w:rPr>
              <w:t>Oil-equivalent production</w:t>
            </w:r>
          </w:p>
        </w:tc>
        <w:tc>
          <w:tcPr>
            <w:tcW w:w="11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3,712</w:t>
            </w:r>
          </w:p>
        </w:tc>
        <w:tc>
          <w:tcPr>
            <w:tcW w:w="6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3,761</w:t>
            </w:r>
          </w:p>
        </w:tc>
        <w:tc>
          <w:tcPr>
            <w:tcW w:w="6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3,952</w:t>
            </w:r>
          </w:p>
        </w:tc>
        <w:tc>
          <w:tcPr>
            <w:tcW w:w="660" w:type="dxa"/>
            <w:vAlign w:val="bottom"/>
            <w:tcBorders>
              <w:bottom w:val="single" w:sz="8" w:color="auto"/>
            </w:tcBorders>
          </w:tcPr>
          <w:p>
            <w:pPr>
              <w:spacing w:after="0"/>
              <w:rPr>
                <w:sz w:val="19"/>
                <w:szCs w:val="19"/>
                <w:color w:val="auto"/>
              </w:rPr>
            </w:pPr>
          </w:p>
        </w:tc>
      </w:tr>
    </w:tbl>
    <w:p>
      <w:pPr>
        <w:spacing w:after="0" w:line="391" w:lineRule="exact"/>
        <w:rPr>
          <w:sz w:val="20"/>
          <w:szCs w:val="20"/>
          <w:color w:val="auto"/>
        </w:rPr>
      </w:pPr>
    </w:p>
    <w:p>
      <w:pPr>
        <w:ind w:left="340" w:hanging="332"/>
        <w:spacing w:after="0" w:line="308" w:lineRule="auto"/>
        <w:tabs>
          <w:tab w:leader="none" w:pos="334" w:val="left"/>
        </w:tabs>
        <w:numPr>
          <w:ilvl w:val="0"/>
          <w:numId w:val="6"/>
        </w:numPr>
        <w:rPr>
          <w:rFonts w:ascii="Arial" w:cs="Arial" w:eastAsia="Arial" w:hAnsi="Arial"/>
          <w:sz w:val="17"/>
          <w:szCs w:val="17"/>
          <w:i w:val="1"/>
          <w:iCs w:val="1"/>
          <w:color w:val="auto"/>
        </w:rPr>
      </w:pPr>
      <w:r>
        <w:rPr>
          <w:rFonts w:ascii="Arial" w:cs="Arial" w:eastAsia="Arial" w:hAnsi="Arial"/>
          <w:sz w:val="17"/>
          <w:szCs w:val="17"/>
          <w:i w:val="1"/>
          <w:iCs w:val="1"/>
          <w:color w:val="auto"/>
        </w:rPr>
        <w:t>Other Americas includes crude oil production for 2021, 2020 and 2019 of 48 thousand, 29 thousand, and 2 thousand barrels daily, respectively; and natural gas production available for sale for 2021, 2020 and 2019 of 36 million, 45 million, and 36 million cubic feet daily, respectively.</w:t>
      </w:r>
    </w:p>
    <w:p>
      <w:pPr>
        <w:sectPr>
          <w:pgSz w:w="11900" w:h="16838" w:orient="portrait"/>
          <w:cols w:equalWidth="0" w:num="1">
            <w:col w:w="11240"/>
          </w:cols>
          <w:pgMar w:left="320" w:top="1080" w:right="339" w:bottom="1440" w:gutter="0" w:footer="0" w:header="0"/>
        </w:sect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B. Production Prices and Production Costs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summarizes average production prices and average production costs by geographic area and by product type for the last three years.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w w:val="96"/>
              </w:rPr>
              <w:t>Canada/</w:t>
            </w:r>
          </w:p>
        </w:tc>
        <w:tc>
          <w:tcPr>
            <w:tcW w:w="7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89"/>
        </w:trPr>
        <w:tc>
          <w:tcPr>
            <w:tcW w:w="4580" w:type="dxa"/>
            <w:vAlign w:val="bottom"/>
          </w:tcPr>
          <w:p>
            <w:pPr>
              <w:spacing w:after="0"/>
              <w:rPr>
                <w:sz w:val="16"/>
                <w:szCs w:val="16"/>
                <w:color w:val="auto"/>
              </w:rPr>
            </w:pPr>
          </w:p>
        </w:tc>
        <w:tc>
          <w:tcPr>
            <w:tcW w:w="1200" w:type="dxa"/>
            <w:vAlign w:val="bottom"/>
          </w:tcPr>
          <w:p>
            <w:pPr>
              <w:jc w:val="right"/>
              <w:ind w:right="139"/>
              <w:spacing w:after="0"/>
              <w:rPr>
                <w:sz w:val="20"/>
                <w:szCs w:val="20"/>
                <w:color w:val="auto"/>
              </w:rPr>
            </w:pPr>
            <w:r>
              <w:rPr>
                <w:rFonts w:ascii="Arial" w:cs="Arial" w:eastAsia="Arial" w:hAnsi="Arial"/>
                <w:sz w:val="16"/>
                <w:szCs w:val="16"/>
                <w:b w:val="1"/>
                <w:bCs w:val="1"/>
                <w:color w:val="auto"/>
              </w:rPr>
              <w:t>United</w:t>
            </w: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w w:val="93"/>
              </w:rPr>
              <w:t>Other</w:t>
            </w:r>
          </w:p>
        </w:tc>
        <w:tc>
          <w:tcPr>
            <w:tcW w:w="7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b w:val="1"/>
                <w:bCs w:val="1"/>
                <w:color w:val="auto"/>
              </w:rPr>
              <w:t>Australia/</w:t>
            </w:r>
          </w:p>
        </w:tc>
        <w:tc>
          <w:tcPr>
            <w:tcW w:w="720" w:type="dxa"/>
            <w:vAlign w:val="bottom"/>
          </w:tcPr>
          <w:p>
            <w:pPr>
              <w:spacing w:after="0"/>
              <w:rPr>
                <w:sz w:val="16"/>
                <w:szCs w:val="16"/>
                <w:color w:val="auto"/>
              </w:rPr>
            </w:pPr>
          </w:p>
        </w:tc>
      </w:tr>
      <w:tr>
        <w:trPr>
          <w:trHeight w:val="223"/>
        </w:trPr>
        <w:tc>
          <w:tcPr>
            <w:tcW w:w="45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States</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Americas</w:t>
            </w: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Europe</w:t>
            </w:r>
          </w:p>
        </w:tc>
        <w:tc>
          <w:tcPr>
            <w:tcW w:w="12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Africa</w:t>
            </w:r>
          </w:p>
        </w:tc>
        <w:tc>
          <w:tcPr>
            <w:tcW w:w="7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Asia</w:t>
            </w:r>
          </w:p>
        </w:tc>
        <w:tc>
          <w:tcPr>
            <w:tcW w:w="10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Oceania</w:t>
            </w:r>
          </w:p>
        </w:tc>
        <w:tc>
          <w:tcPr>
            <w:tcW w:w="7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Total</w:t>
            </w:r>
          </w:p>
        </w:tc>
      </w:tr>
      <w:tr>
        <w:trPr>
          <w:trHeight w:val="210"/>
        </w:trPr>
        <w:tc>
          <w:tcPr>
            <w:tcW w:w="4580" w:type="dxa"/>
            <w:vAlign w:val="bottom"/>
          </w:tcPr>
          <w:p>
            <w:pPr>
              <w:ind w:left="20"/>
              <w:spacing w:after="0"/>
              <w:rPr>
                <w:sz w:val="20"/>
                <w:szCs w:val="20"/>
                <w:color w:val="auto"/>
              </w:rPr>
            </w:pPr>
            <w:r>
              <w:rPr>
                <w:rFonts w:ascii="Arial" w:cs="Arial" w:eastAsia="Arial" w:hAnsi="Arial"/>
                <w:sz w:val="16"/>
                <w:szCs w:val="16"/>
                <w:b w:val="1"/>
                <w:bCs w:val="1"/>
                <w:color w:val="auto"/>
              </w:rPr>
              <w:t>During 2021</w:t>
            </w:r>
          </w:p>
        </w:tc>
        <w:tc>
          <w:tcPr>
            <w:tcW w:w="1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i w:val="1"/>
                <w:iCs w:val="1"/>
                <w:color w:val="auto"/>
                <w:w w:val="95"/>
              </w:rPr>
              <w:t>(dollars per unit)</w:t>
            </w:r>
          </w:p>
        </w:tc>
        <w:tc>
          <w:tcPr>
            <w:tcW w:w="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4580" w:type="dxa"/>
            <w:vAlign w:val="bottom"/>
          </w:tcPr>
          <w:p>
            <w:pPr>
              <w:ind w:left="140"/>
              <w:spacing w:after="0"/>
              <w:rPr>
                <w:sz w:val="20"/>
                <w:szCs w:val="20"/>
                <w:color w:val="auto"/>
              </w:rPr>
            </w:pPr>
            <w:r>
              <w:rPr>
                <w:rFonts w:ascii="Arial" w:cs="Arial" w:eastAsia="Arial" w:hAnsi="Arial"/>
                <w:sz w:val="16"/>
                <w:szCs w:val="16"/>
                <w:b w:val="1"/>
                <w:bCs w:val="1"/>
                <w:color w:val="auto"/>
              </w:rPr>
              <w:t>Consolidated Subsidiaries</w:t>
            </w:r>
          </w:p>
        </w:tc>
        <w:tc>
          <w:tcPr>
            <w:tcW w:w="1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4580" w:type="dxa"/>
            <w:vAlign w:val="bottom"/>
          </w:tcPr>
          <w:p>
            <w:pPr>
              <w:ind w:left="360"/>
              <w:spacing w:after="0"/>
              <w:rPr>
                <w:sz w:val="20"/>
                <w:szCs w:val="20"/>
                <w:color w:val="auto"/>
              </w:rPr>
            </w:pPr>
            <w:r>
              <w:rPr>
                <w:rFonts w:ascii="Arial" w:cs="Arial" w:eastAsia="Arial" w:hAnsi="Arial"/>
                <w:sz w:val="16"/>
                <w:szCs w:val="16"/>
                <w:color w:val="auto"/>
              </w:rPr>
              <w:t>Average production prices</w:t>
            </w:r>
          </w:p>
        </w:tc>
        <w:tc>
          <w:tcPr>
            <w:tcW w:w="1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4580" w:type="dxa"/>
            <w:vAlign w:val="bottom"/>
          </w:tcPr>
          <w:p>
            <w:pPr>
              <w:ind w:left="560"/>
              <w:spacing w:after="0"/>
              <w:rPr>
                <w:sz w:val="20"/>
                <w:szCs w:val="20"/>
                <w:color w:val="auto"/>
              </w:rPr>
            </w:pPr>
            <w:r>
              <w:rPr>
                <w:rFonts w:ascii="Arial" w:cs="Arial" w:eastAsia="Arial" w:hAnsi="Arial"/>
                <w:sz w:val="16"/>
                <w:szCs w:val="16"/>
                <w:color w:val="auto"/>
              </w:rPr>
              <w:t>Crude oil, per barrel</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65.03</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68.56</w:t>
            </w:r>
          </w:p>
        </w:tc>
        <w:tc>
          <w:tcPr>
            <w:tcW w:w="780" w:type="dxa"/>
            <w:vAlign w:val="bottom"/>
          </w:tcPr>
          <w:p>
            <w:pPr>
              <w:jc w:val="right"/>
              <w:spacing w:after="0"/>
              <w:rPr>
                <w:sz w:val="20"/>
                <w:szCs w:val="20"/>
                <w:color w:val="auto"/>
              </w:rPr>
            </w:pPr>
            <w:r>
              <w:rPr>
                <w:rFonts w:ascii="Arial" w:cs="Arial" w:eastAsia="Arial" w:hAnsi="Arial"/>
                <w:sz w:val="16"/>
                <w:szCs w:val="16"/>
                <w:color w:val="auto"/>
              </w:rPr>
              <w:t>66.20</w:t>
            </w:r>
          </w:p>
        </w:tc>
        <w:tc>
          <w:tcPr>
            <w:tcW w:w="1200" w:type="dxa"/>
            <w:vAlign w:val="bottom"/>
          </w:tcPr>
          <w:p>
            <w:pPr>
              <w:jc w:val="right"/>
              <w:ind w:right="219"/>
              <w:spacing w:after="0"/>
              <w:rPr>
                <w:sz w:val="20"/>
                <w:szCs w:val="20"/>
                <w:color w:val="auto"/>
              </w:rPr>
            </w:pPr>
            <w:r>
              <w:rPr>
                <w:rFonts w:ascii="Arial" w:cs="Arial" w:eastAsia="Arial" w:hAnsi="Arial"/>
                <w:sz w:val="16"/>
                <w:szCs w:val="16"/>
                <w:color w:val="auto"/>
              </w:rPr>
              <w:t>70.21</w:t>
            </w: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67.28</w:t>
            </w: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69.00</w:t>
            </w:r>
          </w:p>
        </w:tc>
        <w:tc>
          <w:tcPr>
            <w:tcW w:w="720" w:type="dxa"/>
            <w:vAlign w:val="bottom"/>
          </w:tcPr>
          <w:p>
            <w:pPr>
              <w:jc w:val="right"/>
              <w:spacing w:after="0"/>
              <w:rPr>
                <w:sz w:val="20"/>
                <w:szCs w:val="20"/>
                <w:color w:val="auto"/>
              </w:rPr>
            </w:pPr>
            <w:r>
              <w:rPr>
                <w:rFonts w:ascii="Arial" w:cs="Arial" w:eastAsia="Arial" w:hAnsi="Arial"/>
                <w:sz w:val="16"/>
                <w:szCs w:val="16"/>
                <w:color w:val="auto"/>
              </w:rPr>
              <w:t>67.14</w:t>
            </w:r>
          </w:p>
        </w:tc>
      </w:tr>
      <w:tr>
        <w:trPr>
          <w:trHeight w:val="216"/>
        </w:trPr>
        <w:tc>
          <w:tcPr>
            <w:tcW w:w="4580" w:type="dxa"/>
            <w:vAlign w:val="bottom"/>
          </w:tcPr>
          <w:p>
            <w:pPr>
              <w:ind w:left="560"/>
              <w:spacing w:after="0"/>
              <w:rPr>
                <w:sz w:val="20"/>
                <w:szCs w:val="20"/>
                <w:color w:val="auto"/>
              </w:rPr>
            </w:pPr>
            <w:r>
              <w:rPr>
                <w:rFonts w:ascii="Arial" w:cs="Arial" w:eastAsia="Arial" w:hAnsi="Arial"/>
                <w:sz w:val="16"/>
                <w:szCs w:val="16"/>
                <w:color w:val="auto"/>
              </w:rPr>
              <w:t>NGL, per barrel</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32.24</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30.51</w:t>
            </w:r>
          </w:p>
        </w:tc>
        <w:tc>
          <w:tcPr>
            <w:tcW w:w="780" w:type="dxa"/>
            <w:vAlign w:val="bottom"/>
          </w:tcPr>
          <w:p>
            <w:pPr>
              <w:jc w:val="right"/>
              <w:spacing w:after="0"/>
              <w:rPr>
                <w:sz w:val="20"/>
                <w:szCs w:val="20"/>
                <w:color w:val="auto"/>
              </w:rPr>
            </w:pPr>
            <w:r>
              <w:rPr>
                <w:rFonts w:ascii="Arial" w:cs="Arial" w:eastAsia="Arial" w:hAnsi="Arial"/>
                <w:sz w:val="16"/>
                <w:szCs w:val="16"/>
                <w:color w:val="auto"/>
              </w:rPr>
              <w:t>42.31</w:t>
            </w:r>
          </w:p>
        </w:tc>
        <w:tc>
          <w:tcPr>
            <w:tcW w:w="1200" w:type="dxa"/>
            <w:vAlign w:val="bottom"/>
          </w:tcPr>
          <w:p>
            <w:pPr>
              <w:jc w:val="right"/>
              <w:ind w:right="219"/>
              <w:spacing w:after="0"/>
              <w:rPr>
                <w:sz w:val="20"/>
                <w:szCs w:val="20"/>
                <w:color w:val="auto"/>
              </w:rPr>
            </w:pPr>
            <w:r>
              <w:rPr>
                <w:rFonts w:ascii="Arial" w:cs="Arial" w:eastAsia="Arial" w:hAnsi="Arial"/>
                <w:sz w:val="16"/>
                <w:szCs w:val="16"/>
                <w:color w:val="auto"/>
              </w:rPr>
              <w:t>54.57</w:t>
            </w: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32.62</w:t>
            </w: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43.07</w:t>
            </w:r>
          </w:p>
        </w:tc>
        <w:tc>
          <w:tcPr>
            <w:tcW w:w="720" w:type="dxa"/>
            <w:vAlign w:val="bottom"/>
          </w:tcPr>
          <w:p>
            <w:pPr>
              <w:jc w:val="right"/>
              <w:spacing w:after="0"/>
              <w:rPr>
                <w:sz w:val="20"/>
                <w:szCs w:val="20"/>
                <w:color w:val="auto"/>
              </w:rPr>
            </w:pPr>
            <w:r>
              <w:rPr>
                <w:rFonts w:ascii="Arial" w:cs="Arial" w:eastAsia="Arial" w:hAnsi="Arial"/>
                <w:sz w:val="16"/>
                <w:szCs w:val="16"/>
                <w:color w:val="auto"/>
              </w:rPr>
              <w:t>33.65</w:t>
            </w:r>
          </w:p>
        </w:tc>
      </w:tr>
      <w:tr>
        <w:trPr>
          <w:trHeight w:val="216"/>
        </w:trPr>
        <w:tc>
          <w:tcPr>
            <w:tcW w:w="4580" w:type="dxa"/>
            <w:vAlign w:val="bottom"/>
          </w:tcPr>
          <w:p>
            <w:pPr>
              <w:ind w:left="560"/>
              <w:spacing w:after="0"/>
              <w:rPr>
                <w:sz w:val="20"/>
                <w:szCs w:val="20"/>
                <w:color w:val="auto"/>
              </w:rPr>
            </w:pPr>
            <w:r>
              <w:rPr>
                <w:rFonts w:ascii="Arial" w:cs="Arial" w:eastAsia="Arial" w:hAnsi="Arial"/>
                <w:sz w:val="16"/>
                <w:szCs w:val="16"/>
                <w:color w:val="auto"/>
              </w:rPr>
              <w:t>Natural gas, per thousand cubic feet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3.02</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2.92</w:t>
            </w:r>
          </w:p>
        </w:tc>
        <w:tc>
          <w:tcPr>
            <w:tcW w:w="780" w:type="dxa"/>
            <w:vAlign w:val="bottom"/>
          </w:tcPr>
          <w:p>
            <w:pPr>
              <w:jc w:val="right"/>
              <w:spacing w:after="0"/>
              <w:rPr>
                <w:sz w:val="20"/>
                <w:szCs w:val="20"/>
                <w:color w:val="auto"/>
              </w:rPr>
            </w:pPr>
            <w:r>
              <w:rPr>
                <w:rFonts w:ascii="Arial" w:cs="Arial" w:eastAsia="Arial" w:hAnsi="Arial"/>
                <w:sz w:val="16"/>
                <w:szCs w:val="16"/>
                <w:color w:val="auto"/>
              </w:rPr>
              <w:t>11.83</w:t>
            </w:r>
          </w:p>
        </w:tc>
        <w:tc>
          <w:tcPr>
            <w:tcW w:w="1200" w:type="dxa"/>
            <w:vAlign w:val="bottom"/>
          </w:tcPr>
          <w:p>
            <w:pPr>
              <w:jc w:val="right"/>
              <w:ind w:right="219"/>
              <w:spacing w:after="0"/>
              <w:rPr>
                <w:sz w:val="20"/>
                <w:szCs w:val="20"/>
                <w:color w:val="auto"/>
              </w:rPr>
            </w:pPr>
            <w:r>
              <w:rPr>
                <w:rFonts w:ascii="Arial" w:cs="Arial" w:eastAsia="Arial" w:hAnsi="Arial"/>
                <w:sz w:val="16"/>
                <w:szCs w:val="16"/>
                <w:color w:val="auto"/>
              </w:rPr>
              <w:t>1.67</w:t>
            </w: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2.11</w:t>
            </w: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6.64</w:t>
            </w:r>
          </w:p>
        </w:tc>
        <w:tc>
          <w:tcPr>
            <w:tcW w:w="720" w:type="dxa"/>
            <w:vAlign w:val="bottom"/>
          </w:tcPr>
          <w:p>
            <w:pPr>
              <w:jc w:val="right"/>
              <w:spacing w:after="0"/>
              <w:rPr>
                <w:sz w:val="20"/>
                <w:szCs w:val="20"/>
                <w:color w:val="auto"/>
              </w:rPr>
            </w:pPr>
            <w:r>
              <w:rPr>
                <w:rFonts w:ascii="Arial" w:cs="Arial" w:eastAsia="Arial" w:hAnsi="Arial"/>
                <w:sz w:val="16"/>
                <w:szCs w:val="16"/>
                <w:color w:val="auto"/>
              </w:rPr>
              <w:t>4.33</w:t>
            </w:r>
          </w:p>
        </w:tc>
      </w:tr>
      <w:tr>
        <w:trPr>
          <w:trHeight w:val="216"/>
        </w:trPr>
        <w:tc>
          <w:tcPr>
            <w:tcW w:w="4580" w:type="dxa"/>
            <w:vAlign w:val="bottom"/>
          </w:tcPr>
          <w:p>
            <w:pPr>
              <w:ind w:left="560"/>
              <w:spacing w:after="0"/>
              <w:rPr>
                <w:sz w:val="20"/>
                <w:szCs w:val="20"/>
                <w:color w:val="auto"/>
              </w:rPr>
            </w:pPr>
            <w:r>
              <w:rPr>
                <w:rFonts w:ascii="Arial" w:cs="Arial" w:eastAsia="Arial" w:hAnsi="Arial"/>
                <w:sz w:val="16"/>
                <w:szCs w:val="16"/>
                <w:color w:val="auto"/>
              </w:rPr>
              <w:t>Bitumen, per barrel</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44.26</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44.26</w:t>
            </w:r>
          </w:p>
        </w:tc>
      </w:tr>
      <w:tr>
        <w:trPr>
          <w:trHeight w:val="216"/>
        </w:trPr>
        <w:tc>
          <w:tcPr>
            <w:tcW w:w="4580" w:type="dxa"/>
            <w:vAlign w:val="bottom"/>
          </w:tcPr>
          <w:p>
            <w:pPr>
              <w:ind w:left="560"/>
              <w:spacing w:after="0"/>
              <w:rPr>
                <w:sz w:val="20"/>
                <w:szCs w:val="20"/>
                <w:color w:val="auto"/>
              </w:rPr>
            </w:pPr>
            <w:r>
              <w:rPr>
                <w:rFonts w:ascii="Arial" w:cs="Arial" w:eastAsia="Arial" w:hAnsi="Arial"/>
                <w:sz w:val="16"/>
                <w:szCs w:val="16"/>
                <w:color w:val="auto"/>
              </w:rPr>
              <w:t>Synthetic oil, per barrel</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64.73</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64.73</w:t>
            </w:r>
          </w:p>
        </w:tc>
      </w:tr>
      <w:tr>
        <w:trPr>
          <w:trHeight w:val="216"/>
        </w:trPr>
        <w:tc>
          <w:tcPr>
            <w:tcW w:w="4580" w:type="dxa"/>
            <w:vAlign w:val="bottom"/>
          </w:tcPr>
          <w:p>
            <w:pPr>
              <w:ind w:left="360"/>
              <w:spacing w:after="0"/>
              <w:rPr>
                <w:sz w:val="20"/>
                <w:szCs w:val="20"/>
                <w:color w:val="auto"/>
              </w:rPr>
            </w:pPr>
            <w:r>
              <w:rPr>
                <w:rFonts w:ascii="Arial" w:cs="Arial" w:eastAsia="Arial" w:hAnsi="Arial"/>
                <w:sz w:val="16"/>
                <w:szCs w:val="16"/>
                <w:color w:val="auto"/>
              </w:rPr>
              <w:t>Average production costs, per oil-equivalent barrel - total</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8.33</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22.47</w:t>
            </w:r>
          </w:p>
        </w:tc>
        <w:tc>
          <w:tcPr>
            <w:tcW w:w="780" w:type="dxa"/>
            <w:vAlign w:val="bottom"/>
          </w:tcPr>
          <w:p>
            <w:pPr>
              <w:jc w:val="right"/>
              <w:spacing w:after="0"/>
              <w:rPr>
                <w:sz w:val="20"/>
                <w:szCs w:val="20"/>
                <w:color w:val="auto"/>
              </w:rPr>
            </w:pPr>
            <w:r>
              <w:rPr>
                <w:rFonts w:ascii="Arial" w:cs="Arial" w:eastAsia="Arial" w:hAnsi="Arial"/>
                <w:sz w:val="16"/>
                <w:szCs w:val="16"/>
                <w:color w:val="auto"/>
              </w:rPr>
              <w:t>25.31</w:t>
            </w:r>
          </w:p>
        </w:tc>
        <w:tc>
          <w:tcPr>
            <w:tcW w:w="1200" w:type="dxa"/>
            <w:vAlign w:val="bottom"/>
          </w:tcPr>
          <w:p>
            <w:pPr>
              <w:jc w:val="right"/>
              <w:ind w:right="219"/>
              <w:spacing w:after="0"/>
              <w:rPr>
                <w:sz w:val="20"/>
                <w:szCs w:val="20"/>
                <w:color w:val="auto"/>
              </w:rPr>
            </w:pPr>
            <w:r>
              <w:rPr>
                <w:rFonts w:ascii="Arial" w:cs="Arial" w:eastAsia="Arial" w:hAnsi="Arial"/>
                <w:sz w:val="16"/>
                <w:szCs w:val="16"/>
                <w:color w:val="auto"/>
              </w:rPr>
              <w:t>18.92</w:t>
            </w: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7.16</w:t>
            </w: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5.14</w:t>
            </w:r>
          </w:p>
        </w:tc>
        <w:tc>
          <w:tcPr>
            <w:tcW w:w="720" w:type="dxa"/>
            <w:vAlign w:val="bottom"/>
          </w:tcPr>
          <w:p>
            <w:pPr>
              <w:jc w:val="right"/>
              <w:spacing w:after="0"/>
              <w:rPr>
                <w:sz w:val="20"/>
                <w:szCs w:val="20"/>
                <w:color w:val="auto"/>
              </w:rPr>
            </w:pPr>
            <w:r>
              <w:rPr>
                <w:rFonts w:ascii="Arial" w:cs="Arial" w:eastAsia="Arial" w:hAnsi="Arial"/>
                <w:sz w:val="16"/>
                <w:szCs w:val="16"/>
                <w:color w:val="auto"/>
              </w:rPr>
              <w:t>12.15</w:t>
            </w:r>
          </w:p>
        </w:tc>
      </w:tr>
      <w:tr>
        <w:trPr>
          <w:trHeight w:val="216"/>
        </w:trPr>
        <w:tc>
          <w:tcPr>
            <w:tcW w:w="4580" w:type="dxa"/>
            <w:vAlign w:val="bottom"/>
          </w:tcPr>
          <w:p>
            <w:pPr>
              <w:ind w:left="360"/>
              <w:spacing w:after="0"/>
              <w:rPr>
                <w:sz w:val="20"/>
                <w:szCs w:val="20"/>
                <w:color w:val="auto"/>
              </w:rPr>
            </w:pPr>
            <w:r>
              <w:rPr>
                <w:rFonts w:ascii="Arial" w:cs="Arial" w:eastAsia="Arial" w:hAnsi="Arial"/>
                <w:sz w:val="16"/>
                <w:szCs w:val="16"/>
                <w:color w:val="auto"/>
              </w:rPr>
              <w:t>Average production costs, per barrel - bitumen</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22.69</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22.69</w:t>
            </w:r>
          </w:p>
        </w:tc>
      </w:tr>
      <w:tr>
        <w:trPr>
          <w:trHeight w:val="216"/>
        </w:trPr>
        <w:tc>
          <w:tcPr>
            <w:tcW w:w="4580" w:type="dxa"/>
            <w:vAlign w:val="bottom"/>
          </w:tcPr>
          <w:p>
            <w:pPr>
              <w:ind w:left="360"/>
              <w:spacing w:after="0"/>
              <w:rPr>
                <w:sz w:val="20"/>
                <w:szCs w:val="20"/>
                <w:color w:val="auto"/>
              </w:rPr>
            </w:pPr>
            <w:r>
              <w:rPr>
                <w:rFonts w:ascii="Arial" w:cs="Arial" w:eastAsia="Arial" w:hAnsi="Arial"/>
                <w:sz w:val="16"/>
                <w:szCs w:val="16"/>
                <w:color w:val="auto"/>
              </w:rPr>
              <w:t>Average production costs, per barrel - synthetic oil</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48.87</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48.87</w:t>
            </w:r>
          </w:p>
        </w:tc>
      </w:tr>
      <w:tr>
        <w:trPr>
          <w:trHeight w:val="270"/>
        </w:trPr>
        <w:tc>
          <w:tcPr>
            <w:tcW w:w="4580" w:type="dxa"/>
            <w:vAlign w:val="bottom"/>
          </w:tcPr>
          <w:p>
            <w:pPr>
              <w:ind w:left="140"/>
              <w:spacing w:after="0"/>
              <w:rPr>
                <w:sz w:val="20"/>
                <w:szCs w:val="20"/>
                <w:color w:val="auto"/>
              </w:rPr>
            </w:pPr>
            <w:r>
              <w:rPr>
                <w:rFonts w:ascii="Arial" w:cs="Arial" w:eastAsia="Arial" w:hAnsi="Arial"/>
                <w:sz w:val="16"/>
                <w:szCs w:val="16"/>
                <w:b w:val="1"/>
                <w:bCs w:val="1"/>
                <w:color w:val="auto"/>
              </w:rPr>
              <w:t>Equity Companies</w:t>
            </w:r>
          </w:p>
        </w:tc>
        <w:tc>
          <w:tcPr>
            <w:tcW w:w="1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720" w:type="dxa"/>
            <w:vAlign w:val="bottom"/>
          </w:tcPr>
          <w:p>
            <w:pPr>
              <w:spacing w:after="0"/>
              <w:rPr>
                <w:sz w:val="23"/>
                <w:szCs w:val="23"/>
                <w:color w:val="auto"/>
              </w:rPr>
            </w:pPr>
          </w:p>
        </w:tc>
      </w:tr>
      <w:tr>
        <w:trPr>
          <w:trHeight w:val="216"/>
        </w:trPr>
        <w:tc>
          <w:tcPr>
            <w:tcW w:w="4580" w:type="dxa"/>
            <w:vAlign w:val="bottom"/>
          </w:tcPr>
          <w:p>
            <w:pPr>
              <w:ind w:left="360"/>
              <w:spacing w:after="0"/>
              <w:rPr>
                <w:sz w:val="20"/>
                <w:szCs w:val="20"/>
                <w:color w:val="auto"/>
              </w:rPr>
            </w:pPr>
            <w:r>
              <w:rPr>
                <w:rFonts w:ascii="Arial" w:cs="Arial" w:eastAsia="Arial" w:hAnsi="Arial"/>
                <w:sz w:val="16"/>
                <w:szCs w:val="16"/>
                <w:color w:val="auto"/>
              </w:rPr>
              <w:t>Average production prices</w:t>
            </w:r>
          </w:p>
        </w:tc>
        <w:tc>
          <w:tcPr>
            <w:tcW w:w="1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4580" w:type="dxa"/>
            <w:vAlign w:val="bottom"/>
          </w:tcPr>
          <w:p>
            <w:pPr>
              <w:ind w:left="560"/>
              <w:spacing w:after="0"/>
              <w:rPr>
                <w:sz w:val="20"/>
                <w:szCs w:val="20"/>
                <w:color w:val="auto"/>
              </w:rPr>
            </w:pPr>
            <w:r>
              <w:rPr>
                <w:rFonts w:ascii="Arial" w:cs="Arial" w:eastAsia="Arial" w:hAnsi="Arial"/>
                <w:sz w:val="16"/>
                <w:szCs w:val="16"/>
                <w:color w:val="auto"/>
              </w:rPr>
              <w:t>Crude oil, per barrel</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67.06</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62.60</w:t>
            </w:r>
          </w:p>
        </w:tc>
        <w:tc>
          <w:tcPr>
            <w:tcW w:w="12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65.85</w:t>
            </w: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66.01</w:t>
            </w:r>
          </w:p>
        </w:tc>
      </w:tr>
      <w:tr>
        <w:trPr>
          <w:trHeight w:val="216"/>
        </w:trPr>
        <w:tc>
          <w:tcPr>
            <w:tcW w:w="4580" w:type="dxa"/>
            <w:vAlign w:val="bottom"/>
          </w:tcPr>
          <w:p>
            <w:pPr>
              <w:ind w:left="560"/>
              <w:spacing w:after="0"/>
              <w:rPr>
                <w:sz w:val="20"/>
                <w:szCs w:val="20"/>
                <w:color w:val="auto"/>
              </w:rPr>
            </w:pPr>
            <w:r>
              <w:rPr>
                <w:rFonts w:ascii="Arial" w:cs="Arial" w:eastAsia="Arial" w:hAnsi="Arial"/>
                <w:sz w:val="16"/>
                <w:szCs w:val="16"/>
                <w:color w:val="auto"/>
              </w:rPr>
              <w:t>NGL, per barrel</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29.94</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52.14</w:t>
            </w: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51.64</w:t>
            </w:r>
          </w:p>
        </w:tc>
      </w:tr>
      <w:tr>
        <w:trPr>
          <w:trHeight w:val="216"/>
        </w:trPr>
        <w:tc>
          <w:tcPr>
            <w:tcW w:w="4580" w:type="dxa"/>
            <w:vAlign w:val="bottom"/>
          </w:tcPr>
          <w:p>
            <w:pPr>
              <w:ind w:left="560"/>
              <w:spacing w:after="0"/>
              <w:rPr>
                <w:sz w:val="20"/>
                <w:szCs w:val="20"/>
                <w:color w:val="auto"/>
              </w:rPr>
            </w:pPr>
            <w:r>
              <w:rPr>
                <w:rFonts w:ascii="Arial" w:cs="Arial" w:eastAsia="Arial" w:hAnsi="Arial"/>
                <w:sz w:val="16"/>
                <w:szCs w:val="16"/>
                <w:color w:val="auto"/>
              </w:rPr>
              <w:t>Natural gas, per thousand cubic feet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3.11</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8.19</w:t>
            </w:r>
          </w:p>
        </w:tc>
        <w:tc>
          <w:tcPr>
            <w:tcW w:w="12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6.54</w:t>
            </w: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6.74</w:t>
            </w:r>
          </w:p>
        </w:tc>
      </w:tr>
      <w:tr>
        <w:trPr>
          <w:trHeight w:val="216"/>
        </w:trPr>
        <w:tc>
          <w:tcPr>
            <w:tcW w:w="4580" w:type="dxa"/>
            <w:vAlign w:val="bottom"/>
          </w:tcPr>
          <w:p>
            <w:pPr>
              <w:ind w:left="360"/>
              <w:spacing w:after="0"/>
              <w:rPr>
                <w:sz w:val="20"/>
                <w:szCs w:val="20"/>
                <w:color w:val="auto"/>
              </w:rPr>
            </w:pPr>
            <w:r>
              <w:rPr>
                <w:rFonts w:ascii="Arial" w:cs="Arial" w:eastAsia="Arial" w:hAnsi="Arial"/>
                <w:sz w:val="16"/>
                <w:szCs w:val="16"/>
                <w:color w:val="auto"/>
              </w:rPr>
              <w:t>Average production costs, per oil-equivalent barrel - total</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30.51</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38.82</w:t>
            </w:r>
          </w:p>
        </w:tc>
        <w:tc>
          <w:tcPr>
            <w:tcW w:w="12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1.59</w:t>
            </w: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6.67</w:t>
            </w:r>
          </w:p>
        </w:tc>
      </w:tr>
      <w:tr>
        <w:trPr>
          <w:trHeight w:val="270"/>
        </w:trPr>
        <w:tc>
          <w:tcPr>
            <w:tcW w:w="4580" w:type="dxa"/>
            <w:vAlign w:val="bottom"/>
          </w:tcPr>
          <w:p>
            <w:pPr>
              <w:ind w:left="140"/>
              <w:spacing w:after="0"/>
              <w:rPr>
                <w:sz w:val="20"/>
                <w:szCs w:val="20"/>
                <w:color w:val="auto"/>
              </w:rPr>
            </w:pPr>
            <w:r>
              <w:rPr>
                <w:rFonts w:ascii="Arial" w:cs="Arial" w:eastAsia="Arial" w:hAnsi="Arial"/>
                <w:sz w:val="16"/>
                <w:szCs w:val="16"/>
                <w:b w:val="1"/>
                <w:bCs w:val="1"/>
                <w:color w:val="auto"/>
              </w:rPr>
              <w:t>Total</w:t>
            </w:r>
          </w:p>
        </w:tc>
        <w:tc>
          <w:tcPr>
            <w:tcW w:w="1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720" w:type="dxa"/>
            <w:vAlign w:val="bottom"/>
          </w:tcPr>
          <w:p>
            <w:pPr>
              <w:spacing w:after="0"/>
              <w:rPr>
                <w:sz w:val="23"/>
                <w:szCs w:val="23"/>
                <w:color w:val="auto"/>
              </w:rPr>
            </w:pPr>
          </w:p>
        </w:tc>
      </w:tr>
      <w:tr>
        <w:trPr>
          <w:trHeight w:val="216"/>
        </w:trPr>
        <w:tc>
          <w:tcPr>
            <w:tcW w:w="4580" w:type="dxa"/>
            <w:vAlign w:val="bottom"/>
          </w:tcPr>
          <w:p>
            <w:pPr>
              <w:ind w:left="360"/>
              <w:spacing w:after="0"/>
              <w:rPr>
                <w:sz w:val="20"/>
                <w:szCs w:val="20"/>
                <w:color w:val="auto"/>
              </w:rPr>
            </w:pPr>
            <w:r>
              <w:rPr>
                <w:rFonts w:ascii="Arial" w:cs="Arial" w:eastAsia="Arial" w:hAnsi="Arial"/>
                <w:sz w:val="16"/>
                <w:szCs w:val="16"/>
                <w:color w:val="auto"/>
              </w:rPr>
              <w:t>Average production prices</w:t>
            </w:r>
          </w:p>
        </w:tc>
        <w:tc>
          <w:tcPr>
            <w:tcW w:w="1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4580" w:type="dxa"/>
            <w:vAlign w:val="bottom"/>
          </w:tcPr>
          <w:p>
            <w:pPr>
              <w:ind w:left="560"/>
              <w:spacing w:after="0"/>
              <w:rPr>
                <w:sz w:val="20"/>
                <w:szCs w:val="20"/>
                <w:color w:val="auto"/>
              </w:rPr>
            </w:pPr>
            <w:r>
              <w:rPr>
                <w:rFonts w:ascii="Arial" w:cs="Arial" w:eastAsia="Arial" w:hAnsi="Arial"/>
                <w:sz w:val="16"/>
                <w:szCs w:val="16"/>
                <w:color w:val="auto"/>
              </w:rPr>
              <w:t>Crude oil, per barrel</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65.20</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68.56</w:t>
            </w:r>
          </w:p>
        </w:tc>
        <w:tc>
          <w:tcPr>
            <w:tcW w:w="780" w:type="dxa"/>
            <w:vAlign w:val="bottom"/>
          </w:tcPr>
          <w:p>
            <w:pPr>
              <w:jc w:val="right"/>
              <w:spacing w:after="0"/>
              <w:rPr>
                <w:sz w:val="20"/>
                <w:szCs w:val="20"/>
                <w:color w:val="auto"/>
              </w:rPr>
            </w:pPr>
            <w:r>
              <w:rPr>
                <w:rFonts w:ascii="Arial" w:cs="Arial" w:eastAsia="Arial" w:hAnsi="Arial"/>
                <w:sz w:val="16"/>
                <w:szCs w:val="16"/>
                <w:color w:val="auto"/>
              </w:rPr>
              <w:t>65.54</w:t>
            </w:r>
          </w:p>
        </w:tc>
        <w:tc>
          <w:tcPr>
            <w:tcW w:w="1200" w:type="dxa"/>
            <w:vAlign w:val="bottom"/>
          </w:tcPr>
          <w:p>
            <w:pPr>
              <w:jc w:val="right"/>
              <w:ind w:right="219"/>
              <w:spacing w:after="0"/>
              <w:rPr>
                <w:sz w:val="20"/>
                <w:szCs w:val="20"/>
                <w:color w:val="auto"/>
              </w:rPr>
            </w:pPr>
            <w:r>
              <w:rPr>
                <w:rFonts w:ascii="Arial" w:cs="Arial" w:eastAsia="Arial" w:hAnsi="Arial"/>
                <w:sz w:val="16"/>
                <w:szCs w:val="16"/>
                <w:color w:val="auto"/>
              </w:rPr>
              <w:t>70.21</w:t>
            </w: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66.80</w:t>
            </w: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69.00</w:t>
            </w:r>
          </w:p>
        </w:tc>
        <w:tc>
          <w:tcPr>
            <w:tcW w:w="720" w:type="dxa"/>
            <w:vAlign w:val="bottom"/>
          </w:tcPr>
          <w:p>
            <w:pPr>
              <w:jc w:val="right"/>
              <w:spacing w:after="0"/>
              <w:rPr>
                <w:sz w:val="20"/>
                <w:szCs w:val="20"/>
                <w:color w:val="auto"/>
              </w:rPr>
            </w:pPr>
            <w:r>
              <w:rPr>
                <w:rFonts w:ascii="Arial" w:cs="Arial" w:eastAsia="Arial" w:hAnsi="Arial"/>
                <w:sz w:val="16"/>
                <w:szCs w:val="16"/>
                <w:color w:val="auto"/>
              </w:rPr>
              <w:t>66.96</w:t>
            </w:r>
          </w:p>
        </w:tc>
      </w:tr>
      <w:tr>
        <w:trPr>
          <w:trHeight w:val="216"/>
        </w:trPr>
        <w:tc>
          <w:tcPr>
            <w:tcW w:w="4580" w:type="dxa"/>
            <w:vAlign w:val="bottom"/>
          </w:tcPr>
          <w:p>
            <w:pPr>
              <w:ind w:left="560"/>
              <w:spacing w:after="0"/>
              <w:rPr>
                <w:sz w:val="20"/>
                <w:szCs w:val="20"/>
                <w:color w:val="auto"/>
              </w:rPr>
            </w:pPr>
            <w:r>
              <w:rPr>
                <w:rFonts w:ascii="Arial" w:cs="Arial" w:eastAsia="Arial" w:hAnsi="Arial"/>
                <w:sz w:val="16"/>
                <w:szCs w:val="16"/>
                <w:color w:val="auto"/>
              </w:rPr>
              <w:t>NGL, per barrel</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32.23</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30.51</w:t>
            </w:r>
          </w:p>
        </w:tc>
        <w:tc>
          <w:tcPr>
            <w:tcW w:w="780" w:type="dxa"/>
            <w:vAlign w:val="bottom"/>
          </w:tcPr>
          <w:p>
            <w:pPr>
              <w:jc w:val="right"/>
              <w:spacing w:after="0"/>
              <w:rPr>
                <w:sz w:val="20"/>
                <w:szCs w:val="20"/>
                <w:color w:val="auto"/>
              </w:rPr>
            </w:pPr>
            <w:r>
              <w:rPr>
                <w:rFonts w:ascii="Arial" w:cs="Arial" w:eastAsia="Arial" w:hAnsi="Arial"/>
                <w:sz w:val="16"/>
                <w:szCs w:val="16"/>
                <w:color w:val="auto"/>
              </w:rPr>
              <w:t>42.31</w:t>
            </w:r>
          </w:p>
        </w:tc>
        <w:tc>
          <w:tcPr>
            <w:tcW w:w="1200" w:type="dxa"/>
            <w:vAlign w:val="bottom"/>
          </w:tcPr>
          <w:p>
            <w:pPr>
              <w:jc w:val="right"/>
              <w:ind w:right="219"/>
              <w:spacing w:after="0"/>
              <w:rPr>
                <w:sz w:val="20"/>
                <w:szCs w:val="20"/>
                <w:color w:val="auto"/>
              </w:rPr>
            </w:pPr>
            <w:r>
              <w:rPr>
                <w:rFonts w:ascii="Arial" w:cs="Arial" w:eastAsia="Arial" w:hAnsi="Arial"/>
                <w:sz w:val="16"/>
                <w:szCs w:val="16"/>
                <w:color w:val="auto"/>
              </w:rPr>
              <w:t>54.57</w:t>
            </w: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47.10</w:t>
            </w: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43.07</w:t>
            </w:r>
          </w:p>
        </w:tc>
        <w:tc>
          <w:tcPr>
            <w:tcW w:w="720" w:type="dxa"/>
            <w:vAlign w:val="bottom"/>
          </w:tcPr>
          <w:p>
            <w:pPr>
              <w:jc w:val="right"/>
              <w:spacing w:after="0"/>
              <w:rPr>
                <w:sz w:val="20"/>
                <w:szCs w:val="20"/>
                <w:color w:val="auto"/>
              </w:rPr>
            </w:pPr>
            <w:r>
              <w:rPr>
                <w:rFonts w:ascii="Arial" w:cs="Arial" w:eastAsia="Arial" w:hAnsi="Arial"/>
                <w:sz w:val="16"/>
                <w:szCs w:val="16"/>
                <w:color w:val="auto"/>
              </w:rPr>
              <w:t>37.27</w:t>
            </w:r>
          </w:p>
        </w:tc>
      </w:tr>
      <w:tr>
        <w:trPr>
          <w:trHeight w:val="216"/>
        </w:trPr>
        <w:tc>
          <w:tcPr>
            <w:tcW w:w="4580" w:type="dxa"/>
            <w:vAlign w:val="bottom"/>
          </w:tcPr>
          <w:p>
            <w:pPr>
              <w:ind w:left="560"/>
              <w:spacing w:after="0"/>
              <w:rPr>
                <w:sz w:val="20"/>
                <w:szCs w:val="20"/>
                <w:color w:val="auto"/>
              </w:rPr>
            </w:pPr>
            <w:r>
              <w:rPr>
                <w:rFonts w:ascii="Arial" w:cs="Arial" w:eastAsia="Arial" w:hAnsi="Arial"/>
                <w:sz w:val="16"/>
                <w:szCs w:val="16"/>
                <w:color w:val="auto"/>
              </w:rPr>
              <w:t>Natural gas, per thousand cubic feet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3.02</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2.92</w:t>
            </w:r>
          </w:p>
        </w:tc>
        <w:tc>
          <w:tcPr>
            <w:tcW w:w="780" w:type="dxa"/>
            <w:vAlign w:val="bottom"/>
          </w:tcPr>
          <w:p>
            <w:pPr>
              <w:jc w:val="right"/>
              <w:spacing w:after="0"/>
              <w:rPr>
                <w:sz w:val="20"/>
                <w:szCs w:val="20"/>
                <w:color w:val="auto"/>
              </w:rPr>
            </w:pPr>
            <w:r>
              <w:rPr>
                <w:rFonts w:ascii="Arial" w:cs="Arial" w:eastAsia="Arial" w:hAnsi="Arial"/>
                <w:sz w:val="16"/>
                <w:szCs w:val="16"/>
                <w:color w:val="auto"/>
              </w:rPr>
              <w:t>9.89</w:t>
            </w:r>
          </w:p>
        </w:tc>
        <w:tc>
          <w:tcPr>
            <w:tcW w:w="1200" w:type="dxa"/>
            <w:vAlign w:val="bottom"/>
          </w:tcPr>
          <w:p>
            <w:pPr>
              <w:jc w:val="right"/>
              <w:ind w:right="219"/>
              <w:spacing w:after="0"/>
              <w:rPr>
                <w:sz w:val="20"/>
                <w:szCs w:val="20"/>
                <w:color w:val="auto"/>
              </w:rPr>
            </w:pPr>
            <w:r>
              <w:rPr>
                <w:rFonts w:ascii="Arial" w:cs="Arial" w:eastAsia="Arial" w:hAnsi="Arial"/>
                <w:sz w:val="16"/>
                <w:szCs w:val="16"/>
                <w:color w:val="auto"/>
              </w:rPr>
              <w:t>1.67</w:t>
            </w: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5.50</w:t>
            </w: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6.64</w:t>
            </w:r>
          </w:p>
        </w:tc>
        <w:tc>
          <w:tcPr>
            <w:tcW w:w="720" w:type="dxa"/>
            <w:vAlign w:val="bottom"/>
          </w:tcPr>
          <w:p>
            <w:pPr>
              <w:jc w:val="right"/>
              <w:spacing w:after="0"/>
              <w:rPr>
                <w:sz w:val="20"/>
                <w:szCs w:val="20"/>
                <w:color w:val="auto"/>
              </w:rPr>
            </w:pPr>
            <w:r>
              <w:rPr>
                <w:rFonts w:ascii="Arial" w:cs="Arial" w:eastAsia="Arial" w:hAnsi="Arial"/>
                <w:sz w:val="16"/>
                <w:szCs w:val="16"/>
                <w:color w:val="auto"/>
              </w:rPr>
              <w:t>5.21</w:t>
            </w:r>
          </w:p>
        </w:tc>
      </w:tr>
      <w:tr>
        <w:trPr>
          <w:trHeight w:val="216"/>
        </w:trPr>
        <w:tc>
          <w:tcPr>
            <w:tcW w:w="4580" w:type="dxa"/>
            <w:vAlign w:val="bottom"/>
          </w:tcPr>
          <w:p>
            <w:pPr>
              <w:ind w:left="560"/>
              <w:spacing w:after="0"/>
              <w:rPr>
                <w:sz w:val="20"/>
                <w:szCs w:val="20"/>
                <w:color w:val="auto"/>
              </w:rPr>
            </w:pPr>
            <w:r>
              <w:rPr>
                <w:rFonts w:ascii="Arial" w:cs="Arial" w:eastAsia="Arial" w:hAnsi="Arial"/>
                <w:sz w:val="16"/>
                <w:szCs w:val="16"/>
                <w:color w:val="auto"/>
              </w:rPr>
              <w:t>Bitumen, per barrel</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44.26</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44.26</w:t>
            </w:r>
          </w:p>
        </w:tc>
      </w:tr>
      <w:tr>
        <w:trPr>
          <w:trHeight w:val="216"/>
        </w:trPr>
        <w:tc>
          <w:tcPr>
            <w:tcW w:w="4580" w:type="dxa"/>
            <w:vAlign w:val="bottom"/>
          </w:tcPr>
          <w:p>
            <w:pPr>
              <w:ind w:left="560"/>
              <w:spacing w:after="0"/>
              <w:rPr>
                <w:sz w:val="20"/>
                <w:szCs w:val="20"/>
                <w:color w:val="auto"/>
              </w:rPr>
            </w:pPr>
            <w:r>
              <w:rPr>
                <w:rFonts w:ascii="Arial" w:cs="Arial" w:eastAsia="Arial" w:hAnsi="Arial"/>
                <w:sz w:val="16"/>
                <w:szCs w:val="16"/>
                <w:color w:val="auto"/>
              </w:rPr>
              <w:t>Synthetic oil, per barrel</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64.73</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64.73</w:t>
            </w:r>
          </w:p>
        </w:tc>
      </w:tr>
      <w:tr>
        <w:trPr>
          <w:trHeight w:val="216"/>
        </w:trPr>
        <w:tc>
          <w:tcPr>
            <w:tcW w:w="4580" w:type="dxa"/>
            <w:vAlign w:val="bottom"/>
          </w:tcPr>
          <w:p>
            <w:pPr>
              <w:ind w:left="360"/>
              <w:spacing w:after="0"/>
              <w:rPr>
                <w:sz w:val="20"/>
                <w:szCs w:val="20"/>
                <w:color w:val="auto"/>
              </w:rPr>
            </w:pPr>
            <w:r>
              <w:rPr>
                <w:rFonts w:ascii="Arial" w:cs="Arial" w:eastAsia="Arial" w:hAnsi="Arial"/>
                <w:sz w:val="16"/>
                <w:szCs w:val="16"/>
                <w:color w:val="auto"/>
              </w:rPr>
              <w:t>Average production costs, per oil-equivalent barrel - total</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9.24</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22.47</w:t>
            </w:r>
          </w:p>
        </w:tc>
        <w:tc>
          <w:tcPr>
            <w:tcW w:w="780" w:type="dxa"/>
            <w:vAlign w:val="bottom"/>
          </w:tcPr>
          <w:p>
            <w:pPr>
              <w:jc w:val="right"/>
              <w:spacing w:after="0"/>
              <w:rPr>
                <w:sz w:val="20"/>
                <w:szCs w:val="20"/>
                <w:color w:val="auto"/>
              </w:rPr>
            </w:pPr>
            <w:r>
              <w:rPr>
                <w:rFonts w:ascii="Arial" w:cs="Arial" w:eastAsia="Arial" w:hAnsi="Arial"/>
                <w:sz w:val="16"/>
                <w:szCs w:val="16"/>
                <w:color w:val="auto"/>
              </w:rPr>
              <w:t>31.79</w:t>
            </w:r>
          </w:p>
        </w:tc>
        <w:tc>
          <w:tcPr>
            <w:tcW w:w="1200" w:type="dxa"/>
            <w:vAlign w:val="bottom"/>
          </w:tcPr>
          <w:p>
            <w:pPr>
              <w:jc w:val="right"/>
              <w:ind w:right="219"/>
              <w:spacing w:after="0"/>
              <w:rPr>
                <w:sz w:val="20"/>
                <w:szCs w:val="20"/>
                <w:color w:val="auto"/>
              </w:rPr>
            </w:pPr>
            <w:r>
              <w:rPr>
                <w:rFonts w:ascii="Arial" w:cs="Arial" w:eastAsia="Arial" w:hAnsi="Arial"/>
                <w:sz w:val="16"/>
                <w:szCs w:val="16"/>
                <w:color w:val="auto"/>
              </w:rPr>
              <w:t>19.04</w:t>
            </w: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4.06</w:t>
            </w: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5.14</w:t>
            </w:r>
          </w:p>
        </w:tc>
        <w:tc>
          <w:tcPr>
            <w:tcW w:w="720" w:type="dxa"/>
            <w:vAlign w:val="bottom"/>
          </w:tcPr>
          <w:p>
            <w:pPr>
              <w:jc w:val="right"/>
              <w:spacing w:after="0"/>
              <w:rPr>
                <w:sz w:val="20"/>
                <w:szCs w:val="20"/>
                <w:color w:val="auto"/>
              </w:rPr>
            </w:pPr>
            <w:r>
              <w:rPr>
                <w:rFonts w:ascii="Arial" w:cs="Arial" w:eastAsia="Arial" w:hAnsi="Arial"/>
                <w:sz w:val="16"/>
                <w:szCs w:val="16"/>
                <w:color w:val="auto"/>
              </w:rPr>
              <w:t>10.92</w:t>
            </w:r>
          </w:p>
        </w:tc>
      </w:tr>
      <w:tr>
        <w:trPr>
          <w:trHeight w:val="216"/>
        </w:trPr>
        <w:tc>
          <w:tcPr>
            <w:tcW w:w="4580" w:type="dxa"/>
            <w:vAlign w:val="bottom"/>
          </w:tcPr>
          <w:p>
            <w:pPr>
              <w:ind w:left="360"/>
              <w:spacing w:after="0"/>
              <w:rPr>
                <w:sz w:val="20"/>
                <w:szCs w:val="20"/>
                <w:color w:val="auto"/>
              </w:rPr>
            </w:pPr>
            <w:r>
              <w:rPr>
                <w:rFonts w:ascii="Arial" w:cs="Arial" w:eastAsia="Arial" w:hAnsi="Arial"/>
                <w:sz w:val="16"/>
                <w:szCs w:val="16"/>
                <w:color w:val="auto"/>
              </w:rPr>
              <w:t>Average production costs, per barrel - bitumen</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22.69</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22.69</w:t>
            </w:r>
          </w:p>
        </w:tc>
      </w:tr>
      <w:tr>
        <w:trPr>
          <w:trHeight w:val="216"/>
        </w:trPr>
        <w:tc>
          <w:tcPr>
            <w:tcW w:w="4580" w:type="dxa"/>
            <w:vAlign w:val="bottom"/>
          </w:tcPr>
          <w:p>
            <w:pPr>
              <w:ind w:left="360"/>
              <w:spacing w:after="0"/>
              <w:rPr>
                <w:sz w:val="20"/>
                <w:szCs w:val="20"/>
                <w:color w:val="auto"/>
              </w:rPr>
            </w:pPr>
            <w:r>
              <w:rPr>
                <w:rFonts w:ascii="Arial" w:cs="Arial" w:eastAsia="Arial" w:hAnsi="Arial"/>
                <w:sz w:val="16"/>
                <w:szCs w:val="16"/>
                <w:color w:val="auto"/>
              </w:rPr>
              <w:t>Average production costs, per barrel - synthetic oil</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48.87</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48.87</w:t>
            </w:r>
          </w:p>
        </w:tc>
      </w:tr>
      <w:tr>
        <w:trPr>
          <w:trHeight w:val="378"/>
        </w:trPr>
        <w:tc>
          <w:tcPr>
            <w:tcW w:w="4580" w:type="dxa"/>
            <w:vAlign w:val="bottom"/>
          </w:tcPr>
          <w:p>
            <w:pPr>
              <w:ind w:left="20"/>
              <w:spacing w:after="0"/>
              <w:rPr>
                <w:sz w:val="20"/>
                <w:szCs w:val="20"/>
                <w:color w:val="auto"/>
              </w:rPr>
            </w:pPr>
            <w:r>
              <w:rPr>
                <w:rFonts w:ascii="Arial" w:cs="Arial" w:eastAsia="Arial" w:hAnsi="Arial"/>
                <w:sz w:val="16"/>
                <w:szCs w:val="16"/>
                <w:b w:val="1"/>
                <w:bCs w:val="1"/>
                <w:color w:val="auto"/>
              </w:rPr>
              <w:t>During 2020</w:t>
            </w:r>
          </w:p>
        </w:tc>
        <w:tc>
          <w:tcPr>
            <w:tcW w:w="1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16"/>
        </w:trPr>
        <w:tc>
          <w:tcPr>
            <w:tcW w:w="4580" w:type="dxa"/>
            <w:vAlign w:val="bottom"/>
          </w:tcPr>
          <w:p>
            <w:pPr>
              <w:ind w:left="140"/>
              <w:spacing w:after="0"/>
              <w:rPr>
                <w:sz w:val="20"/>
                <w:szCs w:val="20"/>
                <w:color w:val="auto"/>
              </w:rPr>
            </w:pPr>
            <w:r>
              <w:rPr>
                <w:rFonts w:ascii="Arial" w:cs="Arial" w:eastAsia="Arial" w:hAnsi="Arial"/>
                <w:sz w:val="16"/>
                <w:szCs w:val="16"/>
                <w:b w:val="1"/>
                <w:bCs w:val="1"/>
                <w:color w:val="auto"/>
              </w:rPr>
              <w:t>Consolidated Subsidiaries</w:t>
            </w:r>
          </w:p>
        </w:tc>
        <w:tc>
          <w:tcPr>
            <w:tcW w:w="1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4580" w:type="dxa"/>
            <w:vAlign w:val="bottom"/>
          </w:tcPr>
          <w:p>
            <w:pPr>
              <w:ind w:left="360"/>
              <w:spacing w:after="0"/>
              <w:rPr>
                <w:sz w:val="20"/>
                <w:szCs w:val="20"/>
                <w:color w:val="auto"/>
              </w:rPr>
            </w:pPr>
            <w:r>
              <w:rPr>
                <w:rFonts w:ascii="Arial" w:cs="Arial" w:eastAsia="Arial" w:hAnsi="Arial"/>
                <w:sz w:val="16"/>
                <w:szCs w:val="16"/>
                <w:color w:val="auto"/>
              </w:rPr>
              <w:t>Average production prices</w:t>
            </w:r>
          </w:p>
        </w:tc>
        <w:tc>
          <w:tcPr>
            <w:tcW w:w="1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4580" w:type="dxa"/>
            <w:vAlign w:val="bottom"/>
          </w:tcPr>
          <w:p>
            <w:pPr>
              <w:ind w:left="560"/>
              <w:spacing w:after="0"/>
              <w:rPr>
                <w:sz w:val="20"/>
                <w:szCs w:val="20"/>
                <w:color w:val="auto"/>
              </w:rPr>
            </w:pPr>
            <w:r>
              <w:rPr>
                <w:rFonts w:ascii="Arial" w:cs="Arial" w:eastAsia="Arial" w:hAnsi="Arial"/>
                <w:sz w:val="16"/>
                <w:szCs w:val="16"/>
                <w:color w:val="auto"/>
              </w:rPr>
              <w:t>Crude oil, per barrel</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34.97</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37.26</w:t>
            </w:r>
          </w:p>
        </w:tc>
        <w:tc>
          <w:tcPr>
            <w:tcW w:w="780" w:type="dxa"/>
            <w:vAlign w:val="bottom"/>
          </w:tcPr>
          <w:p>
            <w:pPr>
              <w:jc w:val="right"/>
              <w:spacing w:after="0"/>
              <w:rPr>
                <w:sz w:val="20"/>
                <w:szCs w:val="20"/>
                <w:color w:val="auto"/>
              </w:rPr>
            </w:pPr>
            <w:r>
              <w:rPr>
                <w:rFonts w:ascii="Arial" w:cs="Arial" w:eastAsia="Arial" w:hAnsi="Arial"/>
                <w:sz w:val="16"/>
                <w:szCs w:val="16"/>
                <w:color w:val="auto"/>
              </w:rPr>
              <w:t>41.39</w:t>
            </w:r>
          </w:p>
        </w:tc>
        <w:tc>
          <w:tcPr>
            <w:tcW w:w="1200" w:type="dxa"/>
            <w:vAlign w:val="bottom"/>
          </w:tcPr>
          <w:p>
            <w:pPr>
              <w:jc w:val="right"/>
              <w:ind w:right="219"/>
              <w:spacing w:after="0"/>
              <w:rPr>
                <w:sz w:val="20"/>
                <w:szCs w:val="20"/>
                <w:color w:val="auto"/>
              </w:rPr>
            </w:pPr>
            <w:r>
              <w:rPr>
                <w:rFonts w:ascii="Arial" w:cs="Arial" w:eastAsia="Arial" w:hAnsi="Arial"/>
                <w:sz w:val="16"/>
                <w:szCs w:val="16"/>
                <w:color w:val="auto"/>
              </w:rPr>
              <w:t>42.27</w:t>
            </w: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39.39</w:t>
            </w: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36.67</w:t>
            </w:r>
          </w:p>
        </w:tc>
        <w:tc>
          <w:tcPr>
            <w:tcW w:w="720" w:type="dxa"/>
            <w:vAlign w:val="bottom"/>
          </w:tcPr>
          <w:p>
            <w:pPr>
              <w:jc w:val="right"/>
              <w:spacing w:after="0"/>
              <w:rPr>
                <w:sz w:val="20"/>
                <w:szCs w:val="20"/>
                <w:color w:val="auto"/>
              </w:rPr>
            </w:pPr>
            <w:r>
              <w:rPr>
                <w:rFonts w:ascii="Arial" w:cs="Arial" w:eastAsia="Arial" w:hAnsi="Arial"/>
                <w:sz w:val="16"/>
                <w:szCs w:val="16"/>
                <w:color w:val="auto"/>
              </w:rPr>
              <w:t>38.31</w:t>
            </w:r>
          </w:p>
        </w:tc>
      </w:tr>
      <w:tr>
        <w:trPr>
          <w:trHeight w:val="216"/>
        </w:trPr>
        <w:tc>
          <w:tcPr>
            <w:tcW w:w="4580" w:type="dxa"/>
            <w:vAlign w:val="bottom"/>
          </w:tcPr>
          <w:p>
            <w:pPr>
              <w:ind w:left="560"/>
              <w:spacing w:after="0"/>
              <w:rPr>
                <w:sz w:val="20"/>
                <w:szCs w:val="20"/>
                <w:color w:val="auto"/>
              </w:rPr>
            </w:pPr>
            <w:r>
              <w:rPr>
                <w:rFonts w:ascii="Arial" w:cs="Arial" w:eastAsia="Arial" w:hAnsi="Arial"/>
                <w:sz w:val="16"/>
                <w:szCs w:val="16"/>
                <w:color w:val="auto"/>
              </w:rPr>
              <w:t>NGL, per barrel</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13.83</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10.34</w:t>
            </w:r>
          </w:p>
        </w:tc>
        <w:tc>
          <w:tcPr>
            <w:tcW w:w="780" w:type="dxa"/>
            <w:vAlign w:val="bottom"/>
          </w:tcPr>
          <w:p>
            <w:pPr>
              <w:jc w:val="right"/>
              <w:spacing w:after="0"/>
              <w:rPr>
                <w:sz w:val="20"/>
                <w:szCs w:val="20"/>
                <w:color w:val="auto"/>
              </w:rPr>
            </w:pPr>
            <w:r>
              <w:rPr>
                <w:rFonts w:ascii="Arial" w:cs="Arial" w:eastAsia="Arial" w:hAnsi="Arial"/>
                <w:sz w:val="16"/>
                <w:szCs w:val="16"/>
                <w:color w:val="auto"/>
              </w:rPr>
              <w:t>20.11</w:t>
            </w:r>
          </w:p>
        </w:tc>
        <w:tc>
          <w:tcPr>
            <w:tcW w:w="1200" w:type="dxa"/>
            <w:vAlign w:val="bottom"/>
          </w:tcPr>
          <w:p>
            <w:pPr>
              <w:jc w:val="right"/>
              <w:ind w:right="219"/>
              <w:spacing w:after="0"/>
              <w:rPr>
                <w:sz w:val="20"/>
                <w:szCs w:val="20"/>
                <w:color w:val="auto"/>
              </w:rPr>
            </w:pPr>
            <w:r>
              <w:rPr>
                <w:rFonts w:ascii="Arial" w:cs="Arial" w:eastAsia="Arial" w:hAnsi="Arial"/>
                <w:sz w:val="16"/>
                <w:szCs w:val="16"/>
                <w:color w:val="auto"/>
              </w:rPr>
              <w:t>21.32</w:t>
            </w: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21.37</w:t>
            </w: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27.92</w:t>
            </w:r>
          </w:p>
        </w:tc>
        <w:tc>
          <w:tcPr>
            <w:tcW w:w="720" w:type="dxa"/>
            <w:vAlign w:val="bottom"/>
          </w:tcPr>
          <w:p>
            <w:pPr>
              <w:jc w:val="right"/>
              <w:spacing w:after="0"/>
              <w:rPr>
                <w:sz w:val="20"/>
                <w:szCs w:val="20"/>
                <w:color w:val="auto"/>
              </w:rPr>
            </w:pPr>
            <w:r>
              <w:rPr>
                <w:rFonts w:ascii="Arial" w:cs="Arial" w:eastAsia="Arial" w:hAnsi="Arial"/>
                <w:sz w:val="16"/>
                <w:szCs w:val="16"/>
                <w:color w:val="auto"/>
              </w:rPr>
              <w:t>16.05</w:t>
            </w:r>
          </w:p>
        </w:tc>
      </w:tr>
      <w:tr>
        <w:trPr>
          <w:trHeight w:val="216"/>
        </w:trPr>
        <w:tc>
          <w:tcPr>
            <w:tcW w:w="4580" w:type="dxa"/>
            <w:vAlign w:val="bottom"/>
          </w:tcPr>
          <w:p>
            <w:pPr>
              <w:ind w:left="560"/>
              <w:spacing w:after="0"/>
              <w:rPr>
                <w:sz w:val="20"/>
                <w:szCs w:val="20"/>
                <w:color w:val="auto"/>
              </w:rPr>
            </w:pPr>
            <w:r>
              <w:rPr>
                <w:rFonts w:ascii="Arial" w:cs="Arial" w:eastAsia="Arial" w:hAnsi="Arial"/>
                <w:sz w:val="16"/>
                <w:szCs w:val="16"/>
                <w:color w:val="auto"/>
              </w:rPr>
              <w:t>Natural gas, per thousand cubic feet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0.98</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1.56</w:t>
            </w:r>
          </w:p>
        </w:tc>
        <w:tc>
          <w:tcPr>
            <w:tcW w:w="780" w:type="dxa"/>
            <w:vAlign w:val="bottom"/>
          </w:tcPr>
          <w:p>
            <w:pPr>
              <w:jc w:val="right"/>
              <w:spacing w:after="0"/>
              <w:rPr>
                <w:sz w:val="20"/>
                <w:szCs w:val="20"/>
                <w:color w:val="auto"/>
              </w:rPr>
            </w:pPr>
            <w:r>
              <w:rPr>
                <w:rFonts w:ascii="Arial" w:cs="Arial" w:eastAsia="Arial" w:hAnsi="Arial"/>
                <w:sz w:val="16"/>
                <w:szCs w:val="16"/>
                <w:color w:val="auto"/>
              </w:rPr>
              <w:t>3.13</w:t>
            </w:r>
          </w:p>
        </w:tc>
        <w:tc>
          <w:tcPr>
            <w:tcW w:w="1200" w:type="dxa"/>
            <w:vAlign w:val="bottom"/>
          </w:tcPr>
          <w:p>
            <w:pPr>
              <w:jc w:val="right"/>
              <w:ind w:right="219"/>
              <w:spacing w:after="0"/>
              <w:rPr>
                <w:sz w:val="20"/>
                <w:szCs w:val="20"/>
                <w:color w:val="auto"/>
              </w:rPr>
            </w:pPr>
            <w:r>
              <w:rPr>
                <w:rFonts w:ascii="Arial" w:cs="Arial" w:eastAsia="Arial" w:hAnsi="Arial"/>
                <w:sz w:val="16"/>
                <w:szCs w:val="16"/>
                <w:color w:val="auto"/>
              </w:rPr>
              <w:t>1.24</w:t>
            </w: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1.49</w:t>
            </w: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4.34</w:t>
            </w:r>
          </w:p>
        </w:tc>
        <w:tc>
          <w:tcPr>
            <w:tcW w:w="720" w:type="dxa"/>
            <w:vAlign w:val="bottom"/>
          </w:tcPr>
          <w:p>
            <w:pPr>
              <w:jc w:val="right"/>
              <w:spacing w:after="0"/>
              <w:rPr>
                <w:sz w:val="20"/>
                <w:szCs w:val="20"/>
                <w:color w:val="auto"/>
              </w:rPr>
            </w:pPr>
            <w:r>
              <w:rPr>
                <w:rFonts w:ascii="Arial" w:cs="Arial" w:eastAsia="Arial" w:hAnsi="Arial"/>
                <w:sz w:val="16"/>
                <w:szCs w:val="16"/>
                <w:color w:val="auto"/>
              </w:rPr>
              <w:t>2.01</w:t>
            </w:r>
          </w:p>
        </w:tc>
      </w:tr>
      <w:tr>
        <w:trPr>
          <w:trHeight w:val="216"/>
        </w:trPr>
        <w:tc>
          <w:tcPr>
            <w:tcW w:w="4580" w:type="dxa"/>
            <w:vAlign w:val="bottom"/>
          </w:tcPr>
          <w:p>
            <w:pPr>
              <w:ind w:left="560"/>
              <w:spacing w:after="0"/>
              <w:rPr>
                <w:sz w:val="20"/>
                <w:szCs w:val="20"/>
                <w:color w:val="auto"/>
              </w:rPr>
            </w:pPr>
            <w:r>
              <w:rPr>
                <w:rFonts w:ascii="Arial" w:cs="Arial" w:eastAsia="Arial" w:hAnsi="Arial"/>
                <w:sz w:val="16"/>
                <w:szCs w:val="16"/>
                <w:color w:val="auto"/>
              </w:rPr>
              <w:t>Bitumen, per barrel</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17.71</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17.71</w:t>
            </w:r>
          </w:p>
        </w:tc>
      </w:tr>
      <w:tr>
        <w:trPr>
          <w:trHeight w:val="216"/>
        </w:trPr>
        <w:tc>
          <w:tcPr>
            <w:tcW w:w="4580" w:type="dxa"/>
            <w:vAlign w:val="bottom"/>
          </w:tcPr>
          <w:p>
            <w:pPr>
              <w:ind w:left="560"/>
              <w:spacing w:after="0"/>
              <w:rPr>
                <w:sz w:val="20"/>
                <w:szCs w:val="20"/>
                <w:color w:val="auto"/>
              </w:rPr>
            </w:pPr>
            <w:r>
              <w:rPr>
                <w:rFonts w:ascii="Arial" w:cs="Arial" w:eastAsia="Arial" w:hAnsi="Arial"/>
                <w:sz w:val="16"/>
                <w:szCs w:val="16"/>
                <w:color w:val="auto"/>
              </w:rPr>
              <w:t>Synthetic oil, per barrel</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37.32</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37.32</w:t>
            </w:r>
          </w:p>
        </w:tc>
      </w:tr>
      <w:tr>
        <w:trPr>
          <w:trHeight w:val="216"/>
        </w:trPr>
        <w:tc>
          <w:tcPr>
            <w:tcW w:w="4580" w:type="dxa"/>
            <w:vAlign w:val="bottom"/>
          </w:tcPr>
          <w:p>
            <w:pPr>
              <w:ind w:left="360"/>
              <w:spacing w:after="0"/>
              <w:rPr>
                <w:sz w:val="20"/>
                <w:szCs w:val="20"/>
                <w:color w:val="auto"/>
              </w:rPr>
            </w:pPr>
            <w:r>
              <w:rPr>
                <w:rFonts w:ascii="Arial" w:cs="Arial" w:eastAsia="Arial" w:hAnsi="Arial"/>
                <w:sz w:val="16"/>
                <w:szCs w:val="16"/>
                <w:color w:val="auto"/>
              </w:rPr>
              <w:t>Average production costs, per oil-equivalent barrel - total</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9.82</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18.40</w:t>
            </w:r>
          </w:p>
        </w:tc>
        <w:tc>
          <w:tcPr>
            <w:tcW w:w="780" w:type="dxa"/>
            <w:vAlign w:val="bottom"/>
          </w:tcPr>
          <w:p>
            <w:pPr>
              <w:jc w:val="right"/>
              <w:spacing w:after="0"/>
              <w:rPr>
                <w:sz w:val="20"/>
                <w:szCs w:val="20"/>
                <w:color w:val="auto"/>
              </w:rPr>
            </w:pPr>
            <w:r>
              <w:rPr>
                <w:rFonts w:ascii="Arial" w:cs="Arial" w:eastAsia="Arial" w:hAnsi="Arial"/>
                <w:sz w:val="16"/>
                <w:szCs w:val="16"/>
                <w:color w:val="auto"/>
              </w:rPr>
              <w:t>21.22</w:t>
            </w:r>
          </w:p>
        </w:tc>
        <w:tc>
          <w:tcPr>
            <w:tcW w:w="1200" w:type="dxa"/>
            <w:vAlign w:val="bottom"/>
          </w:tcPr>
          <w:p>
            <w:pPr>
              <w:jc w:val="right"/>
              <w:ind w:right="219"/>
              <w:spacing w:after="0"/>
              <w:rPr>
                <w:sz w:val="20"/>
                <w:szCs w:val="20"/>
                <w:color w:val="auto"/>
              </w:rPr>
            </w:pPr>
            <w:r>
              <w:rPr>
                <w:rFonts w:ascii="Arial" w:cs="Arial" w:eastAsia="Arial" w:hAnsi="Arial"/>
                <w:sz w:val="16"/>
                <w:szCs w:val="16"/>
                <w:color w:val="auto"/>
              </w:rPr>
              <w:t>16.67</w:t>
            </w: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6.50</w:t>
            </w: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5.35</w:t>
            </w:r>
          </w:p>
        </w:tc>
        <w:tc>
          <w:tcPr>
            <w:tcW w:w="720" w:type="dxa"/>
            <w:vAlign w:val="bottom"/>
          </w:tcPr>
          <w:p>
            <w:pPr>
              <w:jc w:val="right"/>
              <w:spacing w:after="0"/>
              <w:rPr>
                <w:sz w:val="20"/>
                <w:szCs w:val="20"/>
                <w:color w:val="auto"/>
              </w:rPr>
            </w:pPr>
            <w:r>
              <w:rPr>
                <w:rFonts w:ascii="Arial" w:cs="Arial" w:eastAsia="Arial" w:hAnsi="Arial"/>
                <w:sz w:val="16"/>
                <w:szCs w:val="16"/>
                <w:color w:val="auto"/>
              </w:rPr>
              <w:t>11.57</w:t>
            </w:r>
          </w:p>
        </w:tc>
      </w:tr>
      <w:tr>
        <w:trPr>
          <w:trHeight w:val="216"/>
        </w:trPr>
        <w:tc>
          <w:tcPr>
            <w:tcW w:w="4580" w:type="dxa"/>
            <w:vAlign w:val="bottom"/>
          </w:tcPr>
          <w:p>
            <w:pPr>
              <w:ind w:left="360"/>
              <w:spacing w:after="0"/>
              <w:rPr>
                <w:sz w:val="20"/>
                <w:szCs w:val="20"/>
                <w:color w:val="auto"/>
              </w:rPr>
            </w:pPr>
            <w:r>
              <w:rPr>
                <w:rFonts w:ascii="Arial" w:cs="Arial" w:eastAsia="Arial" w:hAnsi="Arial"/>
                <w:sz w:val="16"/>
                <w:szCs w:val="16"/>
                <w:color w:val="auto"/>
              </w:rPr>
              <w:t>Average production costs, per barrel - bitumen</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19.22</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19.22</w:t>
            </w:r>
          </w:p>
        </w:tc>
      </w:tr>
      <w:tr>
        <w:trPr>
          <w:trHeight w:val="216"/>
        </w:trPr>
        <w:tc>
          <w:tcPr>
            <w:tcW w:w="4580" w:type="dxa"/>
            <w:vAlign w:val="bottom"/>
          </w:tcPr>
          <w:p>
            <w:pPr>
              <w:ind w:left="360"/>
              <w:spacing w:after="0"/>
              <w:rPr>
                <w:sz w:val="20"/>
                <w:szCs w:val="20"/>
                <w:color w:val="auto"/>
              </w:rPr>
            </w:pPr>
            <w:r>
              <w:rPr>
                <w:rFonts w:ascii="Arial" w:cs="Arial" w:eastAsia="Arial" w:hAnsi="Arial"/>
                <w:sz w:val="16"/>
                <w:szCs w:val="16"/>
                <w:color w:val="auto"/>
              </w:rPr>
              <w:t>Average production costs, per barrel - synthetic oil</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33.61</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33.61</w:t>
            </w:r>
          </w:p>
        </w:tc>
      </w:tr>
      <w:tr>
        <w:trPr>
          <w:trHeight w:val="270"/>
        </w:trPr>
        <w:tc>
          <w:tcPr>
            <w:tcW w:w="4580" w:type="dxa"/>
            <w:vAlign w:val="bottom"/>
          </w:tcPr>
          <w:p>
            <w:pPr>
              <w:ind w:left="140"/>
              <w:spacing w:after="0"/>
              <w:rPr>
                <w:sz w:val="20"/>
                <w:szCs w:val="20"/>
                <w:color w:val="auto"/>
              </w:rPr>
            </w:pPr>
            <w:r>
              <w:rPr>
                <w:rFonts w:ascii="Arial" w:cs="Arial" w:eastAsia="Arial" w:hAnsi="Arial"/>
                <w:sz w:val="16"/>
                <w:szCs w:val="16"/>
                <w:b w:val="1"/>
                <w:bCs w:val="1"/>
                <w:color w:val="auto"/>
              </w:rPr>
              <w:t>Equity Companies</w:t>
            </w:r>
          </w:p>
        </w:tc>
        <w:tc>
          <w:tcPr>
            <w:tcW w:w="1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720" w:type="dxa"/>
            <w:vAlign w:val="bottom"/>
          </w:tcPr>
          <w:p>
            <w:pPr>
              <w:spacing w:after="0"/>
              <w:rPr>
                <w:sz w:val="23"/>
                <w:szCs w:val="23"/>
                <w:color w:val="auto"/>
              </w:rPr>
            </w:pPr>
          </w:p>
        </w:tc>
      </w:tr>
      <w:tr>
        <w:trPr>
          <w:trHeight w:val="216"/>
        </w:trPr>
        <w:tc>
          <w:tcPr>
            <w:tcW w:w="4580" w:type="dxa"/>
            <w:vAlign w:val="bottom"/>
          </w:tcPr>
          <w:p>
            <w:pPr>
              <w:ind w:left="360"/>
              <w:spacing w:after="0"/>
              <w:rPr>
                <w:sz w:val="20"/>
                <w:szCs w:val="20"/>
                <w:color w:val="auto"/>
              </w:rPr>
            </w:pPr>
            <w:r>
              <w:rPr>
                <w:rFonts w:ascii="Arial" w:cs="Arial" w:eastAsia="Arial" w:hAnsi="Arial"/>
                <w:sz w:val="16"/>
                <w:szCs w:val="16"/>
                <w:color w:val="auto"/>
              </w:rPr>
              <w:t>Average production prices</w:t>
            </w:r>
          </w:p>
        </w:tc>
        <w:tc>
          <w:tcPr>
            <w:tcW w:w="1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4580" w:type="dxa"/>
            <w:vAlign w:val="bottom"/>
          </w:tcPr>
          <w:p>
            <w:pPr>
              <w:ind w:left="560"/>
              <w:spacing w:after="0"/>
              <w:rPr>
                <w:sz w:val="20"/>
                <w:szCs w:val="20"/>
                <w:color w:val="auto"/>
              </w:rPr>
            </w:pPr>
            <w:r>
              <w:rPr>
                <w:rFonts w:ascii="Arial" w:cs="Arial" w:eastAsia="Arial" w:hAnsi="Arial"/>
                <w:sz w:val="16"/>
                <w:szCs w:val="16"/>
                <w:color w:val="auto"/>
              </w:rPr>
              <w:t>Crude oil, per barrel</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39.10</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38.95</w:t>
            </w:r>
          </w:p>
        </w:tc>
        <w:tc>
          <w:tcPr>
            <w:tcW w:w="12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35.18</w:t>
            </w: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35.97</w:t>
            </w:r>
          </w:p>
        </w:tc>
      </w:tr>
      <w:tr>
        <w:trPr>
          <w:trHeight w:val="216"/>
        </w:trPr>
        <w:tc>
          <w:tcPr>
            <w:tcW w:w="4580" w:type="dxa"/>
            <w:vAlign w:val="bottom"/>
          </w:tcPr>
          <w:p>
            <w:pPr>
              <w:ind w:left="560"/>
              <w:spacing w:after="0"/>
              <w:rPr>
                <w:sz w:val="20"/>
                <w:szCs w:val="20"/>
                <w:color w:val="auto"/>
              </w:rPr>
            </w:pPr>
            <w:r>
              <w:rPr>
                <w:rFonts w:ascii="Arial" w:cs="Arial" w:eastAsia="Arial" w:hAnsi="Arial"/>
                <w:sz w:val="16"/>
                <w:szCs w:val="16"/>
                <w:color w:val="auto"/>
              </w:rPr>
              <w:t>NGL, per barrel</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11.05</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30.02</w:t>
            </w: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29.58</w:t>
            </w:r>
          </w:p>
        </w:tc>
      </w:tr>
      <w:tr>
        <w:trPr>
          <w:trHeight w:val="216"/>
        </w:trPr>
        <w:tc>
          <w:tcPr>
            <w:tcW w:w="4580" w:type="dxa"/>
            <w:vAlign w:val="bottom"/>
          </w:tcPr>
          <w:p>
            <w:pPr>
              <w:ind w:left="560"/>
              <w:spacing w:after="0"/>
              <w:rPr>
                <w:sz w:val="20"/>
                <w:szCs w:val="20"/>
                <w:color w:val="auto"/>
              </w:rPr>
            </w:pPr>
            <w:r>
              <w:rPr>
                <w:rFonts w:ascii="Arial" w:cs="Arial" w:eastAsia="Arial" w:hAnsi="Arial"/>
                <w:sz w:val="16"/>
                <w:szCs w:val="16"/>
                <w:color w:val="auto"/>
              </w:rPr>
              <w:t>Natural gas, per thousand cubic feet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1.19</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3.85</w:t>
            </w:r>
          </w:p>
        </w:tc>
        <w:tc>
          <w:tcPr>
            <w:tcW w:w="12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3.14</w:t>
            </w: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3.20</w:t>
            </w:r>
          </w:p>
        </w:tc>
      </w:tr>
      <w:tr>
        <w:trPr>
          <w:trHeight w:val="216"/>
        </w:trPr>
        <w:tc>
          <w:tcPr>
            <w:tcW w:w="4580" w:type="dxa"/>
            <w:vAlign w:val="bottom"/>
          </w:tcPr>
          <w:p>
            <w:pPr>
              <w:ind w:left="360"/>
              <w:spacing w:after="0"/>
              <w:rPr>
                <w:sz w:val="20"/>
                <w:szCs w:val="20"/>
                <w:color w:val="auto"/>
              </w:rPr>
            </w:pPr>
            <w:r>
              <w:rPr>
                <w:rFonts w:ascii="Arial" w:cs="Arial" w:eastAsia="Arial" w:hAnsi="Arial"/>
                <w:sz w:val="16"/>
                <w:szCs w:val="16"/>
                <w:color w:val="auto"/>
              </w:rPr>
              <w:t>Average production costs, per oil-equivalent barrel - total</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25.13</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30.74</w:t>
            </w:r>
          </w:p>
        </w:tc>
        <w:tc>
          <w:tcPr>
            <w:tcW w:w="12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1.63</w:t>
            </w: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5.34</w:t>
            </w:r>
          </w:p>
        </w:tc>
      </w:tr>
      <w:tr>
        <w:trPr>
          <w:trHeight w:val="270"/>
        </w:trPr>
        <w:tc>
          <w:tcPr>
            <w:tcW w:w="4580" w:type="dxa"/>
            <w:vAlign w:val="bottom"/>
          </w:tcPr>
          <w:p>
            <w:pPr>
              <w:ind w:left="140"/>
              <w:spacing w:after="0"/>
              <w:rPr>
                <w:sz w:val="20"/>
                <w:szCs w:val="20"/>
                <w:color w:val="auto"/>
              </w:rPr>
            </w:pPr>
            <w:r>
              <w:rPr>
                <w:rFonts w:ascii="Arial" w:cs="Arial" w:eastAsia="Arial" w:hAnsi="Arial"/>
                <w:sz w:val="16"/>
                <w:szCs w:val="16"/>
                <w:b w:val="1"/>
                <w:bCs w:val="1"/>
                <w:color w:val="auto"/>
              </w:rPr>
              <w:t>Total</w:t>
            </w:r>
          </w:p>
        </w:tc>
        <w:tc>
          <w:tcPr>
            <w:tcW w:w="1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720" w:type="dxa"/>
            <w:vAlign w:val="bottom"/>
          </w:tcPr>
          <w:p>
            <w:pPr>
              <w:spacing w:after="0"/>
              <w:rPr>
                <w:sz w:val="23"/>
                <w:szCs w:val="23"/>
                <w:color w:val="auto"/>
              </w:rPr>
            </w:pPr>
          </w:p>
        </w:tc>
      </w:tr>
      <w:tr>
        <w:trPr>
          <w:trHeight w:val="216"/>
        </w:trPr>
        <w:tc>
          <w:tcPr>
            <w:tcW w:w="4580" w:type="dxa"/>
            <w:vAlign w:val="bottom"/>
          </w:tcPr>
          <w:p>
            <w:pPr>
              <w:ind w:left="360"/>
              <w:spacing w:after="0"/>
              <w:rPr>
                <w:sz w:val="20"/>
                <w:szCs w:val="20"/>
                <w:color w:val="auto"/>
              </w:rPr>
            </w:pPr>
            <w:r>
              <w:rPr>
                <w:rFonts w:ascii="Arial" w:cs="Arial" w:eastAsia="Arial" w:hAnsi="Arial"/>
                <w:sz w:val="16"/>
                <w:szCs w:val="16"/>
                <w:color w:val="auto"/>
              </w:rPr>
              <w:t>Average production prices</w:t>
            </w:r>
          </w:p>
        </w:tc>
        <w:tc>
          <w:tcPr>
            <w:tcW w:w="1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4580" w:type="dxa"/>
            <w:vAlign w:val="bottom"/>
          </w:tcPr>
          <w:p>
            <w:pPr>
              <w:ind w:left="560"/>
              <w:spacing w:after="0"/>
              <w:rPr>
                <w:sz w:val="20"/>
                <w:szCs w:val="20"/>
                <w:color w:val="auto"/>
              </w:rPr>
            </w:pPr>
            <w:r>
              <w:rPr>
                <w:rFonts w:ascii="Arial" w:cs="Arial" w:eastAsia="Arial" w:hAnsi="Arial"/>
                <w:sz w:val="16"/>
                <w:szCs w:val="16"/>
                <w:color w:val="auto"/>
              </w:rPr>
              <w:t>Crude oil, per barrel</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35.35</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37.26</w:t>
            </w:r>
          </w:p>
        </w:tc>
        <w:tc>
          <w:tcPr>
            <w:tcW w:w="780" w:type="dxa"/>
            <w:vAlign w:val="bottom"/>
          </w:tcPr>
          <w:p>
            <w:pPr>
              <w:jc w:val="right"/>
              <w:spacing w:after="0"/>
              <w:rPr>
                <w:sz w:val="20"/>
                <w:szCs w:val="20"/>
                <w:color w:val="auto"/>
              </w:rPr>
            </w:pPr>
            <w:r>
              <w:rPr>
                <w:rFonts w:ascii="Arial" w:cs="Arial" w:eastAsia="Arial" w:hAnsi="Arial"/>
                <w:sz w:val="16"/>
                <w:szCs w:val="16"/>
                <w:color w:val="auto"/>
              </w:rPr>
              <w:t>41.11</w:t>
            </w:r>
          </w:p>
        </w:tc>
        <w:tc>
          <w:tcPr>
            <w:tcW w:w="1200" w:type="dxa"/>
            <w:vAlign w:val="bottom"/>
          </w:tcPr>
          <w:p>
            <w:pPr>
              <w:jc w:val="right"/>
              <w:ind w:right="219"/>
              <w:spacing w:after="0"/>
              <w:rPr>
                <w:sz w:val="20"/>
                <w:szCs w:val="20"/>
                <w:color w:val="auto"/>
              </w:rPr>
            </w:pPr>
            <w:r>
              <w:rPr>
                <w:rFonts w:ascii="Arial" w:cs="Arial" w:eastAsia="Arial" w:hAnsi="Arial"/>
                <w:sz w:val="16"/>
                <w:szCs w:val="16"/>
                <w:color w:val="auto"/>
              </w:rPr>
              <w:t>42.27</w:t>
            </w: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38.07</w:t>
            </w: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36.67</w:t>
            </w:r>
          </w:p>
        </w:tc>
        <w:tc>
          <w:tcPr>
            <w:tcW w:w="720" w:type="dxa"/>
            <w:vAlign w:val="bottom"/>
          </w:tcPr>
          <w:p>
            <w:pPr>
              <w:jc w:val="right"/>
              <w:spacing w:after="0"/>
              <w:rPr>
                <w:sz w:val="20"/>
                <w:szCs w:val="20"/>
                <w:color w:val="auto"/>
              </w:rPr>
            </w:pPr>
            <w:r>
              <w:rPr>
                <w:rFonts w:ascii="Arial" w:cs="Arial" w:eastAsia="Arial" w:hAnsi="Arial"/>
                <w:sz w:val="16"/>
                <w:szCs w:val="16"/>
                <w:color w:val="auto"/>
              </w:rPr>
              <w:t>37.95</w:t>
            </w:r>
          </w:p>
        </w:tc>
      </w:tr>
      <w:tr>
        <w:trPr>
          <w:trHeight w:val="216"/>
        </w:trPr>
        <w:tc>
          <w:tcPr>
            <w:tcW w:w="4580" w:type="dxa"/>
            <w:vAlign w:val="bottom"/>
          </w:tcPr>
          <w:p>
            <w:pPr>
              <w:ind w:left="560"/>
              <w:spacing w:after="0"/>
              <w:rPr>
                <w:sz w:val="20"/>
                <w:szCs w:val="20"/>
                <w:color w:val="auto"/>
              </w:rPr>
            </w:pPr>
            <w:r>
              <w:rPr>
                <w:rFonts w:ascii="Arial" w:cs="Arial" w:eastAsia="Arial" w:hAnsi="Arial"/>
                <w:sz w:val="16"/>
                <w:szCs w:val="16"/>
                <w:color w:val="auto"/>
              </w:rPr>
              <w:t>NGL, per barrel</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13.80</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10.34</w:t>
            </w:r>
          </w:p>
        </w:tc>
        <w:tc>
          <w:tcPr>
            <w:tcW w:w="780" w:type="dxa"/>
            <w:vAlign w:val="bottom"/>
          </w:tcPr>
          <w:p>
            <w:pPr>
              <w:jc w:val="right"/>
              <w:spacing w:after="0"/>
              <w:rPr>
                <w:sz w:val="20"/>
                <w:szCs w:val="20"/>
                <w:color w:val="auto"/>
              </w:rPr>
            </w:pPr>
            <w:r>
              <w:rPr>
                <w:rFonts w:ascii="Arial" w:cs="Arial" w:eastAsia="Arial" w:hAnsi="Arial"/>
                <w:sz w:val="16"/>
                <w:szCs w:val="16"/>
                <w:color w:val="auto"/>
              </w:rPr>
              <w:t>20.11</w:t>
            </w:r>
          </w:p>
        </w:tc>
        <w:tc>
          <w:tcPr>
            <w:tcW w:w="1200" w:type="dxa"/>
            <w:vAlign w:val="bottom"/>
          </w:tcPr>
          <w:p>
            <w:pPr>
              <w:jc w:val="right"/>
              <w:ind w:right="219"/>
              <w:spacing w:after="0"/>
              <w:rPr>
                <w:sz w:val="20"/>
                <w:szCs w:val="20"/>
                <w:color w:val="auto"/>
              </w:rPr>
            </w:pPr>
            <w:r>
              <w:rPr>
                <w:rFonts w:ascii="Arial" w:cs="Arial" w:eastAsia="Arial" w:hAnsi="Arial"/>
                <w:sz w:val="16"/>
                <w:szCs w:val="16"/>
                <w:color w:val="auto"/>
              </w:rPr>
              <w:t>21.32</w:t>
            </w: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27.65</w:t>
            </w: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27.92</w:t>
            </w:r>
          </w:p>
        </w:tc>
        <w:tc>
          <w:tcPr>
            <w:tcW w:w="720" w:type="dxa"/>
            <w:vAlign w:val="bottom"/>
          </w:tcPr>
          <w:p>
            <w:pPr>
              <w:jc w:val="right"/>
              <w:spacing w:after="0"/>
              <w:rPr>
                <w:sz w:val="20"/>
                <w:szCs w:val="20"/>
                <w:color w:val="auto"/>
              </w:rPr>
            </w:pPr>
            <w:r>
              <w:rPr>
                <w:rFonts w:ascii="Arial" w:cs="Arial" w:eastAsia="Arial" w:hAnsi="Arial"/>
                <w:sz w:val="16"/>
                <w:szCs w:val="16"/>
                <w:color w:val="auto"/>
              </w:rPr>
              <w:t>19.16</w:t>
            </w:r>
          </w:p>
        </w:tc>
      </w:tr>
      <w:tr>
        <w:trPr>
          <w:trHeight w:val="216"/>
        </w:trPr>
        <w:tc>
          <w:tcPr>
            <w:tcW w:w="4580" w:type="dxa"/>
            <w:vAlign w:val="bottom"/>
          </w:tcPr>
          <w:p>
            <w:pPr>
              <w:ind w:left="560"/>
              <w:spacing w:after="0"/>
              <w:rPr>
                <w:sz w:val="20"/>
                <w:szCs w:val="20"/>
                <w:color w:val="auto"/>
              </w:rPr>
            </w:pPr>
            <w:r>
              <w:rPr>
                <w:rFonts w:ascii="Arial" w:cs="Arial" w:eastAsia="Arial" w:hAnsi="Arial"/>
                <w:sz w:val="16"/>
                <w:szCs w:val="16"/>
                <w:color w:val="auto"/>
              </w:rPr>
              <w:t>Natural gas, per thousand cubic feet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0.98</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1.56</w:t>
            </w:r>
          </w:p>
        </w:tc>
        <w:tc>
          <w:tcPr>
            <w:tcW w:w="780" w:type="dxa"/>
            <w:vAlign w:val="bottom"/>
          </w:tcPr>
          <w:p>
            <w:pPr>
              <w:jc w:val="right"/>
              <w:spacing w:after="0"/>
              <w:rPr>
                <w:sz w:val="20"/>
                <w:szCs w:val="20"/>
                <w:color w:val="auto"/>
              </w:rPr>
            </w:pPr>
            <w:r>
              <w:rPr>
                <w:rFonts w:ascii="Arial" w:cs="Arial" w:eastAsia="Arial" w:hAnsi="Arial"/>
                <w:sz w:val="16"/>
                <w:szCs w:val="16"/>
                <w:color w:val="auto"/>
              </w:rPr>
              <w:t>3.44</w:t>
            </w:r>
          </w:p>
        </w:tc>
        <w:tc>
          <w:tcPr>
            <w:tcW w:w="1200" w:type="dxa"/>
            <w:vAlign w:val="bottom"/>
          </w:tcPr>
          <w:p>
            <w:pPr>
              <w:jc w:val="right"/>
              <w:ind w:right="219"/>
              <w:spacing w:after="0"/>
              <w:rPr>
                <w:sz w:val="20"/>
                <w:szCs w:val="20"/>
                <w:color w:val="auto"/>
              </w:rPr>
            </w:pPr>
            <w:r>
              <w:rPr>
                <w:rFonts w:ascii="Arial" w:cs="Arial" w:eastAsia="Arial" w:hAnsi="Arial"/>
                <w:sz w:val="16"/>
                <w:szCs w:val="16"/>
                <w:color w:val="auto"/>
              </w:rPr>
              <w:t>1.24</w:t>
            </w: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2.72</w:t>
            </w: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4.34</w:t>
            </w:r>
          </w:p>
        </w:tc>
        <w:tc>
          <w:tcPr>
            <w:tcW w:w="720" w:type="dxa"/>
            <w:vAlign w:val="bottom"/>
          </w:tcPr>
          <w:p>
            <w:pPr>
              <w:jc w:val="right"/>
              <w:spacing w:after="0"/>
              <w:rPr>
                <w:sz w:val="20"/>
                <w:szCs w:val="20"/>
                <w:color w:val="auto"/>
              </w:rPr>
            </w:pPr>
            <w:r>
              <w:rPr>
                <w:rFonts w:ascii="Arial" w:cs="Arial" w:eastAsia="Arial" w:hAnsi="Arial"/>
                <w:sz w:val="16"/>
                <w:szCs w:val="16"/>
                <w:color w:val="auto"/>
              </w:rPr>
              <w:t>2.43</w:t>
            </w:r>
          </w:p>
        </w:tc>
      </w:tr>
      <w:tr>
        <w:trPr>
          <w:trHeight w:val="216"/>
        </w:trPr>
        <w:tc>
          <w:tcPr>
            <w:tcW w:w="4580" w:type="dxa"/>
            <w:vAlign w:val="bottom"/>
          </w:tcPr>
          <w:p>
            <w:pPr>
              <w:ind w:left="560"/>
              <w:spacing w:after="0"/>
              <w:rPr>
                <w:sz w:val="20"/>
                <w:szCs w:val="20"/>
                <w:color w:val="auto"/>
              </w:rPr>
            </w:pPr>
            <w:r>
              <w:rPr>
                <w:rFonts w:ascii="Arial" w:cs="Arial" w:eastAsia="Arial" w:hAnsi="Arial"/>
                <w:sz w:val="16"/>
                <w:szCs w:val="16"/>
                <w:color w:val="auto"/>
              </w:rPr>
              <w:t>Bitumen, per barrel</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17.71</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17.71</w:t>
            </w:r>
          </w:p>
        </w:tc>
      </w:tr>
      <w:tr>
        <w:trPr>
          <w:trHeight w:val="216"/>
        </w:trPr>
        <w:tc>
          <w:tcPr>
            <w:tcW w:w="4580" w:type="dxa"/>
            <w:vAlign w:val="bottom"/>
          </w:tcPr>
          <w:p>
            <w:pPr>
              <w:ind w:left="560"/>
              <w:spacing w:after="0"/>
              <w:rPr>
                <w:sz w:val="20"/>
                <w:szCs w:val="20"/>
                <w:color w:val="auto"/>
              </w:rPr>
            </w:pPr>
            <w:r>
              <w:rPr>
                <w:rFonts w:ascii="Arial" w:cs="Arial" w:eastAsia="Arial" w:hAnsi="Arial"/>
                <w:sz w:val="16"/>
                <w:szCs w:val="16"/>
                <w:color w:val="auto"/>
              </w:rPr>
              <w:t>Synthetic oil, per barrel</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37.32</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37.32</w:t>
            </w:r>
          </w:p>
        </w:tc>
      </w:tr>
      <w:tr>
        <w:trPr>
          <w:trHeight w:val="216"/>
        </w:trPr>
        <w:tc>
          <w:tcPr>
            <w:tcW w:w="4580" w:type="dxa"/>
            <w:vAlign w:val="bottom"/>
          </w:tcPr>
          <w:p>
            <w:pPr>
              <w:ind w:left="360"/>
              <w:spacing w:after="0"/>
              <w:rPr>
                <w:sz w:val="20"/>
                <w:szCs w:val="20"/>
                <w:color w:val="auto"/>
              </w:rPr>
            </w:pPr>
            <w:r>
              <w:rPr>
                <w:rFonts w:ascii="Arial" w:cs="Arial" w:eastAsia="Arial" w:hAnsi="Arial"/>
                <w:sz w:val="16"/>
                <w:szCs w:val="16"/>
                <w:color w:val="auto"/>
              </w:rPr>
              <w:t>Average production costs, per oil-equivalent barrel - total</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10.55</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18.40</w:t>
            </w:r>
          </w:p>
        </w:tc>
        <w:tc>
          <w:tcPr>
            <w:tcW w:w="780" w:type="dxa"/>
            <w:vAlign w:val="bottom"/>
          </w:tcPr>
          <w:p>
            <w:pPr>
              <w:jc w:val="right"/>
              <w:spacing w:after="0"/>
              <w:rPr>
                <w:sz w:val="20"/>
                <w:szCs w:val="20"/>
                <w:color w:val="auto"/>
              </w:rPr>
            </w:pPr>
            <w:r>
              <w:rPr>
                <w:rFonts w:ascii="Arial" w:cs="Arial" w:eastAsia="Arial" w:hAnsi="Arial"/>
                <w:sz w:val="16"/>
                <w:szCs w:val="16"/>
                <w:color w:val="auto"/>
              </w:rPr>
              <w:t>24.76</w:t>
            </w:r>
          </w:p>
        </w:tc>
        <w:tc>
          <w:tcPr>
            <w:tcW w:w="1200" w:type="dxa"/>
            <w:vAlign w:val="bottom"/>
          </w:tcPr>
          <w:p>
            <w:pPr>
              <w:jc w:val="right"/>
              <w:ind w:right="219"/>
              <w:spacing w:after="0"/>
              <w:rPr>
                <w:sz w:val="20"/>
                <w:szCs w:val="20"/>
                <w:color w:val="auto"/>
              </w:rPr>
            </w:pPr>
            <w:r>
              <w:rPr>
                <w:rFonts w:ascii="Arial" w:cs="Arial" w:eastAsia="Arial" w:hAnsi="Arial"/>
                <w:sz w:val="16"/>
                <w:szCs w:val="16"/>
                <w:color w:val="auto"/>
              </w:rPr>
              <w:t>16.73</w:t>
            </w: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3.91</w:t>
            </w: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5.35</w:t>
            </w:r>
          </w:p>
        </w:tc>
        <w:tc>
          <w:tcPr>
            <w:tcW w:w="720" w:type="dxa"/>
            <w:vAlign w:val="bottom"/>
          </w:tcPr>
          <w:p>
            <w:pPr>
              <w:jc w:val="right"/>
              <w:spacing w:after="0"/>
              <w:rPr>
                <w:sz w:val="20"/>
                <w:szCs w:val="20"/>
                <w:color w:val="auto"/>
              </w:rPr>
            </w:pPr>
            <w:r>
              <w:rPr>
                <w:rFonts w:ascii="Arial" w:cs="Arial" w:eastAsia="Arial" w:hAnsi="Arial"/>
                <w:sz w:val="16"/>
                <w:szCs w:val="16"/>
                <w:color w:val="auto"/>
              </w:rPr>
              <w:t>10.21</w:t>
            </w:r>
          </w:p>
        </w:tc>
      </w:tr>
      <w:tr>
        <w:trPr>
          <w:trHeight w:val="216"/>
        </w:trPr>
        <w:tc>
          <w:tcPr>
            <w:tcW w:w="4580" w:type="dxa"/>
            <w:vAlign w:val="bottom"/>
          </w:tcPr>
          <w:p>
            <w:pPr>
              <w:ind w:left="360"/>
              <w:spacing w:after="0"/>
              <w:rPr>
                <w:sz w:val="20"/>
                <w:szCs w:val="20"/>
                <w:color w:val="auto"/>
              </w:rPr>
            </w:pPr>
            <w:r>
              <w:rPr>
                <w:rFonts w:ascii="Arial" w:cs="Arial" w:eastAsia="Arial" w:hAnsi="Arial"/>
                <w:sz w:val="16"/>
                <w:szCs w:val="16"/>
                <w:color w:val="auto"/>
              </w:rPr>
              <w:t>Average production costs, per barrel - bitumen</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19.22</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19.22</w:t>
            </w:r>
          </w:p>
        </w:tc>
      </w:tr>
      <w:tr>
        <w:trPr>
          <w:trHeight w:val="216"/>
        </w:trPr>
        <w:tc>
          <w:tcPr>
            <w:tcW w:w="4580" w:type="dxa"/>
            <w:vAlign w:val="bottom"/>
          </w:tcPr>
          <w:p>
            <w:pPr>
              <w:ind w:left="360"/>
              <w:spacing w:after="0"/>
              <w:rPr>
                <w:sz w:val="20"/>
                <w:szCs w:val="20"/>
                <w:color w:val="auto"/>
              </w:rPr>
            </w:pPr>
            <w:r>
              <w:rPr>
                <w:rFonts w:ascii="Arial" w:cs="Arial" w:eastAsia="Arial" w:hAnsi="Arial"/>
                <w:sz w:val="16"/>
                <w:szCs w:val="16"/>
                <w:color w:val="auto"/>
              </w:rPr>
              <w:t>Average production costs, per barrel - synthetic oil</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33.61</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33.61</w:t>
            </w:r>
          </w:p>
        </w:tc>
      </w:tr>
    </w:tbl>
    <w:p>
      <w:pPr>
        <w:spacing w:after="0" w:line="200" w:lineRule="exact"/>
        <w:rPr>
          <w:sz w:val="20"/>
          <w:szCs w:val="20"/>
          <w:color w:val="auto"/>
        </w:rPr>
      </w:pPr>
    </w:p>
    <w:p>
      <w:pPr>
        <w:sectPr>
          <w:pgSz w:w="11900" w:h="16838" w:orient="portrait"/>
          <w:cols w:equalWidth="0" w:num="1">
            <w:col w:w="11240"/>
          </w:cols>
          <w:pgMar w:left="320" w:top="1026" w:right="339" w:bottom="1440" w:gutter="0" w:footer="0" w:header="0"/>
        </w:sect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type w:val="continuous"/>
        </w:sectPr>
      </w:pPr>
    </w:p>
    <w:bookmarkStart w:id="13" w:name="page14"/>
    <w:bookmarkEnd w:id="13"/>
    <w:tbl>
      <w:tblPr>
        <w:tblLayout w:type="fixed"/>
        <w:tblInd w:w="0" w:type="dxa"/>
        <w:tblCellMar>
          <w:top w:w="0" w:type="dxa"/>
          <w:left w:w="0" w:type="dxa"/>
          <w:bottom w:w="0" w:type="dxa"/>
          <w:right w:w="0" w:type="dxa"/>
        </w:tblCellMar>
      </w:tblPr>
      <w:tr>
        <w:trPr>
          <w:trHeight w:val="184"/>
        </w:trPr>
        <w:tc>
          <w:tcPr>
            <w:tcW w:w="4660" w:type="dxa"/>
            <w:vAlign w:val="bottom"/>
          </w:tcPr>
          <w:p>
            <w:pPr>
              <w:spacing w:after="0"/>
              <w:rPr>
                <w:sz w:val="16"/>
                <w:szCs w:val="16"/>
                <w:color w:val="auto"/>
              </w:rPr>
            </w:pPr>
          </w:p>
        </w:tc>
        <w:tc>
          <w:tcPr>
            <w:tcW w:w="1160" w:type="dxa"/>
            <w:vAlign w:val="bottom"/>
            <w:vMerge w:val="restart"/>
          </w:tcPr>
          <w:p>
            <w:pPr>
              <w:jc w:val="right"/>
              <w:ind w:right="139"/>
              <w:spacing w:after="0"/>
              <w:rPr>
                <w:sz w:val="20"/>
                <w:szCs w:val="20"/>
                <w:color w:val="auto"/>
              </w:rPr>
            </w:pPr>
            <w:r>
              <w:rPr>
                <w:rFonts w:ascii="Arial" w:cs="Arial" w:eastAsia="Arial" w:hAnsi="Arial"/>
                <w:sz w:val="16"/>
                <w:szCs w:val="16"/>
                <w:b w:val="1"/>
                <w:bCs w:val="1"/>
                <w:color w:val="auto"/>
              </w:rPr>
              <w:t>United</w:t>
            </w: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w w:val="96"/>
              </w:rPr>
              <w:t>Canada/</w:t>
            </w:r>
          </w:p>
        </w:tc>
        <w:tc>
          <w:tcPr>
            <w:tcW w:w="9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40" w:type="dxa"/>
            <w:vAlign w:val="bottom"/>
            <w:vMerge w:val="restart"/>
          </w:tcPr>
          <w:p>
            <w:pPr>
              <w:jc w:val="right"/>
              <w:ind w:right="139"/>
              <w:spacing w:after="0"/>
              <w:rPr>
                <w:sz w:val="20"/>
                <w:szCs w:val="20"/>
                <w:color w:val="auto"/>
              </w:rPr>
            </w:pPr>
            <w:r>
              <w:rPr>
                <w:rFonts w:ascii="Arial" w:cs="Arial" w:eastAsia="Arial" w:hAnsi="Arial"/>
                <w:sz w:val="16"/>
                <w:szCs w:val="16"/>
                <w:b w:val="1"/>
                <w:bCs w:val="1"/>
                <w:color w:val="auto"/>
              </w:rPr>
              <w:t>Australia/</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66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9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3"/>
              </w:rPr>
              <w:t>Other</w:t>
            </w:r>
          </w:p>
        </w:tc>
        <w:tc>
          <w:tcPr>
            <w:tcW w:w="94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rPr>
              <w:t>Europe</w:t>
            </w:r>
          </w:p>
        </w:tc>
        <w:tc>
          <w:tcPr>
            <w:tcW w:w="1020" w:type="dxa"/>
            <w:vAlign w:val="bottom"/>
            <w:vMerge w:val="restart"/>
          </w:tcPr>
          <w:p>
            <w:pPr>
              <w:jc w:val="right"/>
              <w:ind w:right="319"/>
              <w:spacing w:after="0"/>
              <w:rPr>
                <w:sz w:val="20"/>
                <w:szCs w:val="20"/>
                <w:color w:val="auto"/>
              </w:rPr>
            </w:pPr>
            <w:r>
              <w:rPr>
                <w:rFonts w:ascii="Arial" w:cs="Arial" w:eastAsia="Arial" w:hAnsi="Arial"/>
                <w:sz w:val="16"/>
                <w:szCs w:val="16"/>
                <w:b w:val="1"/>
                <w:bCs w:val="1"/>
                <w:color w:val="auto"/>
              </w:rPr>
              <w:t>Africa</w:t>
            </w:r>
          </w:p>
        </w:tc>
        <w:tc>
          <w:tcPr>
            <w:tcW w:w="72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Asia</w:t>
            </w:r>
          </w:p>
        </w:tc>
        <w:tc>
          <w:tcPr>
            <w:tcW w:w="1040" w:type="dxa"/>
            <w:vAlign w:val="bottom"/>
            <w:vMerge w:val="continue"/>
          </w:tcPr>
          <w:p>
            <w:pPr>
              <w:spacing w:after="0"/>
              <w:rPr>
                <w:sz w:val="14"/>
                <w:szCs w:val="14"/>
                <w:color w:val="auto"/>
              </w:rPr>
            </w:pPr>
          </w:p>
        </w:tc>
        <w:tc>
          <w:tcPr>
            <w:tcW w:w="72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46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States</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Americas</w:t>
            </w:r>
          </w:p>
        </w:tc>
        <w:tc>
          <w:tcPr>
            <w:tcW w:w="94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0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Oceania</w:t>
            </w:r>
          </w:p>
        </w:tc>
        <w:tc>
          <w:tcPr>
            <w:tcW w:w="7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660" w:type="dxa"/>
            <w:vAlign w:val="bottom"/>
          </w:tcPr>
          <w:p>
            <w:pPr>
              <w:ind w:left="20"/>
              <w:spacing w:after="0"/>
              <w:rPr>
                <w:sz w:val="20"/>
                <w:szCs w:val="20"/>
                <w:color w:val="auto"/>
              </w:rPr>
            </w:pPr>
            <w:r>
              <w:rPr>
                <w:rFonts w:ascii="Arial" w:cs="Arial" w:eastAsia="Arial" w:hAnsi="Arial"/>
                <w:sz w:val="16"/>
                <w:szCs w:val="16"/>
                <w:b w:val="1"/>
                <w:bCs w:val="1"/>
                <w:color w:val="auto"/>
              </w:rPr>
              <w:t>During 2019</w:t>
            </w:r>
          </w:p>
        </w:tc>
        <w:tc>
          <w:tcPr>
            <w:tcW w:w="1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960" w:type="dxa"/>
            <w:vAlign w:val="bottom"/>
            <w:gridSpan w:val="2"/>
          </w:tcPr>
          <w:p>
            <w:pPr>
              <w:jc w:val="right"/>
              <w:spacing w:after="0"/>
              <w:rPr>
                <w:sz w:val="20"/>
                <w:szCs w:val="20"/>
                <w:color w:val="auto"/>
              </w:rPr>
            </w:pPr>
            <w:r>
              <w:rPr>
                <w:rFonts w:ascii="Arial" w:cs="Arial" w:eastAsia="Arial" w:hAnsi="Arial"/>
                <w:sz w:val="16"/>
                <w:szCs w:val="16"/>
                <w:i w:val="1"/>
                <w:iCs w:val="1"/>
                <w:color w:val="auto"/>
              </w:rPr>
              <w:t>(dollars per unit)</w:t>
            </w:r>
          </w:p>
        </w:tc>
        <w:tc>
          <w:tcPr>
            <w:tcW w:w="7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220"/>
              <w:spacing w:after="0"/>
              <w:rPr>
                <w:sz w:val="20"/>
                <w:szCs w:val="20"/>
                <w:color w:val="auto"/>
              </w:rPr>
            </w:pPr>
            <w:r>
              <w:rPr>
                <w:rFonts w:ascii="Arial" w:cs="Arial" w:eastAsia="Arial" w:hAnsi="Arial"/>
                <w:sz w:val="16"/>
                <w:szCs w:val="16"/>
                <w:b w:val="1"/>
                <w:bCs w:val="1"/>
                <w:color w:val="auto"/>
              </w:rPr>
              <w:t>Consolidated Subsidiaries</w:t>
            </w: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480"/>
              <w:spacing w:after="0"/>
              <w:rPr>
                <w:sz w:val="20"/>
                <w:szCs w:val="20"/>
                <w:color w:val="auto"/>
              </w:rPr>
            </w:pPr>
            <w:r>
              <w:rPr>
                <w:rFonts w:ascii="Arial" w:cs="Arial" w:eastAsia="Arial" w:hAnsi="Arial"/>
                <w:sz w:val="16"/>
                <w:szCs w:val="16"/>
                <w:color w:val="auto"/>
              </w:rPr>
              <w:t>Average production prices</w:t>
            </w: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680"/>
              <w:spacing w:after="0"/>
              <w:rPr>
                <w:sz w:val="20"/>
                <w:szCs w:val="20"/>
                <w:color w:val="auto"/>
              </w:rPr>
            </w:pPr>
            <w:r>
              <w:rPr>
                <w:rFonts w:ascii="Arial" w:cs="Arial" w:eastAsia="Arial" w:hAnsi="Arial"/>
                <w:sz w:val="16"/>
                <w:szCs w:val="16"/>
                <w:color w:val="auto"/>
              </w:rPr>
              <w:t>Crude oil, per barrel</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54.41</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59.39</w:t>
            </w: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63.59</w:t>
            </w:r>
          </w:p>
        </w:tc>
        <w:tc>
          <w:tcPr>
            <w:tcW w:w="1020" w:type="dxa"/>
            <w:vAlign w:val="bottom"/>
          </w:tcPr>
          <w:p>
            <w:pPr>
              <w:jc w:val="right"/>
              <w:ind w:right="199"/>
              <w:spacing w:after="0"/>
              <w:rPr>
                <w:sz w:val="20"/>
                <w:szCs w:val="20"/>
                <w:color w:val="auto"/>
              </w:rPr>
            </w:pPr>
            <w:r>
              <w:rPr>
                <w:rFonts w:ascii="Arial" w:cs="Arial" w:eastAsia="Arial" w:hAnsi="Arial"/>
                <w:sz w:val="16"/>
                <w:szCs w:val="16"/>
                <w:color w:val="auto"/>
              </w:rPr>
              <w:t>65.64</w:t>
            </w: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64.14</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61.08</w:t>
            </w:r>
          </w:p>
        </w:tc>
        <w:tc>
          <w:tcPr>
            <w:tcW w:w="720" w:type="dxa"/>
            <w:vAlign w:val="bottom"/>
          </w:tcPr>
          <w:p>
            <w:pPr>
              <w:jc w:val="right"/>
              <w:spacing w:after="0"/>
              <w:rPr>
                <w:sz w:val="20"/>
                <w:szCs w:val="20"/>
                <w:color w:val="auto"/>
              </w:rPr>
            </w:pPr>
            <w:r>
              <w:rPr>
                <w:rFonts w:ascii="Arial" w:cs="Arial" w:eastAsia="Arial" w:hAnsi="Arial"/>
                <w:sz w:val="16"/>
                <w:szCs w:val="16"/>
                <w:color w:val="auto"/>
              </w:rPr>
              <w:t>61.04</w:t>
            </w:r>
          </w:p>
        </w:tc>
        <w:tc>
          <w:tcPr>
            <w:tcW w:w="0" w:type="dxa"/>
            <w:vAlign w:val="bottom"/>
          </w:tcPr>
          <w:p>
            <w:pPr>
              <w:spacing w:after="0"/>
              <w:rPr>
                <w:sz w:val="1"/>
                <w:szCs w:val="1"/>
                <w:color w:val="auto"/>
              </w:rPr>
            </w:pPr>
          </w:p>
        </w:tc>
      </w:tr>
      <w:tr>
        <w:trPr>
          <w:trHeight w:val="216"/>
        </w:trPr>
        <w:tc>
          <w:tcPr>
            <w:tcW w:w="4660" w:type="dxa"/>
            <w:vAlign w:val="bottom"/>
          </w:tcPr>
          <w:p>
            <w:pPr>
              <w:ind w:left="680"/>
              <w:spacing w:after="0"/>
              <w:rPr>
                <w:sz w:val="20"/>
                <w:szCs w:val="20"/>
                <w:color w:val="auto"/>
              </w:rPr>
            </w:pPr>
            <w:r>
              <w:rPr>
                <w:rFonts w:ascii="Arial" w:cs="Arial" w:eastAsia="Arial" w:hAnsi="Arial"/>
                <w:sz w:val="16"/>
                <w:szCs w:val="16"/>
                <w:color w:val="auto"/>
              </w:rPr>
              <w:t>NGL, per barrel</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18.94</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16.59</w:t>
            </w: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30.56</w:t>
            </w:r>
          </w:p>
        </w:tc>
        <w:tc>
          <w:tcPr>
            <w:tcW w:w="1020" w:type="dxa"/>
            <w:vAlign w:val="bottom"/>
          </w:tcPr>
          <w:p>
            <w:pPr>
              <w:jc w:val="right"/>
              <w:ind w:right="199"/>
              <w:spacing w:after="0"/>
              <w:rPr>
                <w:sz w:val="20"/>
                <w:szCs w:val="20"/>
                <w:color w:val="auto"/>
              </w:rPr>
            </w:pPr>
            <w:r>
              <w:rPr>
                <w:rFonts w:ascii="Arial" w:cs="Arial" w:eastAsia="Arial" w:hAnsi="Arial"/>
                <w:sz w:val="16"/>
                <w:szCs w:val="16"/>
                <w:color w:val="auto"/>
              </w:rPr>
              <w:t>41.41</w:t>
            </w: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24.64</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30.55</w:t>
            </w:r>
          </w:p>
        </w:tc>
        <w:tc>
          <w:tcPr>
            <w:tcW w:w="720" w:type="dxa"/>
            <w:vAlign w:val="bottom"/>
          </w:tcPr>
          <w:p>
            <w:pPr>
              <w:jc w:val="right"/>
              <w:spacing w:after="0"/>
              <w:rPr>
                <w:sz w:val="20"/>
                <w:szCs w:val="20"/>
                <w:color w:val="auto"/>
              </w:rPr>
            </w:pPr>
            <w:r>
              <w:rPr>
                <w:rFonts w:ascii="Arial" w:cs="Arial" w:eastAsia="Arial" w:hAnsi="Arial"/>
                <w:sz w:val="16"/>
                <w:szCs w:val="16"/>
                <w:color w:val="auto"/>
              </w:rPr>
              <w:t>22.85</w:t>
            </w:r>
          </w:p>
        </w:tc>
        <w:tc>
          <w:tcPr>
            <w:tcW w:w="0" w:type="dxa"/>
            <w:vAlign w:val="bottom"/>
          </w:tcPr>
          <w:p>
            <w:pPr>
              <w:spacing w:after="0"/>
              <w:rPr>
                <w:sz w:val="1"/>
                <w:szCs w:val="1"/>
                <w:color w:val="auto"/>
              </w:rPr>
            </w:pPr>
          </w:p>
        </w:tc>
      </w:tr>
      <w:tr>
        <w:trPr>
          <w:trHeight w:val="216"/>
        </w:trPr>
        <w:tc>
          <w:tcPr>
            <w:tcW w:w="4660" w:type="dxa"/>
            <w:vAlign w:val="bottom"/>
          </w:tcPr>
          <w:p>
            <w:pPr>
              <w:ind w:left="680"/>
              <w:spacing w:after="0"/>
              <w:rPr>
                <w:sz w:val="20"/>
                <w:szCs w:val="20"/>
                <w:color w:val="auto"/>
              </w:rPr>
            </w:pPr>
            <w:r>
              <w:rPr>
                <w:rFonts w:ascii="Arial" w:cs="Arial" w:eastAsia="Arial" w:hAnsi="Arial"/>
                <w:sz w:val="16"/>
                <w:szCs w:val="16"/>
                <w:color w:val="auto"/>
              </w:rPr>
              <w:t>Natural gas, per thousand cubic feet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1.54</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1.44</w:t>
            </w: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4.50</w:t>
            </w:r>
          </w:p>
        </w:tc>
        <w:tc>
          <w:tcPr>
            <w:tcW w:w="1020" w:type="dxa"/>
            <w:vAlign w:val="bottom"/>
          </w:tcPr>
          <w:p>
            <w:pPr>
              <w:jc w:val="right"/>
              <w:ind w:right="199"/>
              <w:spacing w:after="0"/>
              <w:rPr>
                <w:sz w:val="20"/>
                <w:szCs w:val="20"/>
                <w:color w:val="auto"/>
              </w:rPr>
            </w:pPr>
            <w:r>
              <w:rPr>
                <w:rFonts w:ascii="Arial" w:cs="Arial" w:eastAsia="Arial" w:hAnsi="Arial"/>
                <w:sz w:val="16"/>
                <w:szCs w:val="16"/>
                <w:color w:val="auto"/>
              </w:rPr>
              <w:t>1.49</w:t>
            </w: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2.07</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6.26</w:t>
            </w:r>
          </w:p>
        </w:tc>
        <w:tc>
          <w:tcPr>
            <w:tcW w:w="720" w:type="dxa"/>
            <w:vAlign w:val="bottom"/>
          </w:tcPr>
          <w:p>
            <w:pPr>
              <w:jc w:val="right"/>
              <w:spacing w:after="0"/>
              <w:rPr>
                <w:sz w:val="20"/>
                <w:szCs w:val="20"/>
                <w:color w:val="auto"/>
              </w:rPr>
            </w:pPr>
            <w:r>
              <w:rPr>
                <w:rFonts w:ascii="Arial" w:cs="Arial" w:eastAsia="Arial" w:hAnsi="Arial"/>
                <w:sz w:val="16"/>
                <w:szCs w:val="16"/>
                <w:color w:val="auto"/>
              </w:rPr>
              <w:t>3.05</w:t>
            </w:r>
          </w:p>
        </w:tc>
        <w:tc>
          <w:tcPr>
            <w:tcW w:w="0" w:type="dxa"/>
            <w:vAlign w:val="bottom"/>
          </w:tcPr>
          <w:p>
            <w:pPr>
              <w:spacing w:after="0"/>
              <w:rPr>
                <w:sz w:val="1"/>
                <w:szCs w:val="1"/>
                <w:color w:val="auto"/>
              </w:rPr>
            </w:pPr>
          </w:p>
        </w:tc>
      </w:tr>
      <w:tr>
        <w:trPr>
          <w:trHeight w:val="216"/>
        </w:trPr>
        <w:tc>
          <w:tcPr>
            <w:tcW w:w="4660" w:type="dxa"/>
            <w:vAlign w:val="bottom"/>
          </w:tcPr>
          <w:p>
            <w:pPr>
              <w:ind w:left="680"/>
              <w:spacing w:after="0"/>
              <w:rPr>
                <w:sz w:val="20"/>
                <w:szCs w:val="20"/>
                <w:color w:val="auto"/>
              </w:rPr>
            </w:pPr>
            <w:r>
              <w:rPr>
                <w:rFonts w:ascii="Arial" w:cs="Arial" w:eastAsia="Arial" w:hAnsi="Arial"/>
                <w:sz w:val="16"/>
                <w:szCs w:val="16"/>
                <w:color w:val="auto"/>
              </w:rPr>
              <w:t>Bitumen, per barrel</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36.25</w:t>
            </w: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36.25</w:t>
            </w:r>
          </w:p>
        </w:tc>
        <w:tc>
          <w:tcPr>
            <w:tcW w:w="0" w:type="dxa"/>
            <w:vAlign w:val="bottom"/>
          </w:tcPr>
          <w:p>
            <w:pPr>
              <w:spacing w:after="0"/>
              <w:rPr>
                <w:sz w:val="1"/>
                <w:szCs w:val="1"/>
                <w:color w:val="auto"/>
              </w:rPr>
            </w:pPr>
          </w:p>
        </w:tc>
      </w:tr>
      <w:tr>
        <w:trPr>
          <w:trHeight w:val="216"/>
        </w:trPr>
        <w:tc>
          <w:tcPr>
            <w:tcW w:w="4660" w:type="dxa"/>
            <w:vAlign w:val="bottom"/>
          </w:tcPr>
          <w:p>
            <w:pPr>
              <w:ind w:left="680"/>
              <w:spacing w:after="0"/>
              <w:rPr>
                <w:sz w:val="20"/>
                <w:szCs w:val="20"/>
                <w:color w:val="auto"/>
              </w:rPr>
            </w:pPr>
            <w:r>
              <w:rPr>
                <w:rFonts w:ascii="Arial" w:cs="Arial" w:eastAsia="Arial" w:hAnsi="Arial"/>
                <w:sz w:val="16"/>
                <w:szCs w:val="16"/>
                <w:color w:val="auto"/>
              </w:rPr>
              <w:t>Synthetic oil, per barrel</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56.18</w:t>
            </w: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56.18</w:t>
            </w:r>
          </w:p>
        </w:tc>
        <w:tc>
          <w:tcPr>
            <w:tcW w:w="0" w:type="dxa"/>
            <w:vAlign w:val="bottom"/>
          </w:tcPr>
          <w:p>
            <w:pPr>
              <w:spacing w:after="0"/>
              <w:rPr>
                <w:sz w:val="1"/>
                <w:szCs w:val="1"/>
                <w:color w:val="auto"/>
              </w:rPr>
            </w:pPr>
          </w:p>
        </w:tc>
      </w:tr>
      <w:tr>
        <w:trPr>
          <w:trHeight w:val="216"/>
        </w:trPr>
        <w:tc>
          <w:tcPr>
            <w:tcW w:w="4660" w:type="dxa"/>
            <w:vAlign w:val="bottom"/>
          </w:tcPr>
          <w:p>
            <w:pPr>
              <w:ind w:left="480"/>
              <w:spacing w:after="0"/>
              <w:rPr>
                <w:sz w:val="20"/>
                <w:szCs w:val="20"/>
                <w:color w:val="auto"/>
              </w:rPr>
            </w:pPr>
            <w:r>
              <w:rPr>
                <w:rFonts w:ascii="Arial" w:cs="Arial" w:eastAsia="Arial" w:hAnsi="Arial"/>
                <w:sz w:val="16"/>
                <w:szCs w:val="16"/>
                <w:color w:val="auto"/>
              </w:rPr>
              <w:t>Average production costs, per oil-equivalent barrel - total</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12.25</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23.41</w:t>
            </w: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13.69</w:t>
            </w:r>
          </w:p>
        </w:tc>
        <w:tc>
          <w:tcPr>
            <w:tcW w:w="1020" w:type="dxa"/>
            <w:vAlign w:val="bottom"/>
          </w:tcPr>
          <w:p>
            <w:pPr>
              <w:jc w:val="right"/>
              <w:ind w:right="199"/>
              <w:spacing w:after="0"/>
              <w:rPr>
                <w:sz w:val="20"/>
                <w:szCs w:val="20"/>
                <w:color w:val="auto"/>
              </w:rPr>
            </w:pPr>
            <w:r>
              <w:rPr>
                <w:rFonts w:ascii="Arial" w:cs="Arial" w:eastAsia="Arial" w:hAnsi="Arial"/>
                <w:sz w:val="16"/>
                <w:szCs w:val="16"/>
                <w:color w:val="auto"/>
              </w:rPr>
              <w:t>17.51</w:t>
            </w: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7.34</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6.60</w:t>
            </w:r>
          </w:p>
        </w:tc>
        <w:tc>
          <w:tcPr>
            <w:tcW w:w="720" w:type="dxa"/>
            <w:vAlign w:val="bottom"/>
          </w:tcPr>
          <w:p>
            <w:pPr>
              <w:jc w:val="right"/>
              <w:spacing w:after="0"/>
              <w:rPr>
                <w:sz w:val="20"/>
                <w:szCs w:val="20"/>
                <w:color w:val="auto"/>
              </w:rPr>
            </w:pPr>
            <w:r>
              <w:rPr>
                <w:rFonts w:ascii="Arial" w:cs="Arial" w:eastAsia="Arial" w:hAnsi="Arial"/>
                <w:sz w:val="16"/>
                <w:szCs w:val="16"/>
                <w:color w:val="auto"/>
              </w:rPr>
              <w:t>13.43</w:t>
            </w:r>
          </w:p>
        </w:tc>
        <w:tc>
          <w:tcPr>
            <w:tcW w:w="0" w:type="dxa"/>
            <w:vAlign w:val="bottom"/>
          </w:tcPr>
          <w:p>
            <w:pPr>
              <w:spacing w:after="0"/>
              <w:rPr>
                <w:sz w:val="1"/>
                <w:szCs w:val="1"/>
                <w:color w:val="auto"/>
              </w:rPr>
            </w:pPr>
          </w:p>
        </w:tc>
      </w:tr>
      <w:tr>
        <w:trPr>
          <w:trHeight w:val="216"/>
        </w:trPr>
        <w:tc>
          <w:tcPr>
            <w:tcW w:w="4660" w:type="dxa"/>
            <w:vAlign w:val="bottom"/>
          </w:tcPr>
          <w:p>
            <w:pPr>
              <w:ind w:left="480"/>
              <w:spacing w:after="0"/>
              <w:rPr>
                <w:sz w:val="20"/>
                <w:szCs w:val="20"/>
                <w:color w:val="auto"/>
              </w:rPr>
            </w:pPr>
            <w:r>
              <w:rPr>
                <w:rFonts w:ascii="Arial" w:cs="Arial" w:eastAsia="Arial" w:hAnsi="Arial"/>
                <w:sz w:val="16"/>
                <w:szCs w:val="16"/>
                <w:color w:val="auto"/>
              </w:rPr>
              <w:t>Average production costs, per barrel - bitumen</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24.18</w:t>
            </w: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24.18</w:t>
            </w:r>
          </w:p>
        </w:tc>
        <w:tc>
          <w:tcPr>
            <w:tcW w:w="0" w:type="dxa"/>
            <w:vAlign w:val="bottom"/>
          </w:tcPr>
          <w:p>
            <w:pPr>
              <w:spacing w:after="0"/>
              <w:rPr>
                <w:sz w:val="1"/>
                <w:szCs w:val="1"/>
                <w:color w:val="auto"/>
              </w:rPr>
            </w:pPr>
          </w:p>
        </w:tc>
      </w:tr>
      <w:tr>
        <w:trPr>
          <w:trHeight w:val="216"/>
        </w:trPr>
        <w:tc>
          <w:tcPr>
            <w:tcW w:w="4660" w:type="dxa"/>
            <w:vAlign w:val="bottom"/>
          </w:tcPr>
          <w:p>
            <w:pPr>
              <w:ind w:left="480"/>
              <w:spacing w:after="0"/>
              <w:rPr>
                <w:sz w:val="20"/>
                <w:szCs w:val="20"/>
                <w:color w:val="auto"/>
              </w:rPr>
            </w:pPr>
            <w:r>
              <w:rPr>
                <w:rFonts w:ascii="Arial" w:cs="Arial" w:eastAsia="Arial" w:hAnsi="Arial"/>
                <w:sz w:val="16"/>
                <w:szCs w:val="16"/>
                <w:color w:val="auto"/>
              </w:rPr>
              <w:t>Average production costs, per barrel - synthetic oil</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40.38</w:t>
            </w: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40.38</w:t>
            </w:r>
          </w:p>
        </w:tc>
        <w:tc>
          <w:tcPr>
            <w:tcW w:w="0" w:type="dxa"/>
            <w:vAlign w:val="bottom"/>
          </w:tcPr>
          <w:p>
            <w:pPr>
              <w:spacing w:after="0"/>
              <w:rPr>
                <w:sz w:val="1"/>
                <w:szCs w:val="1"/>
                <w:color w:val="auto"/>
              </w:rPr>
            </w:pPr>
          </w:p>
        </w:tc>
      </w:tr>
      <w:tr>
        <w:trPr>
          <w:trHeight w:val="270"/>
        </w:trPr>
        <w:tc>
          <w:tcPr>
            <w:tcW w:w="4660" w:type="dxa"/>
            <w:vAlign w:val="bottom"/>
          </w:tcPr>
          <w:p>
            <w:pPr>
              <w:ind w:left="220"/>
              <w:spacing w:after="0"/>
              <w:rPr>
                <w:sz w:val="20"/>
                <w:szCs w:val="20"/>
                <w:color w:val="auto"/>
              </w:rPr>
            </w:pPr>
            <w:r>
              <w:rPr>
                <w:rFonts w:ascii="Arial" w:cs="Arial" w:eastAsia="Arial" w:hAnsi="Arial"/>
                <w:sz w:val="16"/>
                <w:szCs w:val="16"/>
                <w:b w:val="1"/>
                <w:bCs w:val="1"/>
                <w:color w:val="auto"/>
              </w:rPr>
              <w:t>Equity Companies</w:t>
            </w:r>
          </w:p>
        </w:tc>
        <w:tc>
          <w:tcPr>
            <w:tcW w:w="1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480"/>
              <w:spacing w:after="0"/>
              <w:rPr>
                <w:sz w:val="20"/>
                <w:szCs w:val="20"/>
                <w:color w:val="auto"/>
              </w:rPr>
            </w:pPr>
            <w:r>
              <w:rPr>
                <w:rFonts w:ascii="Arial" w:cs="Arial" w:eastAsia="Arial" w:hAnsi="Arial"/>
                <w:sz w:val="16"/>
                <w:szCs w:val="16"/>
                <w:color w:val="auto"/>
              </w:rPr>
              <w:t>Average production prices</w:t>
            </w: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680"/>
              <w:spacing w:after="0"/>
              <w:rPr>
                <w:sz w:val="20"/>
                <w:szCs w:val="20"/>
                <w:color w:val="auto"/>
              </w:rPr>
            </w:pPr>
            <w:r>
              <w:rPr>
                <w:rFonts w:ascii="Arial" w:cs="Arial" w:eastAsia="Arial" w:hAnsi="Arial"/>
                <w:sz w:val="16"/>
                <w:szCs w:val="16"/>
                <w:color w:val="auto"/>
              </w:rPr>
              <w:t>Crude oil, per barrel</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60.95</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58.72</w:t>
            </w:r>
          </w:p>
        </w:tc>
        <w:tc>
          <w:tcPr>
            <w:tcW w:w="102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58.74</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59.15</w:t>
            </w:r>
          </w:p>
        </w:tc>
        <w:tc>
          <w:tcPr>
            <w:tcW w:w="0" w:type="dxa"/>
            <w:vAlign w:val="bottom"/>
          </w:tcPr>
          <w:p>
            <w:pPr>
              <w:spacing w:after="0"/>
              <w:rPr>
                <w:sz w:val="1"/>
                <w:szCs w:val="1"/>
                <w:color w:val="auto"/>
              </w:rPr>
            </w:pPr>
          </w:p>
        </w:tc>
      </w:tr>
      <w:tr>
        <w:trPr>
          <w:trHeight w:val="216"/>
        </w:trPr>
        <w:tc>
          <w:tcPr>
            <w:tcW w:w="4660" w:type="dxa"/>
            <w:vAlign w:val="bottom"/>
          </w:tcPr>
          <w:p>
            <w:pPr>
              <w:ind w:left="680"/>
              <w:spacing w:after="0"/>
              <w:rPr>
                <w:sz w:val="20"/>
                <w:szCs w:val="20"/>
                <w:color w:val="auto"/>
              </w:rPr>
            </w:pPr>
            <w:r>
              <w:rPr>
                <w:rFonts w:ascii="Arial" w:cs="Arial" w:eastAsia="Arial" w:hAnsi="Arial"/>
                <w:sz w:val="16"/>
                <w:szCs w:val="16"/>
                <w:color w:val="auto"/>
              </w:rPr>
              <w:t>NGL, per barrel</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15.63</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36.28</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35.76</w:t>
            </w:r>
          </w:p>
        </w:tc>
        <w:tc>
          <w:tcPr>
            <w:tcW w:w="0" w:type="dxa"/>
            <w:vAlign w:val="bottom"/>
          </w:tcPr>
          <w:p>
            <w:pPr>
              <w:spacing w:after="0"/>
              <w:rPr>
                <w:sz w:val="1"/>
                <w:szCs w:val="1"/>
                <w:color w:val="auto"/>
              </w:rPr>
            </w:pPr>
          </w:p>
        </w:tc>
      </w:tr>
      <w:tr>
        <w:trPr>
          <w:trHeight w:val="216"/>
        </w:trPr>
        <w:tc>
          <w:tcPr>
            <w:tcW w:w="4660" w:type="dxa"/>
            <w:vAlign w:val="bottom"/>
          </w:tcPr>
          <w:p>
            <w:pPr>
              <w:ind w:left="680"/>
              <w:spacing w:after="0"/>
              <w:rPr>
                <w:sz w:val="20"/>
                <w:szCs w:val="20"/>
                <w:color w:val="auto"/>
              </w:rPr>
            </w:pPr>
            <w:r>
              <w:rPr>
                <w:rFonts w:ascii="Arial" w:cs="Arial" w:eastAsia="Arial" w:hAnsi="Arial"/>
                <w:sz w:val="16"/>
                <w:szCs w:val="16"/>
                <w:color w:val="auto"/>
              </w:rPr>
              <w:t>Natural gas, per thousand cubic feet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1.75</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5.01</w:t>
            </w:r>
          </w:p>
        </w:tc>
        <w:tc>
          <w:tcPr>
            <w:tcW w:w="102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5.24</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5.17</w:t>
            </w:r>
          </w:p>
        </w:tc>
        <w:tc>
          <w:tcPr>
            <w:tcW w:w="0" w:type="dxa"/>
            <w:vAlign w:val="bottom"/>
          </w:tcPr>
          <w:p>
            <w:pPr>
              <w:spacing w:after="0"/>
              <w:rPr>
                <w:sz w:val="1"/>
                <w:szCs w:val="1"/>
                <w:color w:val="auto"/>
              </w:rPr>
            </w:pPr>
          </w:p>
        </w:tc>
      </w:tr>
      <w:tr>
        <w:trPr>
          <w:trHeight w:val="216"/>
        </w:trPr>
        <w:tc>
          <w:tcPr>
            <w:tcW w:w="4660" w:type="dxa"/>
            <w:vAlign w:val="bottom"/>
          </w:tcPr>
          <w:p>
            <w:pPr>
              <w:ind w:left="360"/>
              <w:spacing w:after="0"/>
              <w:rPr>
                <w:sz w:val="20"/>
                <w:szCs w:val="20"/>
                <w:color w:val="auto"/>
              </w:rPr>
            </w:pPr>
            <w:r>
              <w:rPr>
                <w:rFonts w:ascii="Arial" w:cs="Arial" w:eastAsia="Arial" w:hAnsi="Arial"/>
                <w:sz w:val="16"/>
                <w:szCs w:val="16"/>
                <w:color w:val="auto"/>
              </w:rPr>
              <w:t>Average production costs, per oil-equivalent barrel - total</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25.70</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14.04</w:t>
            </w:r>
          </w:p>
        </w:tc>
        <w:tc>
          <w:tcPr>
            <w:tcW w:w="102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2.03</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270"/>
        </w:trPr>
        <w:tc>
          <w:tcPr>
            <w:tcW w:w="4660" w:type="dxa"/>
            <w:vAlign w:val="bottom"/>
          </w:tcPr>
          <w:p>
            <w:pPr>
              <w:ind w:left="220"/>
              <w:spacing w:after="0"/>
              <w:rPr>
                <w:sz w:val="20"/>
                <w:szCs w:val="20"/>
                <w:color w:val="auto"/>
              </w:rPr>
            </w:pPr>
            <w:r>
              <w:rPr>
                <w:rFonts w:ascii="Arial" w:cs="Arial" w:eastAsia="Arial" w:hAnsi="Arial"/>
                <w:sz w:val="16"/>
                <w:szCs w:val="16"/>
                <w:b w:val="1"/>
                <w:bCs w:val="1"/>
                <w:color w:val="auto"/>
              </w:rPr>
              <w:t>Total</w:t>
            </w:r>
          </w:p>
        </w:tc>
        <w:tc>
          <w:tcPr>
            <w:tcW w:w="1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480"/>
              <w:spacing w:after="0"/>
              <w:rPr>
                <w:sz w:val="20"/>
                <w:szCs w:val="20"/>
                <w:color w:val="auto"/>
              </w:rPr>
            </w:pPr>
            <w:r>
              <w:rPr>
                <w:rFonts w:ascii="Arial" w:cs="Arial" w:eastAsia="Arial" w:hAnsi="Arial"/>
                <w:sz w:val="16"/>
                <w:szCs w:val="16"/>
                <w:color w:val="auto"/>
              </w:rPr>
              <w:t>Average production prices</w:t>
            </w: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680"/>
              <w:spacing w:after="0"/>
              <w:rPr>
                <w:sz w:val="20"/>
                <w:szCs w:val="20"/>
                <w:color w:val="auto"/>
              </w:rPr>
            </w:pPr>
            <w:r>
              <w:rPr>
                <w:rFonts w:ascii="Arial" w:cs="Arial" w:eastAsia="Arial" w:hAnsi="Arial"/>
                <w:sz w:val="16"/>
                <w:szCs w:val="16"/>
                <w:color w:val="auto"/>
              </w:rPr>
              <w:t>Crude oil, per barrel</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55.08</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59.39</w:t>
            </w: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63.41</w:t>
            </w:r>
          </w:p>
        </w:tc>
        <w:tc>
          <w:tcPr>
            <w:tcW w:w="1020" w:type="dxa"/>
            <w:vAlign w:val="bottom"/>
          </w:tcPr>
          <w:p>
            <w:pPr>
              <w:jc w:val="right"/>
              <w:ind w:right="199"/>
              <w:spacing w:after="0"/>
              <w:rPr>
                <w:sz w:val="20"/>
                <w:szCs w:val="20"/>
                <w:color w:val="auto"/>
              </w:rPr>
            </w:pPr>
            <w:r>
              <w:rPr>
                <w:rFonts w:ascii="Arial" w:cs="Arial" w:eastAsia="Arial" w:hAnsi="Arial"/>
                <w:sz w:val="16"/>
                <w:szCs w:val="16"/>
                <w:color w:val="auto"/>
              </w:rPr>
              <w:t>65.64</w:t>
            </w: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62.27</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61.08</w:t>
            </w:r>
          </w:p>
        </w:tc>
        <w:tc>
          <w:tcPr>
            <w:tcW w:w="720" w:type="dxa"/>
            <w:vAlign w:val="bottom"/>
          </w:tcPr>
          <w:p>
            <w:pPr>
              <w:jc w:val="right"/>
              <w:spacing w:after="0"/>
              <w:rPr>
                <w:sz w:val="20"/>
                <w:szCs w:val="20"/>
                <w:color w:val="auto"/>
              </w:rPr>
            </w:pPr>
            <w:r>
              <w:rPr>
                <w:rFonts w:ascii="Arial" w:cs="Arial" w:eastAsia="Arial" w:hAnsi="Arial"/>
                <w:sz w:val="16"/>
                <w:szCs w:val="16"/>
                <w:color w:val="auto"/>
              </w:rPr>
              <w:t>60.73</w:t>
            </w:r>
          </w:p>
        </w:tc>
        <w:tc>
          <w:tcPr>
            <w:tcW w:w="0" w:type="dxa"/>
            <w:vAlign w:val="bottom"/>
          </w:tcPr>
          <w:p>
            <w:pPr>
              <w:spacing w:after="0"/>
              <w:rPr>
                <w:sz w:val="1"/>
                <w:szCs w:val="1"/>
                <w:color w:val="auto"/>
              </w:rPr>
            </w:pPr>
          </w:p>
        </w:tc>
      </w:tr>
      <w:tr>
        <w:trPr>
          <w:trHeight w:val="216"/>
        </w:trPr>
        <w:tc>
          <w:tcPr>
            <w:tcW w:w="4660" w:type="dxa"/>
            <w:vAlign w:val="bottom"/>
          </w:tcPr>
          <w:p>
            <w:pPr>
              <w:ind w:left="680"/>
              <w:spacing w:after="0"/>
              <w:rPr>
                <w:sz w:val="20"/>
                <w:szCs w:val="20"/>
                <w:color w:val="auto"/>
              </w:rPr>
            </w:pPr>
            <w:r>
              <w:rPr>
                <w:rFonts w:ascii="Arial" w:cs="Arial" w:eastAsia="Arial" w:hAnsi="Arial"/>
                <w:sz w:val="16"/>
                <w:szCs w:val="16"/>
                <w:color w:val="auto"/>
              </w:rPr>
              <w:t>NGL, per barrel</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18.90</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16.59</w:t>
            </w: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30.56</w:t>
            </w:r>
          </w:p>
        </w:tc>
        <w:tc>
          <w:tcPr>
            <w:tcW w:w="1020" w:type="dxa"/>
            <w:vAlign w:val="bottom"/>
          </w:tcPr>
          <w:p>
            <w:pPr>
              <w:jc w:val="right"/>
              <w:ind w:right="199"/>
              <w:spacing w:after="0"/>
              <w:rPr>
                <w:sz w:val="20"/>
                <w:szCs w:val="20"/>
                <w:color w:val="auto"/>
              </w:rPr>
            </w:pPr>
            <w:r>
              <w:rPr>
                <w:rFonts w:ascii="Arial" w:cs="Arial" w:eastAsia="Arial" w:hAnsi="Arial"/>
                <w:sz w:val="16"/>
                <w:szCs w:val="16"/>
                <w:color w:val="auto"/>
              </w:rPr>
              <w:t>41.41</w:t>
            </w: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33.23</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30.55</w:t>
            </w:r>
          </w:p>
        </w:tc>
        <w:tc>
          <w:tcPr>
            <w:tcW w:w="720" w:type="dxa"/>
            <w:vAlign w:val="bottom"/>
          </w:tcPr>
          <w:p>
            <w:pPr>
              <w:jc w:val="right"/>
              <w:spacing w:after="0"/>
              <w:rPr>
                <w:sz w:val="20"/>
                <w:szCs w:val="20"/>
                <w:color w:val="auto"/>
              </w:rPr>
            </w:pPr>
            <w:r>
              <w:rPr>
                <w:rFonts w:ascii="Arial" w:cs="Arial" w:eastAsia="Arial" w:hAnsi="Arial"/>
                <w:sz w:val="16"/>
                <w:szCs w:val="16"/>
                <w:color w:val="auto"/>
              </w:rPr>
              <w:t>25.89</w:t>
            </w:r>
          </w:p>
        </w:tc>
        <w:tc>
          <w:tcPr>
            <w:tcW w:w="0" w:type="dxa"/>
            <w:vAlign w:val="bottom"/>
          </w:tcPr>
          <w:p>
            <w:pPr>
              <w:spacing w:after="0"/>
              <w:rPr>
                <w:sz w:val="1"/>
                <w:szCs w:val="1"/>
                <w:color w:val="auto"/>
              </w:rPr>
            </w:pPr>
          </w:p>
        </w:tc>
      </w:tr>
      <w:tr>
        <w:trPr>
          <w:trHeight w:val="216"/>
        </w:trPr>
        <w:tc>
          <w:tcPr>
            <w:tcW w:w="4660" w:type="dxa"/>
            <w:vAlign w:val="bottom"/>
          </w:tcPr>
          <w:p>
            <w:pPr>
              <w:ind w:left="680"/>
              <w:spacing w:after="0"/>
              <w:rPr>
                <w:sz w:val="20"/>
                <w:szCs w:val="20"/>
                <w:color w:val="auto"/>
              </w:rPr>
            </w:pPr>
            <w:r>
              <w:rPr>
                <w:rFonts w:ascii="Arial" w:cs="Arial" w:eastAsia="Arial" w:hAnsi="Arial"/>
                <w:sz w:val="16"/>
                <w:szCs w:val="16"/>
                <w:color w:val="auto"/>
              </w:rPr>
              <w:t>Natural gas, per thousand cubic feet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1.54</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1.44</w:t>
            </w: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4.73</w:t>
            </w:r>
          </w:p>
        </w:tc>
        <w:tc>
          <w:tcPr>
            <w:tcW w:w="1020" w:type="dxa"/>
            <w:vAlign w:val="bottom"/>
          </w:tcPr>
          <w:p>
            <w:pPr>
              <w:jc w:val="right"/>
              <w:ind w:right="199"/>
              <w:spacing w:after="0"/>
              <w:rPr>
                <w:sz w:val="20"/>
                <w:szCs w:val="20"/>
                <w:color w:val="auto"/>
              </w:rPr>
            </w:pPr>
            <w:r>
              <w:rPr>
                <w:rFonts w:ascii="Arial" w:cs="Arial" w:eastAsia="Arial" w:hAnsi="Arial"/>
                <w:sz w:val="16"/>
                <w:szCs w:val="16"/>
                <w:color w:val="auto"/>
              </w:rPr>
              <w:t>1.49</w:t>
            </w: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4.49</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6.26</w:t>
            </w:r>
          </w:p>
        </w:tc>
        <w:tc>
          <w:tcPr>
            <w:tcW w:w="720" w:type="dxa"/>
            <w:vAlign w:val="bottom"/>
          </w:tcPr>
          <w:p>
            <w:pPr>
              <w:jc w:val="right"/>
              <w:spacing w:after="0"/>
              <w:rPr>
                <w:sz w:val="20"/>
                <w:szCs w:val="20"/>
                <w:color w:val="auto"/>
              </w:rPr>
            </w:pPr>
            <w:r>
              <w:rPr>
                <w:rFonts w:ascii="Arial" w:cs="Arial" w:eastAsia="Arial" w:hAnsi="Arial"/>
                <w:sz w:val="16"/>
                <w:szCs w:val="16"/>
                <w:color w:val="auto"/>
              </w:rPr>
              <w:t>3.82</w:t>
            </w:r>
          </w:p>
        </w:tc>
        <w:tc>
          <w:tcPr>
            <w:tcW w:w="0" w:type="dxa"/>
            <w:vAlign w:val="bottom"/>
          </w:tcPr>
          <w:p>
            <w:pPr>
              <w:spacing w:after="0"/>
              <w:rPr>
                <w:sz w:val="1"/>
                <w:szCs w:val="1"/>
                <w:color w:val="auto"/>
              </w:rPr>
            </w:pPr>
          </w:p>
        </w:tc>
      </w:tr>
      <w:tr>
        <w:trPr>
          <w:trHeight w:val="216"/>
        </w:trPr>
        <w:tc>
          <w:tcPr>
            <w:tcW w:w="4660" w:type="dxa"/>
            <w:vAlign w:val="bottom"/>
          </w:tcPr>
          <w:p>
            <w:pPr>
              <w:ind w:left="680"/>
              <w:spacing w:after="0"/>
              <w:rPr>
                <w:sz w:val="20"/>
                <w:szCs w:val="20"/>
                <w:color w:val="auto"/>
              </w:rPr>
            </w:pPr>
            <w:r>
              <w:rPr>
                <w:rFonts w:ascii="Arial" w:cs="Arial" w:eastAsia="Arial" w:hAnsi="Arial"/>
                <w:sz w:val="16"/>
                <w:szCs w:val="16"/>
                <w:color w:val="auto"/>
              </w:rPr>
              <w:t>Bitumen, per barrel</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36.25</w:t>
            </w: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36.25</w:t>
            </w:r>
          </w:p>
        </w:tc>
        <w:tc>
          <w:tcPr>
            <w:tcW w:w="0" w:type="dxa"/>
            <w:vAlign w:val="bottom"/>
          </w:tcPr>
          <w:p>
            <w:pPr>
              <w:spacing w:after="0"/>
              <w:rPr>
                <w:sz w:val="1"/>
                <w:szCs w:val="1"/>
                <w:color w:val="auto"/>
              </w:rPr>
            </w:pPr>
          </w:p>
        </w:tc>
      </w:tr>
      <w:tr>
        <w:trPr>
          <w:trHeight w:val="216"/>
        </w:trPr>
        <w:tc>
          <w:tcPr>
            <w:tcW w:w="4660" w:type="dxa"/>
            <w:vAlign w:val="bottom"/>
          </w:tcPr>
          <w:p>
            <w:pPr>
              <w:ind w:left="680"/>
              <w:spacing w:after="0"/>
              <w:rPr>
                <w:sz w:val="20"/>
                <w:szCs w:val="20"/>
                <w:color w:val="auto"/>
              </w:rPr>
            </w:pPr>
            <w:r>
              <w:rPr>
                <w:rFonts w:ascii="Arial" w:cs="Arial" w:eastAsia="Arial" w:hAnsi="Arial"/>
                <w:sz w:val="16"/>
                <w:szCs w:val="16"/>
                <w:color w:val="auto"/>
              </w:rPr>
              <w:t>Synthetic oil, per barrel</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56.18</w:t>
            </w: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56.18</w:t>
            </w:r>
          </w:p>
        </w:tc>
        <w:tc>
          <w:tcPr>
            <w:tcW w:w="0" w:type="dxa"/>
            <w:vAlign w:val="bottom"/>
          </w:tcPr>
          <w:p>
            <w:pPr>
              <w:spacing w:after="0"/>
              <w:rPr>
                <w:sz w:val="1"/>
                <w:szCs w:val="1"/>
                <w:color w:val="auto"/>
              </w:rPr>
            </w:pPr>
          </w:p>
        </w:tc>
      </w:tr>
      <w:tr>
        <w:trPr>
          <w:trHeight w:val="216"/>
        </w:trPr>
        <w:tc>
          <w:tcPr>
            <w:tcW w:w="4660" w:type="dxa"/>
            <w:vAlign w:val="bottom"/>
          </w:tcPr>
          <w:p>
            <w:pPr>
              <w:ind w:left="360"/>
              <w:spacing w:after="0"/>
              <w:rPr>
                <w:sz w:val="20"/>
                <w:szCs w:val="20"/>
                <w:color w:val="auto"/>
              </w:rPr>
            </w:pPr>
            <w:r>
              <w:rPr>
                <w:rFonts w:ascii="Arial" w:cs="Arial" w:eastAsia="Arial" w:hAnsi="Arial"/>
                <w:sz w:val="16"/>
                <w:szCs w:val="16"/>
                <w:color w:val="auto"/>
              </w:rPr>
              <w:t>Average production costs, per oil-equivalent barrel - total</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12.95</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23.41</w:t>
            </w: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13.80</w:t>
            </w:r>
          </w:p>
        </w:tc>
        <w:tc>
          <w:tcPr>
            <w:tcW w:w="1020" w:type="dxa"/>
            <w:vAlign w:val="bottom"/>
          </w:tcPr>
          <w:p>
            <w:pPr>
              <w:jc w:val="right"/>
              <w:ind w:right="199"/>
              <w:spacing w:after="0"/>
              <w:rPr>
                <w:sz w:val="20"/>
                <w:szCs w:val="20"/>
                <w:color w:val="auto"/>
              </w:rPr>
            </w:pPr>
            <w:r>
              <w:rPr>
                <w:rFonts w:ascii="Arial" w:cs="Arial" w:eastAsia="Arial" w:hAnsi="Arial"/>
                <w:sz w:val="16"/>
                <w:szCs w:val="16"/>
                <w:color w:val="auto"/>
              </w:rPr>
              <w:t>17.56</w:t>
            </w: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4.39</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6.60</w:t>
            </w:r>
          </w:p>
        </w:tc>
        <w:tc>
          <w:tcPr>
            <w:tcW w:w="720" w:type="dxa"/>
            <w:vAlign w:val="bottom"/>
          </w:tcPr>
          <w:p>
            <w:pPr>
              <w:jc w:val="right"/>
              <w:spacing w:after="0"/>
              <w:rPr>
                <w:sz w:val="20"/>
                <w:szCs w:val="20"/>
                <w:color w:val="auto"/>
              </w:rPr>
            </w:pPr>
            <w:r>
              <w:rPr>
                <w:rFonts w:ascii="Arial" w:cs="Arial" w:eastAsia="Arial" w:hAnsi="Arial"/>
                <w:sz w:val="16"/>
                <w:szCs w:val="16"/>
                <w:color w:val="auto"/>
              </w:rPr>
              <w:t>11.48</w:t>
            </w:r>
          </w:p>
        </w:tc>
        <w:tc>
          <w:tcPr>
            <w:tcW w:w="0" w:type="dxa"/>
            <w:vAlign w:val="bottom"/>
          </w:tcPr>
          <w:p>
            <w:pPr>
              <w:spacing w:after="0"/>
              <w:rPr>
                <w:sz w:val="1"/>
                <w:szCs w:val="1"/>
                <w:color w:val="auto"/>
              </w:rPr>
            </w:pPr>
          </w:p>
        </w:tc>
      </w:tr>
      <w:tr>
        <w:trPr>
          <w:trHeight w:val="216"/>
        </w:trPr>
        <w:tc>
          <w:tcPr>
            <w:tcW w:w="4660" w:type="dxa"/>
            <w:vAlign w:val="bottom"/>
          </w:tcPr>
          <w:p>
            <w:pPr>
              <w:ind w:left="480"/>
              <w:spacing w:after="0"/>
              <w:rPr>
                <w:sz w:val="20"/>
                <w:szCs w:val="20"/>
                <w:color w:val="auto"/>
              </w:rPr>
            </w:pPr>
            <w:r>
              <w:rPr>
                <w:rFonts w:ascii="Arial" w:cs="Arial" w:eastAsia="Arial" w:hAnsi="Arial"/>
                <w:sz w:val="16"/>
                <w:szCs w:val="16"/>
                <w:color w:val="auto"/>
              </w:rPr>
              <w:t>Average production costs, per barrel - bitumen</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24.18</w:t>
            </w: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24.18</w:t>
            </w:r>
          </w:p>
        </w:tc>
        <w:tc>
          <w:tcPr>
            <w:tcW w:w="0" w:type="dxa"/>
            <w:vAlign w:val="bottom"/>
          </w:tcPr>
          <w:p>
            <w:pPr>
              <w:spacing w:after="0"/>
              <w:rPr>
                <w:sz w:val="1"/>
                <w:szCs w:val="1"/>
                <w:color w:val="auto"/>
              </w:rPr>
            </w:pPr>
          </w:p>
        </w:tc>
      </w:tr>
      <w:tr>
        <w:trPr>
          <w:trHeight w:val="216"/>
        </w:trPr>
        <w:tc>
          <w:tcPr>
            <w:tcW w:w="4660" w:type="dxa"/>
            <w:vAlign w:val="bottom"/>
          </w:tcPr>
          <w:p>
            <w:pPr>
              <w:ind w:left="480"/>
              <w:spacing w:after="0"/>
              <w:rPr>
                <w:sz w:val="20"/>
                <w:szCs w:val="20"/>
                <w:color w:val="auto"/>
              </w:rPr>
            </w:pPr>
            <w:r>
              <w:rPr>
                <w:rFonts w:ascii="Arial" w:cs="Arial" w:eastAsia="Arial" w:hAnsi="Arial"/>
                <w:sz w:val="16"/>
                <w:szCs w:val="16"/>
                <w:color w:val="auto"/>
              </w:rPr>
              <w:t>Average production costs, per barrel - synthetic oil</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40.38</w:t>
            </w: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40.38</w:t>
            </w: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Average production prices have been calculated by using sales quantities from the Corporation’s own production as the divisor. Average production costs have been computed by using net production quantities for the divisor. The volumes of crude oil and natural gas liquids (NGL) production used for this computation are shown in the oil and gas production table in section 3.A. The volumes of natural gas used in the calculation are the production volumes of natural gas available for sale and are also shown in section 3.A. The natural gas available for sale volumes are different from those shown in the reserves table in the “Oil and Gas Reserves” part of the “Supplemental Information on Oil and Gas Exploration and Production Activities” portion of the Financial Section of this report due to volumes consumed or flared. Natural gas is converted to an oil-equivalent basis at six million cubic feet per one thousand barrels.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14" w:name="page15"/>
    <w:bookmarkEnd w:id="14"/>
    <w:p>
      <w:pPr>
        <w:ind w:right="6480" w:firstLine="8"/>
        <w:spacing w:after="0" w:line="446" w:lineRule="auto"/>
        <w:tabs>
          <w:tab w:leader="none" w:pos="180"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Drilling and Other Exploratory and Development Activities A. Number of Net Productive and Dry Wells Drilled</w:t>
      </w:r>
    </w:p>
    <w:tbl>
      <w:tblPr>
        <w:tblLayout w:type="fixed"/>
        <w:tblInd w:w="0" w:type="dxa"/>
        <w:tblCellMar>
          <w:top w:w="0" w:type="dxa"/>
          <w:left w:w="0" w:type="dxa"/>
          <w:bottom w:w="0" w:type="dxa"/>
          <w:right w:w="0" w:type="dxa"/>
        </w:tblCellMar>
      </w:tblPr>
      <w:tr>
        <w:trPr>
          <w:trHeight w:val="192"/>
        </w:trPr>
        <w:tc>
          <w:tcPr>
            <w:tcW w:w="4460" w:type="dxa"/>
            <w:vAlign w:val="bottom"/>
            <w:tcBorders>
              <w:bottom w:val="single" w:sz="8" w:color="auto"/>
            </w:tcBorders>
          </w:tcPr>
          <w:p>
            <w:pPr>
              <w:spacing w:after="0"/>
              <w:rPr>
                <w:sz w:val="16"/>
                <w:szCs w:val="16"/>
                <w:color w:val="auto"/>
              </w:rPr>
            </w:pPr>
          </w:p>
        </w:tc>
        <w:tc>
          <w:tcPr>
            <w:tcW w:w="4420" w:type="dxa"/>
            <w:vAlign w:val="bottom"/>
            <w:tcBorders>
              <w:bottom w:val="single" w:sz="8" w:color="auto"/>
            </w:tcBorders>
            <w:gridSpan w:val="2"/>
          </w:tcPr>
          <w:p>
            <w:pPr>
              <w:jc w:val="right"/>
              <w:ind w:right="510"/>
              <w:spacing w:after="0"/>
              <w:rPr>
                <w:sz w:val="20"/>
                <w:szCs w:val="20"/>
                <w:color w:val="auto"/>
              </w:rPr>
            </w:pPr>
            <w:r>
              <w:rPr>
                <w:rFonts w:ascii="Arial" w:cs="Arial" w:eastAsia="Arial" w:hAnsi="Arial"/>
                <w:sz w:val="14"/>
                <w:szCs w:val="14"/>
                <w:b w:val="1"/>
                <w:bCs w:val="1"/>
                <w:color w:val="auto"/>
              </w:rPr>
              <w:t>2021</w:t>
            </w:r>
          </w:p>
        </w:tc>
        <w:tc>
          <w:tcPr>
            <w:tcW w:w="146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r>
      <w:tr>
        <w:trPr>
          <w:trHeight w:val="224"/>
        </w:trPr>
        <w:tc>
          <w:tcPr>
            <w:tcW w:w="4460" w:type="dxa"/>
            <w:vAlign w:val="bottom"/>
          </w:tcPr>
          <w:p>
            <w:pPr>
              <w:ind w:left="20"/>
              <w:spacing w:after="0"/>
              <w:rPr>
                <w:sz w:val="20"/>
                <w:szCs w:val="20"/>
                <w:color w:val="auto"/>
              </w:rPr>
            </w:pPr>
            <w:r>
              <w:rPr>
                <w:rFonts w:ascii="Arial" w:cs="Arial" w:eastAsia="Arial" w:hAnsi="Arial"/>
                <w:sz w:val="18"/>
                <w:szCs w:val="18"/>
                <w:b w:val="1"/>
                <w:bCs w:val="1"/>
                <w:color w:val="auto"/>
              </w:rPr>
              <w:t>Net Productive Exploratory Wells Drilled</w:t>
            </w:r>
          </w:p>
        </w:tc>
        <w:tc>
          <w:tcPr>
            <w:tcW w:w="248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3"/>
        </w:trPr>
        <w:tc>
          <w:tcPr>
            <w:tcW w:w="4460" w:type="dxa"/>
            <w:vAlign w:val="bottom"/>
          </w:tcPr>
          <w:p>
            <w:pPr>
              <w:ind w:left="220"/>
              <w:spacing w:after="0"/>
              <w:rPr>
                <w:sz w:val="20"/>
                <w:szCs w:val="20"/>
                <w:color w:val="auto"/>
              </w:rPr>
            </w:pPr>
            <w:r>
              <w:rPr>
                <w:rFonts w:ascii="Arial" w:cs="Arial" w:eastAsia="Arial" w:hAnsi="Arial"/>
                <w:sz w:val="18"/>
                <w:szCs w:val="18"/>
                <w:b w:val="1"/>
                <w:bCs w:val="1"/>
                <w:color w:val="auto"/>
              </w:rPr>
              <w:t>Consolidated Subsidiaries</w:t>
            </w:r>
          </w:p>
        </w:tc>
        <w:tc>
          <w:tcPr>
            <w:tcW w:w="24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29"/>
        </w:trPr>
        <w:tc>
          <w:tcPr>
            <w:tcW w:w="4460" w:type="dxa"/>
            <w:vAlign w:val="bottom"/>
          </w:tcPr>
          <w:p>
            <w:pPr>
              <w:ind w:left="680"/>
              <w:spacing w:after="0"/>
              <w:rPr>
                <w:sz w:val="20"/>
                <w:szCs w:val="20"/>
                <w:color w:val="auto"/>
              </w:rPr>
            </w:pPr>
            <w:r>
              <w:rPr>
                <w:rFonts w:ascii="Arial" w:cs="Arial" w:eastAsia="Arial" w:hAnsi="Arial"/>
                <w:sz w:val="18"/>
                <w:szCs w:val="18"/>
                <w:color w:val="auto"/>
              </w:rPr>
              <w:t>United States</w:t>
            </w:r>
          </w:p>
        </w:tc>
        <w:tc>
          <w:tcPr>
            <w:tcW w:w="4420" w:type="dxa"/>
            <w:vAlign w:val="bottom"/>
            <w:gridSpan w:val="2"/>
          </w:tcPr>
          <w:p>
            <w:pPr>
              <w:jc w:val="right"/>
              <w:ind w:right="570"/>
              <w:spacing w:after="0"/>
              <w:rPr>
                <w:sz w:val="20"/>
                <w:szCs w:val="20"/>
                <w:color w:val="auto"/>
              </w:rPr>
            </w:pPr>
            <w:r>
              <w:rPr>
                <w:rFonts w:ascii="Arial" w:cs="Arial" w:eastAsia="Arial" w:hAnsi="Arial"/>
                <w:sz w:val="18"/>
                <w:szCs w:val="18"/>
                <w:color w:val="auto"/>
              </w:rPr>
              <w:t>1</w:t>
            </w:r>
          </w:p>
        </w:tc>
        <w:tc>
          <w:tcPr>
            <w:tcW w:w="1460" w:type="dxa"/>
            <w:vAlign w:val="bottom"/>
          </w:tcPr>
          <w:p>
            <w:pPr>
              <w:jc w:val="right"/>
              <w:ind w:right="551"/>
              <w:spacing w:after="0"/>
              <w:rPr>
                <w:sz w:val="20"/>
                <w:szCs w:val="20"/>
                <w:color w:val="auto"/>
              </w:rPr>
            </w:pPr>
            <w:r>
              <w:rPr>
                <w:rFonts w:ascii="Arial" w:cs="Arial" w:eastAsia="Arial" w:hAnsi="Arial"/>
                <w:sz w:val="18"/>
                <w:szCs w:val="18"/>
                <w:color w:val="auto"/>
              </w:rPr>
              <w:t>4</w:t>
            </w: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4460" w:type="dxa"/>
            <w:vAlign w:val="bottom"/>
          </w:tcPr>
          <w:p>
            <w:pPr>
              <w:ind w:left="680"/>
              <w:spacing w:after="0"/>
              <w:rPr>
                <w:sz w:val="20"/>
                <w:szCs w:val="20"/>
                <w:color w:val="auto"/>
              </w:rPr>
            </w:pPr>
            <w:r>
              <w:rPr>
                <w:rFonts w:ascii="Arial" w:cs="Arial" w:eastAsia="Arial" w:hAnsi="Arial"/>
                <w:sz w:val="18"/>
                <w:szCs w:val="18"/>
                <w:color w:val="auto"/>
              </w:rPr>
              <w:t>Canada/Other Americas</w:t>
            </w:r>
          </w:p>
        </w:tc>
        <w:tc>
          <w:tcPr>
            <w:tcW w:w="4420" w:type="dxa"/>
            <w:vAlign w:val="bottom"/>
            <w:gridSpan w:val="2"/>
          </w:tcPr>
          <w:p>
            <w:pPr>
              <w:jc w:val="right"/>
              <w:ind w:right="570"/>
              <w:spacing w:after="0"/>
              <w:rPr>
                <w:sz w:val="20"/>
                <w:szCs w:val="20"/>
                <w:color w:val="auto"/>
              </w:rPr>
            </w:pPr>
            <w:r>
              <w:rPr>
                <w:rFonts w:ascii="Arial" w:cs="Arial" w:eastAsia="Arial" w:hAnsi="Arial"/>
                <w:sz w:val="18"/>
                <w:szCs w:val="18"/>
                <w:color w:val="auto"/>
              </w:rPr>
              <w:t>5</w:t>
            </w:r>
          </w:p>
        </w:tc>
        <w:tc>
          <w:tcPr>
            <w:tcW w:w="1460" w:type="dxa"/>
            <w:vAlign w:val="bottom"/>
          </w:tcPr>
          <w:p>
            <w:pPr>
              <w:jc w:val="right"/>
              <w:ind w:right="551"/>
              <w:spacing w:after="0"/>
              <w:rPr>
                <w:sz w:val="20"/>
                <w:szCs w:val="20"/>
                <w:color w:val="auto"/>
              </w:rPr>
            </w:pPr>
            <w:r>
              <w:rPr>
                <w:rFonts w:ascii="Arial" w:cs="Arial" w:eastAsia="Arial" w:hAnsi="Arial"/>
                <w:sz w:val="18"/>
                <w:szCs w:val="18"/>
                <w:color w:val="auto"/>
              </w:rPr>
              <w:t>2</w:t>
            </w:r>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4460" w:type="dxa"/>
            <w:vAlign w:val="bottom"/>
          </w:tcPr>
          <w:p>
            <w:pPr>
              <w:ind w:left="680"/>
              <w:spacing w:after="0"/>
              <w:rPr>
                <w:sz w:val="20"/>
                <w:szCs w:val="20"/>
                <w:color w:val="auto"/>
              </w:rPr>
            </w:pPr>
            <w:r>
              <w:rPr>
                <w:rFonts w:ascii="Arial" w:cs="Arial" w:eastAsia="Arial" w:hAnsi="Arial"/>
                <w:sz w:val="18"/>
                <w:szCs w:val="18"/>
                <w:color w:val="auto"/>
              </w:rPr>
              <w:t>Europe</w:t>
            </w:r>
          </w:p>
        </w:tc>
        <w:tc>
          <w:tcPr>
            <w:tcW w:w="2480" w:type="dxa"/>
            <w:vAlign w:val="bottom"/>
          </w:tcPr>
          <w:p>
            <w:pPr>
              <w:spacing w:after="0"/>
              <w:rPr>
                <w:sz w:val="19"/>
                <w:szCs w:val="19"/>
                <w:color w:val="auto"/>
              </w:rPr>
            </w:pPr>
          </w:p>
        </w:tc>
        <w:tc>
          <w:tcPr>
            <w:tcW w:w="1940" w:type="dxa"/>
            <w:vAlign w:val="bottom"/>
          </w:tcPr>
          <w:p>
            <w:pPr>
              <w:jc w:val="right"/>
              <w:ind w:right="57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551"/>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4460" w:type="dxa"/>
            <w:vAlign w:val="bottom"/>
          </w:tcPr>
          <w:p>
            <w:pPr>
              <w:ind w:left="680"/>
              <w:spacing w:after="0"/>
              <w:rPr>
                <w:sz w:val="20"/>
                <w:szCs w:val="20"/>
                <w:color w:val="auto"/>
              </w:rPr>
            </w:pPr>
            <w:r>
              <w:rPr>
                <w:rFonts w:ascii="Arial" w:cs="Arial" w:eastAsia="Arial" w:hAnsi="Arial"/>
                <w:sz w:val="18"/>
                <w:szCs w:val="18"/>
                <w:color w:val="auto"/>
              </w:rPr>
              <w:t>Africa</w:t>
            </w:r>
          </w:p>
        </w:tc>
        <w:tc>
          <w:tcPr>
            <w:tcW w:w="2480" w:type="dxa"/>
            <w:vAlign w:val="bottom"/>
          </w:tcPr>
          <w:p>
            <w:pPr>
              <w:spacing w:after="0"/>
              <w:rPr>
                <w:sz w:val="19"/>
                <w:szCs w:val="19"/>
                <w:color w:val="auto"/>
              </w:rPr>
            </w:pPr>
          </w:p>
        </w:tc>
        <w:tc>
          <w:tcPr>
            <w:tcW w:w="1940" w:type="dxa"/>
            <w:vAlign w:val="bottom"/>
          </w:tcPr>
          <w:p>
            <w:pPr>
              <w:jc w:val="right"/>
              <w:ind w:right="57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551"/>
              <w:spacing w:after="0"/>
              <w:rPr>
                <w:sz w:val="20"/>
                <w:szCs w:val="20"/>
                <w:color w:val="auto"/>
              </w:rPr>
            </w:pPr>
            <w:r>
              <w:rPr>
                <w:rFonts w:ascii="Arial" w:cs="Arial" w:eastAsia="Arial" w:hAnsi="Arial"/>
                <w:sz w:val="18"/>
                <w:szCs w:val="18"/>
                <w:color w:val="auto"/>
              </w:rPr>
              <w:t>1</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460" w:type="dxa"/>
            <w:vAlign w:val="bottom"/>
          </w:tcPr>
          <w:p>
            <w:pPr>
              <w:ind w:left="680"/>
              <w:spacing w:after="0"/>
              <w:rPr>
                <w:sz w:val="20"/>
                <w:szCs w:val="20"/>
                <w:color w:val="auto"/>
              </w:rPr>
            </w:pPr>
            <w:r>
              <w:rPr>
                <w:rFonts w:ascii="Arial" w:cs="Arial" w:eastAsia="Arial" w:hAnsi="Arial"/>
                <w:sz w:val="18"/>
                <w:szCs w:val="18"/>
                <w:color w:val="auto"/>
              </w:rPr>
              <w:t>Asia</w:t>
            </w:r>
          </w:p>
        </w:tc>
        <w:tc>
          <w:tcPr>
            <w:tcW w:w="2480" w:type="dxa"/>
            <w:vAlign w:val="bottom"/>
          </w:tcPr>
          <w:p>
            <w:pPr>
              <w:spacing w:after="0"/>
              <w:rPr>
                <w:sz w:val="19"/>
                <w:szCs w:val="19"/>
                <w:color w:val="auto"/>
              </w:rPr>
            </w:pPr>
          </w:p>
        </w:tc>
        <w:tc>
          <w:tcPr>
            <w:tcW w:w="1940" w:type="dxa"/>
            <w:vAlign w:val="bottom"/>
          </w:tcPr>
          <w:p>
            <w:pPr>
              <w:jc w:val="right"/>
              <w:ind w:right="57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551"/>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460" w:type="dxa"/>
            <w:vAlign w:val="bottom"/>
          </w:tcPr>
          <w:p>
            <w:pPr>
              <w:ind w:left="680"/>
              <w:spacing w:after="0"/>
              <w:rPr>
                <w:sz w:val="20"/>
                <w:szCs w:val="20"/>
                <w:color w:val="auto"/>
              </w:rPr>
            </w:pPr>
            <w:r>
              <w:rPr>
                <w:rFonts w:ascii="Arial" w:cs="Arial" w:eastAsia="Arial" w:hAnsi="Arial"/>
                <w:sz w:val="18"/>
                <w:szCs w:val="18"/>
                <w:color w:val="auto"/>
              </w:rPr>
              <w:t>Australia/Oceania</w:t>
            </w:r>
          </w:p>
        </w:tc>
        <w:tc>
          <w:tcPr>
            <w:tcW w:w="2480" w:type="dxa"/>
            <w:vAlign w:val="bottom"/>
          </w:tcPr>
          <w:p>
            <w:pPr>
              <w:spacing w:after="0"/>
              <w:rPr>
                <w:sz w:val="20"/>
                <w:szCs w:val="20"/>
                <w:color w:val="auto"/>
              </w:rPr>
            </w:pPr>
          </w:p>
        </w:tc>
        <w:tc>
          <w:tcPr>
            <w:tcW w:w="19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ind w:right="551"/>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24"/>
        </w:trPr>
        <w:tc>
          <w:tcPr>
            <w:tcW w:w="4460" w:type="dxa"/>
            <w:vAlign w:val="bottom"/>
          </w:tcPr>
          <w:p>
            <w:pPr>
              <w:ind w:left="1120"/>
              <w:spacing w:after="0"/>
              <w:rPr>
                <w:sz w:val="20"/>
                <w:szCs w:val="20"/>
                <w:color w:val="auto"/>
              </w:rPr>
            </w:pPr>
            <w:r>
              <w:rPr>
                <w:rFonts w:ascii="Arial" w:cs="Arial" w:eastAsia="Arial" w:hAnsi="Arial"/>
                <w:sz w:val="18"/>
                <w:szCs w:val="18"/>
                <w:color w:val="auto"/>
              </w:rPr>
              <w:t>Total Consolidated Subsidiaries</w:t>
            </w:r>
          </w:p>
        </w:tc>
        <w:tc>
          <w:tcPr>
            <w:tcW w:w="2480" w:type="dxa"/>
            <w:vAlign w:val="bottom"/>
          </w:tcPr>
          <w:p>
            <w:pPr>
              <w:spacing w:after="0"/>
              <w:rPr>
                <w:sz w:val="19"/>
                <w:szCs w:val="19"/>
                <w:color w:val="auto"/>
              </w:rPr>
            </w:pPr>
          </w:p>
        </w:tc>
        <w:tc>
          <w:tcPr>
            <w:tcW w:w="1940" w:type="dxa"/>
            <w:vAlign w:val="bottom"/>
          </w:tcPr>
          <w:p>
            <w:pPr>
              <w:jc w:val="right"/>
              <w:ind w:right="570"/>
              <w:spacing w:after="0"/>
              <w:rPr>
                <w:sz w:val="20"/>
                <w:szCs w:val="20"/>
                <w:color w:val="auto"/>
              </w:rPr>
            </w:pPr>
            <w:r>
              <w:rPr>
                <w:rFonts w:ascii="Arial" w:cs="Arial" w:eastAsia="Arial" w:hAnsi="Arial"/>
                <w:sz w:val="18"/>
                <w:szCs w:val="18"/>
                <w:color w:val="auto"/>
              </w:rPr>
              <w:t>6</w:t>
            </w:r>
          </w:p>
        </w:tc>
        <w:tc>
          <w:tcPr>
            <w:tcW w:w="1460" w:type="dxa"/>
            <w:vAlign w:val="bottom"/>
          </w:tcPr>
          <w:p>
            <w:pPr>
              <w:jc w:val="right"/>
              <w:ind w:right="551"/>
              <w:spacing w:after="0"/>
              <w:rPr>
                <w:sz w:val="20"/>
                <w:szCs w:val="20"/>
                <w:color w:val="auto"/>
              </w:rPr>
            </w:pPr>
            <w:r>
              <w:rPr>
                <w:rFonts w:ascii="Arial" w:cs="Arial" w:eastAsia="Arial" w:hAnsi="Arial"/>
                <w:sz w:val="18"/>
                <w:szCs w:val="18"/>
                <w:color w:val="auto"/>
              </w:rPr>
              <w:t>7</w:t>
            </w:r>
          </w:p>
        </w:tc>
        <w:tc>
          <w:tcPr>
            <w:tcW w:w="9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484"/>
        </w:trPr>
        <w:tc>
          <w:tcPr>
            <w:tcW w:w="4460" w:type="dxa"/>
            <w:vAlign w:val="bottom"/>
          </w:tcPr>
          <w:p>
            <w:pPr>
              <w:ind w:left="220"/>
              <w:spacing w:after="0"/>
              <w:rPr>
                <w:sz w:val="20"/>
                <w:szCs w:val="20"/>
                <w:color w:val="auto"/>
              </w:rPr>
            </w:pPr>
            <w:r>
              <w:rPr>
                <w:rFonts w:ascii="Arial" w:cs="Arial" w:eastAsia="Arial" w:hAnsi="Arial"/>
                <w:sz w:val="18"/>
                <w:szCs w:val="18"/>
                <w:b w:val="1"/>
                <w:bCs w:val="1"/>
                <w:color w:val="auto"/>
              </w:rPr>
              <w:t>Equity Companies</w:t>
            </w:r>
          </w:p>
        </w:tc>
        <w:tc>
          <w:tcPr>
            <w:tcW w:w="24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29"/>
        </w:trPr>
        <w:tc>
          <w:tcPr>
            <w:tcW w:w="4460" w:type="dxa"/>
            <w:vAlign w:val="bottom"/>
          </w:tcPr>
          <w:p>
            <w:pPr>
              <w:ind w:left="680"/>
              <w:spacing w:after="0"/>
              <w:rPr>
                <w:sz w:val="20"/>
                <w:szCs w:val="20"/>
                <w:color w:val="auto"/>
              </w:rPr>
            </w:pPr>
            <w:r>
              <w:rPr>
                <w:rFonts w:ascii="Arial" w:cs="Arial" w:eastAsia="Arial" w:hAnsi="Arial"/>
                <w:sz w:val="18"/>
                <w:szCs w:val="18"/>
                <w:color w:val="auto"/>
              </w:rPr>
              <w:t>United States</w:t>
            </w:r>
          </w:p>
        </w:tc>
        <w:tc>
          <w:tcPr>
            <w:tcW w:w="2480" w:type="dxa"/>
            <w:vAlign w:val="bottom"/>
          </w:tcPr>
          <w:p>
            <w:pPr>
              <w:spacing w:after="0"/>
              <w:rPr>
                <w:sz w:val="19"/>
                <w:szCs w:val="19"/>
                <w:color w:val="auto"/>
              </w:rPr>
            </w:pPr>
          </w:p>
        </w:tc>
        <w:tc>
          <w:tcPr>
            <w:tcW w:w="1940" w:type="dxa"/>
            <w:vAlign w:val="bottom"/>
          </w:tcPr>
          <w:p>
            <w:pPr>
              <w:jc w:val="right"/>
              <w:ind w:right="57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551"/>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460" w:type="dxa"/>
            <w:vAlign w:val="bottom"/>
          </w:tcPr>
          <w:p>
            <w:pPr>
              <w:ind w:left="680"/>
              <w:spacing w:after="0"/>
              <w:rPr>
                <w:sz w:val="20"/>
                <w:szCs w:val="20"/>
                <w:color w:val="auto"/>
              </w:rPr>
            </w:pPr>
            <w:r>
              <w:rPr>
                <w:rFonts w:ascii="Arial" w:cs="Arial" w:eastAsia="Arial" w:hAnsi="Arial"/>
                <w:sz w:val="18"/>
                <w:szCs w:val="18"/>
                <w:color w:val="auto"/>
              </w:rPr>
              <w:t>Europe</w:t>
            </w:r>
          </w:p>
        </w:tc>
        <w:tc>
          <w:tcPr>
            <w:tcW w:w="2480" w:type="dxa"/>
            <w:vAlign w:val="bottom"/>
          </w:tcPr>
          <w:p>
            <w:pPr>
              <w:spacing w:after="0"/>
              <w:rPr>
                <w:sz w:val="19"/>
                <w:szCs w:val="19"/>
                <w:color w:val="auto"/>
              </w:rPr>
            </w:pPr>
          </w:p>
        </w:tc>
        <w:tc>
          <w:tcPr>
            <w:tcW w:w="1940" w:type="dxa"/>
            <w:vAlign w:val="bottom"/>
          </w:tcPr>
          <w:p>
            <w:pPr>
              <w:jc w:val="right"/>
              <w:ind w:right="57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551"/>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460" w:type="dxa"/>
            <w:vAlign w:val="bottom"/>
          </w:tcPr>
          <w:p>
            <w:pPr>
              <w:ind w:left="680"/>
              <w:spacing w:after="0"/>
              <w:rPr>
                <w:sz w:val="20"/>
                <w:szCs w:val="20"/>
                <w:color w:val="auto"/>
              </w:rPr>
            </w:pPr>
            <w:r>
              <w:rPr>
                <w:rFonts w:ascii="Arial" w:cs="Arial" w:eastAsia="Arial" w:hAnsi="Arial"/>
                <w:sz w:val="18"/>
                <w:szCs w:val="18"/>
                <w:color w:val="auto"/>
              </w:rPr>
              <w:t>Africa</w:t>
            </w:r>
          </w:p>
        </w:tc>
        <w:tc>
          <w:tcPr>
            <w:tcW w:w="2480" w:type="dxa"/>
            <w:vAlign w:val="bottom"/>
          </w:tcPr>
          <w:p>
            <w:pPr>
              <w:spacing w:after="0"/>
              <w:rPr>
                <w:sz w:val="19"/>
                <w:szCs w:val="19"/>
                <w:color w:val="auto"/>
              </w:rPr>
            </w:pPr>
          </w:p>
        </w:tc>
        <w:tc>
          <w:tcPr>
            <w:tcW w:w="1940" w:type="dxa"/>
            <w:vAlign w:val="bottom"/>
          </w:tcPr>
          <w:p>
            <w:pPr>
              <w:jc w:val="right"/>
              <w:ind w:right="57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551"/>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460" w:type="dxa"/>
            <w:vAlign w:val="bottom"/>
          </w:tcPr>
          <w:p>
            <w:pPr>
              <w:ind w:left="680"/>
              <w:spacing w:after="0"/>
              <w:rPr>
                <w:sz w:val="20"/>
                <w:szCs w:val="20"/>
                <w:color w:val="auto"/>
              </w:rPr>
            </w:pPr>
            <w:r>
              <w:rPr>
                <w:rFonts w:ascii="Arial" w:cs="Arial" w:eastAsia="Arial" w:hAnsi="Arial"/>
                <w:sz w:val="18"/>
                <w:szCs w:val="18"/>
                <w:color w:val="auto"/>
              </w:rPr>
              <w:t>Asia</w:t>
            </w:r>
          </w:p>
        </w:tc>
        <w:tc>
          <w:tcPr>
            <w:tcW w:w="2480" w:type="dxa"/>
            <w:vAlign w:val="bottom"/>
          </w:tcPr>
          <w:p>
            <w:pPr>
              <w:spacing w:after="0"/>
              <w:rPr>
                <w:sz w:val="20"/>
                <w:szCs w:val="20"/>
                <w:color w:val="auto"/>
              </w:rPr>
            </w:pPr>
          </w:p>
        </w:tc>
        <w:tc>
          <w:tcPr>
            <w:tcW w:w="19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ind w:right="551"/>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460" w:type="dxa"/>
            <w:vAlign w:val="bottom"/>
          </w:tcPr>
          <w:p>
            <w:pPr>
              <w:ind w:left="1120"/>
              <w:spacing w:after="0"/>
              <w:rPr>
                <w:sz w:val="20"/>
                <w:szCs w:val="20"/>
                <w:color w:val="auto"/>
              </w:rPr>
            </w:pPr>
            <w:r>
              <w:rPr>
                <w:rFonts w:ascii="Arial" w:cs="Arial" w:eastAsia="Arial" w:hAnsi="Arial"/>
                <w:sz w:val="18"/>
                <w:szCs w:val="18"/>
                <w:color w:val="auto"/>
              </w:rPr>
              <w:t>Total Equity Companies</w:t>
            </w:r>
          </w:p>
        </w:tc>
        <w:tc>
          <w:tcPr>
            <w:tcW w:w="2480" w:type="dxa"/>
            <w:vAlign w:val="bottom"/>
          </w:tcPr>
          <w:p>
            <w:pPr>
              <w:spacing w:after="0"/>
              <w:rPr>
                <w:sz w:val="19"/>
                <w:szCs w:val="19"/>
                <w:color w:val="auto"/>
              </w:rPr>
            </w:pPr>
          </w:p>
        </w:tc>
        <w:tc>
          <w:tcPr>
            <w:tcW w:w="19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ind w:right="551"/>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4460" w:type="dxa"/>
            <w:vAlign w:val="bottom"/>
          </w:tcPr>
          <w:p>
            <w:pPr>
              <w:ind w:left="20"/>
              <w:spacing w:after="0"/>
              <w:rPr>
                <w:sz w:val="20"/>
                <w:szCs w:val="20"/>
                <w:color w:val="auto"/>
              </w:rPr>
            </w:pPr>
            <w:r>
              <w:rPr>
                <w:rFonts w:ascii="Arial" w:cs="Arial" w:eastAsia="Arial" w:hAnsi="Arial"/>
                <w:sz w:val="18"/>
                <w:szCs w:val="18"/>
                <w:b w:val="1"/>
                <w:bCs w:val="1"/>
                <w:color w:val="auto"/>
              </w:rPr>
              <w:t>Total productive exploratory wells drilled</w:t>
            </w:r>
          </w:p>
        </w:tc>
        <w:tc>
          <w:tcPr>
            <w:tcW w:w="2480" w:type="dxa"/>
            <w:vAlign w:val="bottom"/>
          </w:tcPr>
          <w:p>
            <w:pPr>
              <w:spacing w:after="0"/>
              <w:rPr>
                <w:sz w:val="19"/>
                <w:szCs w:val="19"/>
                <w:color w:val="auto"/>
              </w:rPr>
            </w:pPr>
          </w:p>
        </w:tc>
        <w:tc>
          <w:tcPr>
            <w:tcW w:w="1940" w:type="dxa"/>
            <w:vAlign w:val="bottom"/>
          </w:tcPr>
          <w:p>
            <w:pPr>
              <w:jc w:val="right"/>
              <w:ind w:right="570"/>
              <w:spacing w:after="0"/>
              <w:rPr>
                <w:sz w:val="20"/>
                <w:szCs w:val="20"/>
                <w:color w:val="auto"/>
              </w:rPr>
            </w:pPr>
            <w:r>
              <w:rPr>
                <w:rFonts w:ascii="Arial" w:cs="Arial" w:eastAsia="Arial" w:hAnsi="Arial"/>
                <w:sz w:val="18"/>
                <w:szCs w:val="18"/>
                <w:color w:val="auto"/>
              </w:rPr>
              <w:t>6</w:t>
            </w:r>
          </w:p>
        </w:tc>
        <w:tc>
          <w:tcPr>
            <w:tcW w:w="1460" w:type="dxa"/>
            <w:vAlign w:val="bottom"/>
          </w:tcPr>
          <w:p>
            <w:pPr>
              <w:jc w:val="right"/>
              <w:ind w:right="551"/>
              <w:spacing w:after="0"/>
              <w:rPr>
                <w:sz w:val="20"/>
                <w:szCs w:val="20"/>
                <w:color w:val="auto"/>
              </w:rPr>
            </w:pPr>
            <w:r>
              <w:rPr>
                <w:rFonts w:ascii="Arial" w:cs="Arial" w:eastAsia="Arial" w:hAnsi="Arial"/>
                <w:sz w:val="18"/>
                <w:szCs w:val="18"/>
                <w:color w:val="auto"/>
              </w:rPr>
              <w:t>7</w:t>
            </w:r>
          </w:p>
        </w:tc>
        <w:tc>
          <w:tcPr>
            <w:tcW w:w="9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480"/>
        </w:trPr>
        <w:tc>
          <w:tcPr>
            <w:tcW w:w="4460" w:type="dxa"/>
            <w:vAlign w:val="bottom"/>
          </w:tcPr>
          <w:p>
            <w:pPr>
              <w:ind w:left="20"/>
              <w:spacing w:after="0"/>
              <w:rPr>
                <w:sz w:val="20"/>
                <w:szCs w:val="20"/>
                <w:color w:val="auto"/>
              </w:rPr>
            </w:pPr>
            <w:r>
              <w:rPr>
                <w:rFonts w:ascii="Arial" w:cs="Arial" w:eastAsia="Arial" w:hAnsi="Arial"/>
                <w:sz w:val="18"/>
                <w:szCs w:val="18"/>
                <w:b w:val="1"/>
                <w:bCs w:val="1"/>
                <w:color w:val="auto"/>
              </w:rPr>
              <w:t>Net Dry Exploratory Wells Drilled</w:t>
            </w:r>
          </w:p>
        </w:tc>
        <w:tc>
          <w:tcPr>
            <w:tcW w:w="24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33"/>
        </w:trPr>
        <w:tc>
          <w:tcPr>
            <w:tcW w:w="4460" w:type="dxa"/>
            <w:vAlign w:val="bottom"/>
          </w:tcPr>
          <w:p>
            <w:pPr>
              <w:ind w:left="220"/>
              <w:spacing w:after="0"/>
              <w:rPr>
                <w:sz w:val="20"/>
                <w:szCs w:val="20"/>
                <w:color w:val="auto"/>
              </w:rPr>
            </w:pPr>
            <w:r>
              <w:rPr>
                <w:rFonts w:ascii="Arial" w:cs="Arial" w:eastAsia="Arial" w:hAnsi="Arial"/>
                <w:sz w:val="18"/>
                <w:szCs w:val="18"/>
                <w:b w:val="1"/>
                <w:bCs w:val="1"/>
                <w:color w:val="auto"/>
              </w:rPr>
              <w:t>Consolidated Subsidiaries</w:t>
            </w:r>
          </w:p>
        </w:tc>
        <w:tc>
          <w:tcPr>
            <w:tcW w:w="24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30"/>
        </w:trPr>
        <w:tc>
          <w:tcPr>
            <w:tcW w:w="4460" w:type="dxa"/>
            <w:vAlign w:val="bottom"/>
          </w:tcPr>
          <w:p>
            <w:pPr>
              <w:ind w:left="680"/>
              <w:spacing w:after="0"/>
              <w:rPr>
                <w:sz w:val="20"/>
                <w:szCs w:val="20"/>
                <w:color w:val="auto"/>
              </w:rPr>
            </w:pPr>
            <w:r>
              <w:rPr>
                <w:rFonts w:ascii="Arial" w:cs="Arial" w:eastAsia="Arial" w:hAnsi="Arial"/>
                <w:sz w:val="18"/>
                <w:szCs w:val="18"/>
                <w:color w:val="auto"/>
              </w:rPr>
              <w:t>United States</w:t>
            </w:r>
          </w:p>
        </w:tc>
        <w:tc>
          <w:tcPr>
            <w:tcW w:w="4420" w:type="dxa"/>
            <w:vAlign w:val="bottom"/>
            <w:gridSpan w:val="2"/>
          </w:tcPr>
          <w:p>
            <w:pPr>
              <w:jc w:val="right"/>
              <w:ind w:right="570"/>
              <w:spacing w:after="0"/>
              <w:rPr>
                <w:sz w:val="20"/>
                <w:szCs w:val="20"/>
                <w:color w:val="auto"/>
              </w:rPr>
            </w:pPr>
            <w:r>
              <w:rPr>
                <w:rFonts w:ascii="Arial" w:cs="Arial" w:eastAsia="Arial" w:hAnsi="Arial"/>
                <w:sz w:val="18"/>
                <w:szCs w:val="18"/>
                <w:color w:val="auto"/>
              </w:rPr>
              <w:t>1</w:t>
            </w:r>
          </w:p>
        </w:tc>
        <w:tc>
          <w:tcPr>
            <w:tcW w:w="1460" w:type="dxa"/>
            <w:vAlign w:val="bottom"/>
          </w:tcPr>
          <w:p>
            <w:pPr>
              <w:jc w:val="right"/>
              <w:ind w:right="551"/>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460" w:type="dxa"/>
            <w:vAlign w:val="bottom"/>
          </w:tcPr>
          <w:p>
            <w:pPr>
              <w:ind w:left="680"/>
              <w:spacing w:after="0"/>
              <w:rPr>
                <w:sz w:val="20"/>
                <w:szCs w:val="20"/>
                <w:color w:val="auto"/>
              </w:rPr>
            </w:pPr>
            <w:r>
              <w:rPr>
                <w:rFonts w:ascii="Arial" w:cs="Arial" w:eastAsia="Arial" w:hAnsi="Arial"/>
                <w:sz w:val="18"/>
                <w:szCs w:val="18"/>
                <w:color w:val="auto"/>
              </w:rPr>
              <w:t>Canada/Other Americas</w:t>
            </w:r>
          </w:p>
        </w:tc>
        <w:tc>
          <w:tcPr>
            <w:tcW w:w="4420" w:type="dxa"/>
            <w:vAlign w:val="bottom"/>
            <w:gridSpan w:val="2"/>
          </w:tcPr>
          <w:p>
            <w:pPr>
              <w:jc w:val="right"/>
              <w:ind w:right="570"/>
              <w:spacing w:after="0"/>
              <w:rPr>
                <w:sz w:val="20"/>
                <w:szCs w:val="20"/>
                <w:color w:val="auto"/>
              </w:rPr>
            </w:pPr>
            <w:r>
              <w:rPr>
                <w:rFonts w:ascii="Arial" w:cs="Arial" w:eastAsia="Arial" w:hAnsi="Arial"/>
                <w:sz w:val="18"/>
                <w:szCs w:val="18"/>
                <w:color w:val="auto"/>
              </w:rPr>
              <w:t>3</w:t>
            </w:r>
          </w:p>
        </w:tc>
        <w:tc>
          <w:tcPr>
            <w:tcW w:w="1460" w:type="dxa"/>
            <w:vAlign w:val="bottom"/>
          </w:tcPr>
          <w:p>
            <w:pPr>
              <w:jc w:val="right"/>
              <w:ind w:right="551"/>
              <w:spacing w:after="0"/>
              <w:rPr>
                <w:sz w:val="20"/>
                <w:szCs w:val="20"/>
                <w:color w:val="auto"/>
              </w:rPr>
            </w:pPr>
            <w:r>
              <w:rPr>
                <w:rFonts w:ascii="Arial" w:cs="Arial" w:eastAsia="Arial" w:hAnsi="Arial"/>
                <w:sz w:val="18"/>
                <w:szCs w:val="18"/>
                <w:color w:val="auto"/>
              </w:rPr>
              <w:t>1</w:t>
            </w: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4460" w:type="dxa"/>
            <w:vAlign w:val="bottom"/>
          </w:tcPr>
          <w:p>
            <w:pPr>
              <w:ind w:left="680"/>
              <w:spacing w:after="0"/>
              <w:rPr>
                <w:sz w:val="20"/>
                <w:szCs w:val="20"/>
                <w:color w:val="auto"/>
              </w:rPr>
            </w:pPr>
            <w:r>
              <w:rPr>
                <w:rFonts w:ascii="Arial" w:cs="Arial" w:eastAsia="Arial" w:hAnsi="Arial"/>
                <w:sz w:val="18"/>
                <w:szCs w:val="18"/>
                <w:color w:val="auto"/>
              </w:rPr>
              <w:t>Europe</w:t>
            </w:r>
          </w:p>
        </w:tc>
        <w:tc>
          <w:tcPr>
            <w:tcW w:w="2480" w:type="dxa"/>
            <w:vAlign w:val="bottom"/>
          </w:tcPr>
          <w:p>
            <w:pPr>
              <w:spacing w:after="0"/>
              <w:rPr>
                <w:sz w:val="19"/>
                <w:szCs w:val="19"/>
                <w:color w:val="auto"/>
              </w:rPr>
            </w:pPr>
          </w:p>
        </w:tc>
        <w:tc>
          <w:tcPr>
            <w:tcW w:w="1940" w:type="dxa"/>
            <w:vAlign w:val="bottom"/>
          </w:tcPr>
          <w:p>
            <w:pPr>
              <w:jc w:val="right"/>
              <w:ind w:right="57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551"/>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4460" w:type="dxa"/>
            <w:vAlign w:val="bottom"/>
          </w:tcPr>
          <w:p>
            <w:pPr>
              <w:ind w:left="680"/>
              <w:spacing w:after="0"/>
              <w:rPr>
                <w:sz w:val="20"/>
                <w:szCs w:val="20"/>
                <w:color w:val="auto"/>
              </w:rPr>
            </w:pPr>
            <w:r>
              <w:rPr>
                <w:rFonts w:ascii="Arial" w:cs="Arial" w:eastAsia="Arial" w:hAnsi="Arial"/>
                <w:sz w:val="18"/>
                <w:szCs w:val="18"/>
                <w:color w:val="auto"/>
              </w:rPr>
              <w:t>Africa</w:t>
            </w:r>
          </w:p>
        </w:tc>
        <w:tc>
          <w:tcPr>
            <w:tcW w:w="2480" w:type="dxa"/>
            <w:vAlign w:val="bottom"/>
          </w:tcPr>
          <w:p>
            <w:pPr>
              <w:spacing w:after="0"/>
              <w:rPr>
                <w:sz w:val="19"/>
                <w:szCs w:val="19"/>
                <w:color w:val="auto"/>
              </w:rPr>
            </w:pPr>
          </w:p>
        </w:tc>
        <w:tc>
          <w:tcPr>
            <w:tcW w:w="1940" w:type="dxa"/>
            <w:vAlign w:val="bottom"/>
          </w:tcPr>
          <w:p>
            <w:pPr>
              <w:jc w:val="right"/>
              <w:ind w:right="57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551"/>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460" w:type="dxa"/>
            <w:vAlign w:val="bottom"/>
          </w:tcPr>
          <w:p>
            <w:pPr>
              <w:ind w:left="680"/>
              <w:spacing w:after="0"/>
              <w:rPr>
                <w:sz w:val="20"/>
                <w:szCs w:val="20"/>
                <w:color w:val="auto"/>
              </w:rPr>
            </w:pPr>
            <w:r>
              <w:rPr>
                <w:rFonts w:ascii="Arial" w:cs="Arial" w:eastAsia="Arial" w:hAnsi="Arial"/>
                <w:sz w:val="18"/>
                <w:szCs w:val="18"/>
                <w:color w:val="auto"/>
              </w:rPr>
              <w:t>Asia</w:t>
            </w:r>
          </w:p>
        </w:tc>
        <w:tc>
          <w:tcPr>
            <w:tcW w:w="2480" w:type="dxa"/>
            <w:vAlign w:val="bottom"/>
          </w:tcPr>
          <w:p>
            <w:pPr>
              <w:spacing w:after="0"/>
              <w:rPr>
                <w:sz w:val="19"/>
                <w:szCs w:val="19"/>
                <w:color w:val="auto"/>
              </w:rPr>
            </w:pPr>
          </w:p>
        </w:tc>
        <w:tc>
          <w:tcPr>
            <w:tcW w:w="1940" w:type="dxa"/>
            <w:vAlign w:val="bottom"/>
          </w:tcPr>
          <w:p>
            <w:pPr>
              <w:jc w:val="right"/>
              <w:ind w:right="57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551"/>
              <w:spacing w:after="0"/>
              <w:rPr>
                <w:sz w:val="20"/>
                <w:szCs w:val="20"/>
                <w:color w:val="auto"/>
              </w:rPr>
            </w:pPr>
            <w:r>
              <w:rPr>
                <w:rFonts w:ascii="Arial" w:cs="Arial" w:eastAsia="Arial" w:hAnsi="Arial"/>
                <w:sz w:val="18"/>
                <w:szCs w:val="18"/>
                <w:color w:val="auto"/>
              </w:rPr>
              <w:t>1</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460" w:type="dxa"/>
            <w:vAlign w:val="bottom"/>
          </w:tcPr>
          <w:p>
            <w:pPr>
              <w:ind w:left="680"/>
              <w:spacing w:after="0"/>
              <w:rPr>
                <w:sz w:val="20"/>
                <w:szCs w:val="20"/>
                <w:color w:val="auto"/>
              </w:rPr>
            </w:pPr>
            <w:r>
              <w:rPr>
                <w:rFonts w:ascii="Arial" w:cs="Arial" w:eastAsia="Arial" w:hAnsi="Arial"/>
                <w:sz w:val="18"/>
                <w:szCs w:val="18"/>
                <w:color w:val="auto"/>
              </w:rPr>
              <w:t>Australia/Oceania</w:t>
            </w:r>
          </w:p>
        </w:tc>
        <w:tc>
          <w:tcPr>
            <w:tcW w:w="2480" w:type="dxa"/>
            <w:vAlign w:val="bottom"/>
          </w:tcPr>
          <w:p>
            <w:pPr>
              <w:spacing w:after="0"/>
              <w:rPr>
                <w:sz w:val="20"/>
                <w:szCs w:val="20"/>
                <w:color w:val="auto"/>
              </w:rPr>
            </w:pPr>
          </w:p>
        </w:tc>
        <w:tc>
          <w:tcPr>
            <w:tcW w:w="19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ind w:right="551"/>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24"/>
        </w:trPr>
        <w:tc>
          <w:tcPr>
            <w:tcW w:w="4460" w:type="dxa"/>
            <w:vAlign w:val="bottom"/>
          </w:tcPr>
          <w:p>
            <w:pPr>
              <w:ind w:left="1120"/>
              <w:spacing w:after="0"/>
              <w:rPr>
                <w:sz w:val="20"/>
                <w:szCs w:val="20"/>
                <w:color w:val="auto"/>
              </w:rPr>
            </w:pPr>
            <w:r>
              <w:rPr>
                <w:rFonts w:ascii="Arial" w:cs="Arial" w:eastAsia="Arial" w:hAnsi="Arial"/>
                <w:sz w:val="18"/>
                <w:szCs w:val="18"/>
                <w:color w:val="auto"/>
              </w:rPr>
              <w:t>Total Consolidated Subsidiaries</w:t>
            </w:r>
          </w:p>
        </w:tc>
        <w:tc>
          <w:tcPr>
            <w:tcW w:w="2480" w:type="dxa"/>
            <w:vAlign w:val="bottom"/>
          </w:tcPr>
          <w:p>
            <w:pPr>
              <w:spacing w:after="0"/>
              <w:rPr>
                <w:sz w:val="19"/>
                <w:szCs w:val="19"/>
                <w:color w:val="auto"/>
              </w:rPr>
            </w:pPr>
          </w:p>
        </w:tc>
        <w:tc>
          <w:tcPr>
            <w:tcW w:w="1940" w:type="dxa"/>
            <w:vAlign w:val="bottom"/>
          </w:tcPr>
          <w:p>
            <w:pPr>
              <w:jc w:val="right"/>
              <w:ind w:right="570"/>
              <w:spacing w:after="0"/>
              <w:rPr>
                <w:sz w:val="20"/>
                <w:szCs w:val="20"/>
                <w:color w:val="auto"/>
              </w:rPr>
            </w:pPr>
            <w:r>
              <w:rPr>
                <w:rFonts w:ascii="Arial" w:cs="Arial" w:eastAsia="Arial" w:hAnsi="Arial"/>
                <w:sz w:val="18"/>
                <w:szCs w:val="18"/>
                <w:color w:val="auto"/>
              </w:rPr>
              <w:t>4</w:t>
            </w:r>
          </w:p>
        </w:tc>
        <w:tc>
          <w:tcPr>
            <w:tcW w:w="1460" w:type="dxa"/>
            <w:vAlign w:val="bottom"/>
          </w:tcPr>
          <w:p>
            <w:pPr>
              <w:jc w:val="right"/>
              <w:ind w:right="551"/>
              <w:spacing w:after="0"/>
              <w:rPr>
                <w:sz w:val="20"/>
                <w:szCs w:val="20"/>
                <w:color w:val="auto"/>
              </w:rPr>
            </w:pPr>
            <w:r>
              <w:rPr>
                <w:rFonts w:ascii="Arial" w:cs="Arial" w:eastAsia="Arial" w:hAnsi="Arial"/>
                <w:sz w:val="18"/>
                <w:szCs w:val="18"/>
                <w:color w:val="auto"/>
              </w:rPr>
              <w:t>2</w:t>
            </w: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84"/>
        </w:trPr>
        <w:tc>
          <w:tcPr>
            <w:tcW w:w="4460" w:type="dxa"/>
            <w:vAlign w:val="bottom"/>
          </w:tcPr>
          <w:p>
            <w:pPr>
              <w:ind w:left="220"/>
              <w:spacing w:after="0"/>
              <w:rPr>
                <w:sz w:val="20"/>
                <w:szCs w:val="20"/>
                <w:color w:val="auto"/>
              </w:rPr>
            </w:pPr>
            <w:r>
              <w:rPr>
                <w:rFonts w:ascii="Arial" w:cs="Arial" w:eastAsia="Arial" w:hAnsi="Arial"/>
                <w:sz w:val="18"/>
                <w:szCs w:val="18"/>
                <w:b w:val="1"/>
                <w:bCs w:val="1"/>
                <w:color w:val="auto"/>
              </w:rPr>
              <w:t>Equity Companies</w:t>
            </w:r>
          </w:p>
        </w:tc>
        <w:tc>
          <w:tcPr>
            <w:tcW w:w="24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29"/>
        </w:trPr>
        <w:tc>
          <w:tcPr>
            <w:tcW w:w="4460" w:type="dxa"/>
            <w:vAlign w:val="bottom"/>
          </w:tcPr>
          <w:p>
            <w:pPr>
              <w:ind w:left="680"/>
              <w:spacing w:after="0"/>
              <w:rPr>
                <w:sz w:val="20"/>
                <w:szCs w:val="20"/>
                <w:color w:val="auto"/>
              </w:rPr>
            </w:pPr>
            <w:r>
              <w:rPr>
                <w:rFonts w:ascii="Arial" w:cs="Arial" w:eastAsia="Arial" w:hAnsi="Arial"/>
                <w:sz w:val="18"/>
                <w:szCs w:val="18"/>
                <w:color w:val="auto"/>
              </w:rPr>
              <w:t>United States</w:t>
            </w:r>
          </w:p>
        </w:tc>
        <w:tc>
          <w:tcPr>
            <w:tcW w:w="2480" w:type="dxa"/>
            <w:vAlign w:val="bottom"/>
          </w:tcPr>
          <w:p>
            <w:pPr>
              <w:spacing w:after="0"/>
              <w:rPr>
                <w:sz w:val="19"/>
                <w:szCs w:val="19"/>
                <w:color w:val="auto"/>
              </w:rPr>
            </w:pPr>
          </w:p>
        </w:tc>
        <w:tc>
          <w:tcPr>
            <w:tcW w:w="1940" w:type="dxa"/>
            <w:vAlign w:val="bottom"/>
          </w:tcPr>
          <w:p>
            <w:pPr>
              <w:jc w:val="right"/>
              <w:ind w:right="57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551"/>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460" w:type="dxa"/>
            <w:vAlign w:val="bottom"/>
          </w:tcPr>
          <w:p>
            <w:pPr>
              <w:ind w:left="680"/>
              <w:spacing w:after="0"/>
              <w:rPr>
                <w:sz w:val="20"/>
                <w:szCs w:val="20"/>
                <w:color w:val="auto"/>
              </w:rPr>
            </w:pPr>
            <w:r>
              <w:rPr>
                <w:rFonts w:ascii="Arial" w:cs="Arial" w:eastAsia="Arial" w:hAnsi="Arial"/>
                <w:sz w:val="18"/>
                <w:szCs w:val="18"/>
                <w:color w:val="auto"/>
              </w:rPr>
              <w:t>Europe</w:t>
            </w:r>
          </w:p>
        </w:tc>
        <w:tc>
          <w:tcPr>
            <w:tcW w:w="2480" w:type="dxa"/>
            <w:vAlign w:val="bottom"/>
          </w:tcPr>
          <w:p>
            <w:pPr>
              <w:spacing w:after="0"/>
              <w:rPr>
                <w:sz w:val="19"/>
                <w:szCs w:val="19"/>
                <w:color w:val="auto"/>
              </w:rPr>
            </w:pPr>
          </w:p>
        </w:tc>
        <w:tc>
          <w:tcPr>
            <w:tcW w:w="1940" w:type="dxa"/>
            <w:vAlign w:val="bottom"/>
          </w:tcPr>
          <w:p>
            <w:pPr>
              <w:jc w:val="right"/>
              <w:ind w:right="57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551"/>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460" w:type="dxa"/>
            <w:vAlign w:val="bottom"/>
          </w:tcPr>
          <w:p>
            <w:pPr>
              <w:ind w:left="680"/>
              <w:spacing w:after="0"/>
              <w:rPr>
                <w:sz w:val="20"/>
                <w:szCs w:val="20"/>
                <w:color w:val="auto"/>
              </w:rPr>
            </w:pPr>
            <w:r>
              <w:rPr>
                <w:rFonts w:ascii="Arial" w:cs="Arial" w:eastAsia="Arial" w:hAnsi="Arial"/>
                <w:sz w:val="18"/>
                <w:szCs w:val="18"/>
                <w:color w:val="auto"/>
              </w:rPr>
              <w:t>Africa</w:t>
            </w:r>
          </w:p>
        </w:tc>
        <w:tc>
          <w:tcPr>
            <w:tcW w:w="2480" w:type="dxa"/>
            <w:vAlign w:val="bottom"/>
          </w:tcPr>
          <w:p>
            <w:pPr>
              <w:spacing w:after="0"/>
              <w:rPr>
                <w:sz w:val="19"/>
                <w:szCs w:val="19"/>
                <w:color w:val="auto"/>
              </w:rPr>
            </w:pPr>
          </w:p>
        </w:tc>
        <w:tc>
          <w:tcPr>
            <w:tcW w:w="1940" w:type="dxa"/>
            <w:vAlign w:val="bottom"/>
          </w:tcPr>
          <w:p>
            <w:pPr>
              <w:jc w:val="right"/>
              <w:ind w:right="57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551"/>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460" w:type="dxa"/>
            <w:vAlign w:val="bottom"/>
          </w:tcPr>
          <w:p>
            <w:pPr>
              <w:ind w:left="680"/>
              <w:spacing w:after="0"/>
              <w:rPr>
                <w:sz w:val="20"/>
                <w:szCs w:val="20"/>
                <w:color w:val="auto"/>
              </w:rPr>
            </w:pPr>
            <w:r>
              <w:rPr>
                <w:rFonts w:ascii="Arial" w:cs="Arial" w:eastAsia="Arial" w:hAnsi="Arial"/>
                <w:sz w:val="18"/>
                <w:szCs w:val="18"/>
                <w:color w:val="auto"/>
              </w:rPr>
              <w:t>Asia</w:t>
            </w:r>
          </w:p>
        </w:tc>
        <w:tc>
          <w:tcPr>
            <w:tcW w:w="2480" w:type="dxa"/>
            <w:vAlign w:val="bottom"/>
          </w:tcPr>
          <w:p>
            <w:pPr>
              <w:spacing w:after="0"/>
              <w:rPr>
                <w:sz w:val="20"/>
                <w:szCs w:val="20"/>
                <w:color w:val="auto"/>
              </w:rPr>
            </w:pPr>
          </w:p>
        </w:tc>
        <w:tc>
          <w:tcPr>
            <w:tcW w:w="19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ind w:right="551"/>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460" w:type="dxa"/>
            <w:vAlign w:val="bottom"/>
          </w:tcPr>
          <w:p>
            <w:pPr>
              <w:ind w:left="1120"/>
              <w:spacing w:after="0"/>
              <w:rPr>
                <w:sz w:val="20"/>
                <w:szCs w:val="20"/>
                <w:color w:val="auto"/>
              </w:rPr>
            </w:pPr>
            <w:r>
              <w:rPr>
                <w:rFonts w:ascii="Arial" w:cs="Arial" w:eastAsia="Arial" w:hAnsi="Arial"/>
                <w:sz w:val="18"/>
                <w:szCs w:val="18"/>
                <w:color w:val="auto"/>
              </w:rPr>
              <w:t>Total Equity Companies</w:t>
            </w:r>
          </w:p>
        </w:tc>
        <w:tc>
          <w:tcPr>
            <w:tcW w:w="2480" w:type="dxa"/>
            <w:vAlign w:val="bottom"/>
          </w:tcPr>
          <w:p>
            <w:pPr>
              <w:spacing w:after="0"/>
              <w:rPr>
                <w:sz w:val="19"/>
                <w:szCs w:val="19"/>
                <w:color w:val="auto"/>
              </w:rPr>
            </w:pPr>
          </w:p>
        </w:tc>
        <w:tc>
          <w:tcPr>
            <w:tcW w:w="19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ind w:right="551"/>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4460" w:type="dxa"/>
            <w:vAlign w:val="bottom"/>
          </w:tcPr>
          <w:p>
            <w:pPr>
              <w:ind w:left="20"/>
              <w:spacing w:after="0"/>
              <w:rPr>
                <w:sz w:val="20"/>
                <w:szCs w:val="20"/>
                <w:color w:val="auto"/>
              </w:rPr>
            </w:pPr>
            <w:r>
              <w:rPr>
                <w:rFonts w:ascii="Arial" w:cs="Arial" w:eastAsia="Arial" w:hAnsi="Arial"/>
                <w:sz w:val="18"/>
                <w:szCs w:val="18"/>
                <w:b w:val="1"/>
                <w:bCs w:val="1"/>
                <w:color w:val="auto"/>
              </w:rPr>
              <w:t>Total dry exploratory wells drilled</w:t>
            </w:r>
          </w:p>
        </w:tc>
        <w:tc>
          <w:tcPr>
            <w:tcW w:w="2480" w:type="dxa"/>
            <w:vAlign w:val="bottom"/>
          </w:tcPr>
          <w:p>
            <w:pPr>
              <w:spacing w:after="0"/>
              <w:rPr>
                <w:sz w:val="19"/>
                <w:szCs w:val="19"/>
                <w:color w:val="auto"/>
              </w:rPr>
            </w:pPr>
          </w:p>
        </w:tc>
        <w:tc>
          <w:tcPr>
            <w:tcW w:w="1940" w:type="dxa"/>
            <w:vAlign w:val="bottom"/>
          </w:tcPr>
          <w:p>
            <w:pPr>
              <w:jc w:val="right"/>
              <w:ind w:right="570"/>
              <w:spacing w:after="0"/>
              <w:rPr>
                <w:sz w:val="20"/>
                <w:szCs w:val="20"/>
                <w:color w:val="auto"/>
              </w:rPr>
            </w:pPr>
            <w:r>
              <w:rPr>
                <w:rFonts w:ascii="Arial" w:cs="Arial" w:eastAsia="Arial" w:hAnsi="Arial"/>
                <w:sz w:val="18"/>
                <w:szCs w:val="18"/>
                <w:color w:val="auto"/>
              </w:rPr>
              <w:t>4</w:t>
            </w:r>
          </w:p>
        </w:tc>
        <w:tc>
          <w:tcPr>
            <w:tcW w:w="1460" w:type="dxa"/>
            <w:vAlign w:val="bottom"/>
          </w:tcPr>
          <w:p>
            <w:pPr>
              <w:jc w:val="right"/>
              <w:ind w:right="551"/>
              <w:spacing w:after="0"/>
              <w:rPr>
                <w:sz w:val="20"/>
                <w:szCs w:val="20"/>
                <w:color w:val="auto"/>
              </w:rPr>
            </w:pPr>
            <w:r>
              <w:rPr>
                <w:rFonts w:ascii="Arial" w:cs="Arial" w:eastAsia="Arial" w:hAnsi="Arial"/>
                <w:sz w:val="18"/>
                <w:szCs w:val="18"/>
                <w:color w:val="auto"/>
              </w:rPr>
              <w:t>2</w:t>
            </w: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755"/>
        </w:trPr>
        <w:tc>
          <w:tcPr>
            <w:tcW w:w="4460" w:type="dxa"/>
            <w:vAlign w:val="bottom"/>
          </w:tcPr>
          <w:p>
            <w:pPr>
              <w:spacing w:after="0"/>
              <w:rPr>
                <w:sz w:val="24"/>
                <w:szCs w:val="24"/>
                <w:color w:val="auto"/>
              </w:rPr>
            </w:pPr>
          </w:p>
        </w:tc>
        <w:tc>
          <w:tcPr>
            <w:tcW w:w="2480" w:type="dxa"/>
            <w:vAlign w:val="bottom"/>
          </w:tcPr>
          <w:p>
            <w:pPr>
              <w:jc w:val="right"/>
              <w:ind w:right="1133"/>
              <w:spacing w:after="0"/>
              <w:rPr>
                <w:sz w:val="20"/>
                <w:szCs w:val="20"/>
                <w:color w:val="auto"/>
              </w:rPr>
            </w:pPr>
            <w:r>
              <w:rPr>
                <w:rFonts w:ascii="Arial" w:cs="Arial" w:eastAsia="Arial" w:hAnsi="Arial"/>
                <w:sz w:val="18"/>
                <w:szCs w:val="18"/>
                <w:color w:val="auto"/>
              </w:rPr>
              <w:t>13</w:t>
            </w:r>
          </w:p>
        </w:tc>
        <w:tc>
          <w:tcPr>
            <w:tcW w:w="1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01"/>
        </w:trPr>
        <w:tc>
          <w:tcPr>
            <w:tcW w:w="4460" w:type="dxa"/>
            <w:vAlign w:val="bottom"/>
            <w:tcBorders>
              <w:bottom w:val="single" w:sz="8" w:color="9A9A9A"/>
            </w:tcBorders>
          </w:tcPr>
          <w:p>
            <w:pPr>
              <w:spacing w:after="0"/>
              <w:rPr>
                <w:sz w:val="8"/>
                <w:szCs w:val="8"/>
                <w:color w:val="auto"/>
              </w:rPr>
            </w:pPr>
          </w:p>
        </w:tc>
        <w:tc>
          <w:tcPr>
            <w:tcW w:w="2480" w:type="dxa"/>
            <w:vAlign w:val="bottom"/>
            <w:tcBorders>
              <w:bottom w:val="single" w:sz="8" w:color="9A9A9A"/>
            </w:tcBorders>
          </w:tcPr>
          <w:p>
            <w:pPr>
              <w:spacing w:after="0"/>
              <w:rPr>
                <w:sz w:val="8"/>
                <w:szCs w:val="8"/>
                <w:color w:val="auto"/>
              </w:rPr>
            </w:pPr>
          </w:p>
        </w:tc>
        <w:tc>
          <w:tcPr>
            <w:tcW w:w="1940" w:type="dxa"/>
            <w:vAlign w:val="bottom"/>
            <w:tcBorders>
              <w:bottom w:val="single" w:sz="8" w:color="9A9A9A"/>
            </w:tcBorders>
          </w:tcPr>
          <w:p>
            <w:pPr>
              <w:spacing w:after="0"/>
              <w:rPr>
                <w:sz w:val="8"/>
                <w:szCs w:val="8"/>
                <w:color w:val="auto"/>
              </w:rPr>
            </w:pPr>
          </w:p>
        </w:tc>
        <w:tc>
          <w:tcPr>
            <w:tcW w:w="146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92"/>
        </w:trPr>
        <w:tc>
          <w:tcPr>
            <w:tcW w:w="4460" w:type="dxa"/>
            <w:vAlign w:val="bottom"/>
            <w:tcBorders>
              <w:bottom w:val="single" w:sz="8" w:color="auto"/>
            </w:tcBorders>
          </w:tcPr>
          <w:p>
            <w:pPr>
              <w:spacing w:after="0"/>
              <w:rPr>
                <w:sz w:val="16"/>
                <w:szCs w:val="16"/>
                <w:color w:val="auto"/>
              </w:rPr>
            </w:pPr>
          </w:p>
        </w:tc>
        <w:tc>
          <w:tcPr>
            <w:tcW w:w="4400" w:type="dxa"/>
            <w:vAlign w:val="bottom"/>
            <w:tcBorders>
              <w:bottom w:val="single" w:sz="8" w:color="auto"/>
            </w:tcBorders>
            <w:gridSpan w:val="2"/>
          </w:tcPr>
          <w:p>
            <w:pPr>
              <w:jc w:val="right"/>
              <w:ind w:right="490"/>
              <w:spacing w:after="0"/>
              <w:rPr>
                <w:sz w:val="20"/>
                <w:szCs w:val="20"/>
                <w:color w:val="auto"/>
              </w:rPr>
            </w:pPr>
            <w:r>
              <w:rPr>
                <w:rFonts w:ascii="Arial" w:cs="Arial" w:eastAsia="Arial" w:hAnsi="Arial"/>
                <w:sz w:val="14"/>
                <w:szCs w:val="14"/>
                <w:b w:val="1"/>
                <w:bCs w:val="1"/>
                <w:color w:val="auto"/>
              </w:rPr>
              <w:t>2021</w:t>
            </w:r>
          </w:p>
        </w:tc>
        <w:tc>
          <w:tcPr>
            <w:tcW w:w="146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2020</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r>
      <w:tr>
        <w:trPr>
          <w:trHeight w:val="224"/>
        </w:trPr>
        <w:tc>
          <w:tcPr>
            <w:tcW w:w="4460" w:type="dxa"/>
            <w:vAlign w:val="bottom"/>
          </w:tcPr>
          <w:p>
            <w:pPr>
              <w:ind w:left="20"/>
              <w:spacing w:after="0"/>
              <w:rPr>
                <w:sz w:val="20"/>
                <w:szCs w:val="20"/>
                <w:color w:val="auto"/>
              </w:rPr>
            </w:pPr>
            <w:r>
              <w:rPr>
                <w:rFonts w:ascii="Arial" w:cs="Arial" w:eastAsia="Arial" w:hAnsi="Arial"/>
                <w:sz w:val="18"/>
                <w:szCs w:val="18"/>
                <w:b w:val="1"/>
                <w:bCs w:val="1"/>
                <w:color w:val="auto"/>
              </w:rPr>
              <w:t>Net Productive Development Wells Drilled</w:t>
            </w:r>
          </w:p>
        </w:tc>
        <w:tc>
          <w:tcPr>
            <w:tcW w:w="24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3"/>
        </w:trPr>
        <w:tc>
          <w:tcPr>
            <w:tcW w:w="4460" w:type="dxa"/>
            <w:vAlign w:val="bottom"/>
          </w:tcPr>
          <w:p>
            <w:pPr>
              <w:ind w:left="220"/>
              <w:spacing w:after="0"/>
              <w:rPr>
                <w:sz w:val="20"/>
                <w:szCs w:val="20"/>
                <w:color w:val="auto"/>
              </w:rPr>
            </w:pPr>
            <w:r>
              <w:rPr>
                <w:rFonts w:ascii="Arial" w:cs="Arial" w:eastAsia="Arial" w:hAnsi="Arial"/>
                <w:sz w:val="18"/>
                <w:szCs w:val="18"/>
                <w:b w:val="1"/>
                <w:bCs w:val="1"/>
                <w:color w:val="auto"/>
              </w:rPr>
              <w:t>Consolidated Subsidiaries</w:t>
            </w:r>
          </w:p>
        </w:tc>
        <w:tc>
          <w:tcPr>
            <w:tcW w:w="24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30"/>
        </w:trPr>
        <w:tc>
          <w:tcPr>
            <w:tcW w:w="4460" w:type="dxa"/>
            <w:vAlign w:val="bottom"/>
          </w:tcPr>
          <w:p>
            <w:pPr>
              <w:ind w:left="680"/>
              <w:spacing w:after="0"/>
              <w:rPr>
                <w:sz w:val="20"/>
                <w:szCs w:val="20"/>
                <w:color w:val="auto"/>
              </w:rPr>
            </w:pPr>
            <w:r>
              <w:rPr>
                <w:rFonts w:ascii="Arial" w:cs="Arial" w:eastAsia="Arial" w:hAnsi="Arial"/>
                <w:sz w:val="18"/>
                <w:szCs w:val="18"/>
                <w:color w:val="auto"/>
              </w:rPr>
              <w:t>United States</w:t>
            </w:r>
          </w:p>
        </w:tc>
        <w:tc>
          <w:tcPr>
            <w:tcW w:w="4400" w:type="dxa"/>
            <w:vAlign w:val="bottom"/>
            <w:gridSpan w:val="2"/>
          </w:tcPr>
          <w:p>
            <w:pPr>
              <w:jc w:val="right"/>
              <w:ind w:right="550"/>
              <w:spacing w:after="0"/>
              <w:rPr>
                <w:sz w:val="20"/>
                <w:szCs w:val="20"/>
                <w:color w:val="auto"/>
              </w:rPr>
            </w:pPr>
            <w:r>
              <w:rPr>
                <w:rFonts w:ascii="Arial" w:cs="Arial" w:eastAsia="Arial" w:hAnsi="Arial"/>
                <w:sz w:val="18"/>
                <w:szCs w:val="18"/>
                <w:color w:val="auto"/>
              </w:rPr>
              <w:t>433</w:t>
            </w:r>
          </w:p>
        </w:tc>
        <w:tc>
          <w:tcPr>
            <w:tcW w:w="1460" w:type="dxa"/>
            <w:vAlign w:val="bottom"/>
          </w:tcPr>
          <w:p>
            <w:pPr>
              <w:jc w:val="right"/>
              <w:ind w:right="531"/>
              <w:spacing w:after="0"/>
              <w:rPr>
                <w:sz w:val="20"/>
                <w:szCs w:val="20"/>
                <w:color w:val="auto"/>
              </w:rPr>
            </w:pPr>
            <w:r>
              <w:rPr>
                <w:rFonts w:ascii="Arial" w:cs="Arial" w:eastAsia="Arial" w:hAnsi="Arial"/>
                <w:sz w:val="18"/>
                <w:szCs w:val="18"/>
                <w:color w:val="auto"/>
              </w:rPr>
              <w:t>412</w:t>
            </w:r>
          </w:p>
        </w:tc>
        <w:tc>
          <w:tcPr>
            <w:tcW w:w="920" w:type="dxa"/>
            <w:vAlign w:val="bottom"/>
          </w:tcPr>
          <w:p>
            <w:pPr>
              <w:jc w:val="right"/>
              <w:spacing w:after="0"/>
              <w:rPr>
                <w:sz w:val="20"/>
                <w:szCs w:val="20"/>
                <w:color w:val="auto"/>
              </w:rPr>
            </w:pPr>
            <w:r>
              <w:rPr>
                <w:rFonts w:ascii="Arial" w:cs="Arial" w:eastAsia="Arial" w:hAnsi="Arial"/>
                <w:sz w:val="18"/>
                <w:szCs w:val="18"/>
                <w:color w:val="auto"/>
              </w:rPr>
              <w:t>618</w:t>
            </w:r>
          </w:p>
        </w:tc>
      </w:tr>
      <w:tr>
        <w:trPr>
          <w:trHeight w:val="229"/>
        </w:trPr>
        <w:tc>
          <w:tcPr>
            <w:tcW w:w="4460" w:type="dxa"/>
            <w:vAlign w:val="bottom"/>
          </w:tcPr>
          <w:p>
            <w:pPr>
              <w:ind w:left="680"/>
              <w:spacing w:after="0"/>
              <w:rPr>
                <w:sz w:val="20"/>
                <w:szCs w:val="20"/>
                <w:color w:val="auto"/>
              </w:rPr>
            </w:pPr>
            <w:r>
              <w:rPr>
                <w:rFonts w:ascii="Arial" w:cs="Arial" w:eastAsia="Arial" w:hAnsi="Arial"/>
                <w:sz w:val="18"/>
                <w:szCs w:val="18"/>
                <w:color w:val="auto"/>
              </w:rPr>
              <w:t>Canada/Other Americas</w:t>
            </w:r>
          </w:p>
        </w:tc>
        <w:tc>
          <w:tcPr>
            <w:tcW w:w="4400" w:type="dxa"/>
            <w:vAlign w:val="bottom"/>
            <w:gridSpan w:val="2"/>
          </w:tcPr>
          <w:p>
            <w:pPr>
              <w:jc w:val="right"/>
              <w:ind w:right="550"/>
              <w:spacing w:after="0"/>
              <w:rPr>
                <w:sz w:val="20"/>
                <w:szCs w:val="20"/>
                <w:color w:val="auto"/>
              </w:rPr>
            </w:pPr>
            <w:r>
              <w:rPr>
                <w:rFonts w:ascii="Arial" w:cs="Arial" w:eastAsia="Arial" w:hAnsi="Arial"/>
                <w:sz w:val="18"/>
                <w:szCs w:val="18"/>
                <w:color w:val="auto"/>
              </w:rPr>
              <w:t>28</w:t>
            </w:r>
          </w:p>
        </w:tc>
        <w:tc>
          <w:tcPr>
            <w:tcW w:w="1460" w:type="dxa"/>
            <w:vAlign w:val="bottom"/>
          </w:tcPr>
          <w:p>
            <w:pPr>
              <w:jc w:val="right"/>
              <w:ind w:right="531"/>
              <w:spacing w:after="0"/>
              <w:rPr>
                <w:sz w:val="20"/>
                <w:szCs w:val="20"/>
                <w:color w:val="auto"/>
              </w:rPr>
            </w:pPr>
            <w:r>
              <w:rPr>
                <w:rFonts w:ascii="Arial" w:cs="Arial" w:eastAsia="Arial" w:hAnsi="Arial"/>
                <w:sz w:val="18"/>
                <w:szCs w:val="18"/>
                <w:color w:val="auto"/>
              </w:rPr>
              <w:t>36</w:t>
            </w:r>
          </w:p>
        </w:tc>
        <w:tc>
          <w:tcPr>
            <w:tcW w:w="9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29"/>
        </w:trPr>
        <w:tc>
          <w:tcPr>
            <w:tcW w:w="4460" w:type="dxa"/>
            <w:vAlign w:val="bottom"/>
          </w:tcPr>
          <w:p>
            <w:pPr>
              <w:ind w:left="680"/>
              <w:spacing w:after="0"/>
              <w:rPr>
                <w:sz w:val="20"/>
                <w:szCs w:val="20"/>
                <w:color w:val="auto"/>
              </w:rPr>
            </w:pPr>
            <w:r>
              <w:rPr>
                <w:rFonts w:ascii="Arial" w:cs="Arial" w:eastAsia="Arial" w:hAnsi="Arial"/>
                <w:sz w:val="18"/>
                <w:szCs w:val="18"/>
                <w:color w:val="auto"/>
              </w:rPr>
              <w:t>Europe</w:t>
            </w:r>
          </w:p>
        </w:tc>
        <w:tc>
          <w:tcPr>
            <w:tcW w:w="4400" w:type="dxa"/>
            <w:vAlign w:val="bottom"/>
            <w:gridSpan w:val="2"/>
          </w:tcPr>
          <w:p>
            <w:pPr>
              <w:jc w:val="right"/>
              <w:ind w:right="550"/>
              <w:spacing w:after="0"/>
              <w:rPr>
                <w:sz w:val="20"/>
                <w:szCs w:val="20"/>
                <w:color w:val="auto"/>
              </w:rPr>
            </w:pPr>
            <w:r>
              <w:rPr>
                <w:rFonts w:ascii="Arial" w:cs="Arial" w:eastAsia="Arial" w:hAnsi="Arial"/>
                <w:sz w:val="18"/>
                <w:szCs w:val="18"/>
                <w:color w:val="auto"/>
              </w:rPr>
              <w:t>1</w:t>
            </w:r>
          </w:p>
        </w:tc>
        <w:tc>
          <w:tcPr>
            <w:tcW w:w="1460" w:type="dxa"/>
            <w:vAlign w:val="bottom"/>
          </w:tcPr>
          <w:p>
            <w:pPr>
              <w:jc w:val="right"/>
              <w:ind w:right="531"/>
              <w:spacing w:after="0"/>
              <w:rPr>
                <w:sz w:val="20"/>
                <w:szCs w:val="20"/>
                <w:color w:val="auto"/>
              </w:rPr>
            </w:pPr>
            <w:r>
              <w:rPr>
                <w:rFonts w:ascii="Arial" w:cs="Arial" w:eastAsia="Arial" w:hAnsi="Arial"/>
                <w:sz w:val="18"/>
                <w:szCs w:val="18"/>
                <w:color w:val="auto"/>
              </w:rPr>
              <w:t>2</w:t>
            </w: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4460" w:type="dxa"/>
            <w:vAlign w:val="bottom"/>
          </w:tcPr>
          <w:p>
            <w:pPr>
              <w:ind w:left="680"/>
              <w:spacing w:after="0"/>
              <w:rPr>
                <w:sz w:val="20"/>
                <w:szCs w:val="20"/>
                <w:color w:val="auto"/>
              </w:rPr>
            </w:pPr>
            <w:r>
              <w:rPr>
                <w:rFonts w:ascii="Arial" w:cs="Arial" w:eastAsia="Arial" w:hAnsi="Arial"/>
                <w:sz w:val="18"/>
                <w:szCs w:val="18"/>
                <w:color w:val="auto"/>
              </w:rPr>
              <w:t>Africa</w:t>
            </w:r>
          </w:p>
        </w:tc>
        <w:tc>
          <w:tcPr>
            <w:tcW w:w="4400" w:type="dxa"/>
            <w:vAlign w:val="bottom"/>
            <w:gridSpan w:val="2"/>
          </w:tcPr>
          <w:p>
            <w:pPr>
              <w:jc w:val="right"/>
              <w:ind w:right="550"/>
              <w:spacing w:after="0"/>
              <w:rPr>
                <w:sz w:val="20"/>
                <w:szCs w:val="20"/>
                <w:color w:val="auto"/>
              </w:rPr>
            </w:pPr>
            <w:r>
              <w:rPr>
                <w:rFonts w:ascii="Arial" w:cs="Arial" w:eastAsia="Arial" w:hAnsi="Arial"/>
                <w:sz w:val="18"/>
                <w:szCs w:val="18"/>
                <w:color w:val="auto"/>
              </w:rPr>
              <w:t>1</w:t>
            </w:r>
          </w:p>
        </w:tc>
        <w:tc>
          <w:tcPr>
            <w:tcW w:w="1460" w:type="dxa"/>
            <w:vAlign w:val="bottom"/>
          </w:tcPr>
          <w:p>
            <w:pPr>
              <w:jc w:val="right"/>
              <w:ind w:right="531"/>
              <w:spacing w:after="0"/>
              <w:rPr>
                <w:sz w:val="20"/>
                <w:szCs w:val="20"/>
                <w:color w:val="auto"/>
              </w:rPr>
            </w:pPr>
            <w:r>
              <w:rPr>
                <w:rFonts w:ascii="Arial" w:cs="Arial" w:eastAsia="Arial" w:hAnsi="Arial"/>
                <w:sz w:val="18"/>
                <w:szCs w:val="18"/>
                <w:color w:val="auto"/>
              </w:rPr>
              <w:t>2</w:t>
            </w:r>
          </w:p>
        </w:tc>
        <w:tc>
          <w:tcPr>
            <w:tcW w:w="9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4460" w:type="dxa"/>
            <w:vAlign w:val="bottom"/>
          </w:tcPr>
          <w:p>
            <w:pPr>
              <w:ind w:left="680"/>
              <w:spacing w:after="0"/>
              <w:rPr>
                <w:sz w:val="20"/>
                <w:szCs w:val="20"/>
                <w:color w:val="auto"/>
              </w:rPr>
            </w:pPr>
            <w:r>
              <w:rPr>
                <w:rFonts w:ascii="Arial" w:cs="Arial" w:eastAsia="Arial" w:hAnsi="Arial"/>
                <w:sz w:val="18"/>
                <w:szCs w:val="18"/>
                <w:color w:val="auto"/>
              </w:rPr>
              <w:t>Asia</w:t>
            </w:r>
          </w:p>
        </w:tc>
        <w:tc>
          <w:tcPr>
            <w:tcW w:w="4400" w:type="dxa"/>
            <w:vAlign w:val="bottom"/>
            <w:gridSpan w:val="2"/>
          </w:tcPr>
          <w:p>
            <w:pPr>
              <w:jc w:val="right"/>
              <w:ind w:right="550"/>
              <w:spacing w:after="0"/>
              <w:rPr>
                <w:sz w:val="20"/>
                <w:szCs w:val="20"/>
                <w:color w:val="auto"/>
              </w:rPr>
            </w:pPr>
            <w:r>
              <w:rPr>
                <w:rFonts w:ascii="Arial" w:cs="Arial" w:eastAsia="Arial" w:hAnsi="Arial"/>
                <w:sz w:val="18"/>
                <w:szCs w:val="18"/>
                <w:color w:val="auto"/>
              </w:rPr>
              <w:t>4</w:t>
            </w:r>
          </w:p>
        </w:tc>
        <w:tc>
          <w:tcPr>
            <w:tcW w:w="1460" w:type="dxa"/>
            <w:vAlign w:val="bottom"/>
          </w:tcPr>
          <w:p>
            <w:pPr>
              <w:jc w:val="right"/>
              <w:ind w:right="531"/>
              <w:spacing w:after="0"/>
              <w:rPr>
                <w:sz w:val="20"/>
                <w:szCs w:val="20"/>
                <w:color w:val="auto"/>
              </w:rPr>
            </w:pPr>
            <w:r>
              <w:rPr>
                <w:rFonts w:ascii="Arial" w:cs="Arial" w:eastAsia="Arial" w:hAnsi="Arial"/>
                <w:sz w:val="18"/>
                <w:szCs w:val="18"/>
                <w:color w:val="auto"/>
              </w:rPr>
              <w:t>15</w:t>
            </w:r>
          </w:p>
        </w:tc>
        <w:tc>
          <w:tcPr>
            <w:tcW w:w="9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4460" w:type="dxa"/>
            <w:vAlign w:val="bottom"/>
          </w:tcPr>
          <w:p>
            <w:pPr>
              <w:ind w:left="680"/>
              <w:spacing w:after="0"/>
              <w:rPr>
                <w:sz w:val="20"/>
                <w:szCs w:val="20"/>
                <w:color w:val="auto"/>
              </w:rPr>
            </w:pPr>
            <w:r>
              <w:rPr>
                <w:rFonts w:ascii="Arial" w:cs="Arial" w:eastAsia="Arial" w:hAnsi="Arial"/>
                <w:sz w:val="18"/>
                <w:szCs w:val="18"/>
                <w:color w:val="auto"/>
              </w:rPr>
              <w:t>Australia/Oceania</w:t>
            </w:r>
          </w:p>
        </w:tc>
        <w:tc>
          <w:tcPr>
            <w:tcW w:w="2480" w:type="dxa"/>
            <w:vAlign w:val="bottom"/>
          </w:tcPr>
          <w:p>
            <w:pPr>
              <w:spacing w:after="0"/>
              <w:rPr>
                <w:sz w:val="20"/>
                <w:szCs w:val="20"/>
                <w:color w:val="auto"/>
              </w:rPr>
            </w:pPr>
          </w:p>
        </w:tc>
        <w:tc>
          <w:tcPr>
            <w:tcW w:w="19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ind w:right="531"/>
              <w:spacing w:after="0"/>
              <w:rPr>
                <w:sz w:val="20"/>
                <w:szCs w:val="20"/>
                <w:color w:val="auto"/>
              </w:rPr>
            </w:pPr>
            <w:r>
              <w:rPr>
                <w:rFonts w:ascii="Arial" w:cs="Arial" w:eastAsia="Arial" w:hAnsi="Arial"/>
                <w:sz w:val="18"/>
                <w:szCs w:val="18"/>
                <w:color w:val="auto"/>
              </w:rPr>
              <w:t>4</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4460" w:type="dxa"/>
            <w:vAlign w:val="bottom"/>
          </w:tcPr>
          <w:p>
            <w:pPr>
              <w:ind w:left="1120"/>
              <w:spacing w:after="0"/>
              <w:rPr>
                <w:sz w:val="20"/>
                <w:szCs w:val="20"/>
                <w:color w:val="auto"/>
              </w:rPr>
            </w:pPr>
            <w:r>
              <w:rPr>
                <w:rFonts w:ascii="Arial" w:cs="Arial" w:eastAsia="Arial" w:hAnsi="Arial"/>
                <w:sz w:val="18"/>
                <w:szCs w:val="18"/>
                <w:color w:val="auto"/>
              </w:rPr>
              <w:t>Total Consolidated Subsidiaries</w:t>
            </w:r>
          </w:p>
        </w:tc>
        <w:tc>
          <w:tcPr>
            <w:tcW w:w="2480" w:type="dxa"/>
            <w:vAlign w:val="bottom"/>
          </w:tcPr>
          <w:p>
            <w:pPr>
              <w:spacing w:after="0"/>
              <w:rPr>
                <w:sz w:val="19"/>
                <w:szCs w:val="19"/>
                <w:color w:val="auto"/>
              </w:rPr>
            </w:pPr>
          </w:p>
        </w:tc>
        <w:tc>
          <w:tcPr>
            <w:tcW w:w="1920" w:type="dxa"/>
            <w:vAlign w:val="bottom"/>
          </w:tcPr>
          <w:p>
            <w:pPr>
              <w:jc w:val="right"/>
              <w:ind w:right="550"/>
              <w:spacing w:after="0"/>
              <w:rPr>
                <w:sz w:val="20"/>
                <w:szCs w:val="20"/>
                <w:color w:val="auto"/>
              </w:rPr>
            </w:pPr>
            <w:r>
              <w:rPr>
                <w:rFonts w:ascii="Arial" w:cs="Arial" w:eastAsia="Arial" w:hAnsi="Arial"/>
                <w:sz w:val="18"/>
                <w:szCs w:val="18"/>
                <w:color w:val="auto"/>
              </w:rPr>
              <w:t>467</w:t>
            </w:r>
          </w:p>
        </w:tc>
        <w:tc>
          <w:tcPr>
            <w:tcW w:w="1460" w:type="dxa"/>
            <w:vAlign w:val="bottom"/>
          </w:tcPr>
          <w:p>
            <w:pPr>
              <w:jc w:val="right"/>
              <w:ind w:right="531"/>
              <w:spacing w:after="0"/>
              <w:rPr>
                <w:sz w:val="20"/>
                <w:szCs w:val="20"/>
                <w:color w:val="auto"/>
              </w:rPr>
            </w:pPr>
            <w:r>
              <w:rPr>
                <w:rFonts w:ascii="Arial" w:cs="Arial" w:eastAsia="Arial" w:hAnsi="Arial"/>
                <w:sz w:val="18"/>
                <w:szCs w:val="18"/>
                <w:color w:val="auto"/>
              </w:rPr>
              <w:t>471</w:t>
            </w:r>
          </w:p>
        </w:tc>
        <w:tc>
          <w:tcPr>
            <w:tcW w:w="920" w:type="dxa"/>
            <w:vAlign w:val="bottom"/>
          </w:tcPr>
          <w:p>
            <w:pPr>
              <w:jc w:val="right"/>
              <w:spacing w:after="0"/>
              <w:rPr>
                <w:sz w:val="20"/>
                <w:szCs w:val="20"/>
                <w:color w:val="auto"/>
              </w:rPr>
            </w:pPr>
            <w:r>
              <w:rPr>
                <w:rFonts w:ascii="Arial" w:cs="Arial" w:eastAsia="Arial" w:hAnsi="Arial"/>
                <w:sz w:val="18"/>
                <w:szCs w:val="18"/>
                <w:color w:val="auto"/>
              </w:rPr>
              <w:t>686</w:t>
            </w:r>
          </w:p>
        </w:tc>
      </w:tr>
      <w:tr>
        <w:trPr>
          <w:trHeight w:val="484"/>
        </w:trPr>
        <w:tc>
          <w:tcPr>
            <w:tcW w:w="4460" w:type="dxa"/>
            <w:vAlign w:val="bottom"/>
          </w:tcPr>
          <w:p>
            <w:pPr>
              <w:ind w:left="220"/>
              <w:spacing w:after="0"/>
              <w:rPr>
                <w:sz w:val="20"/>
                <w:szCs w:val="20"/>
                <w:color w:val="auto"/>
              </w:rPr>
            </w:pPr>
            <w:r>
              <w:rPr>
                <w:rFonts w:ascii="Arial" w:cs="Arial" w:eastAsia="Arial" w:hAnsi="Arial"/>
                <w:sz w:val="18"/>
                <w:szCs w:val="18"/>
                <w:b w:val="1"/>
                <w:bCs w:val="1"/>
                <w:color w:val="auto"/>
              </w:rPr>
              <w:t>Equity Companies</w:t>
            </w:r>
          </w:p>
        </w:tc>
        <w:tc>
          <w:tcPr>
            <w:tcW w:w="24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30"/>
        </w:trPr>
        <w:tc>
          <w:tcPr>
            <w:tcW w:w="4460" w:type="dxa"/>
            <w:vAlign w:val="bottom"/>
          </w:tcPr>
          <w:p>
            <w:pPr>
              <w:ind w:left="680"/>
              <w:spacing w:after="0"/>
              <w:rPr>
                <w:sz w:val="20"/>
                <w:szCs w:val="20"/>
                <w:color w:val="auto"/>
              </w:rPr>
            </w:pPr>
            <w:r>
              <w:rPr>
                <w:rFonts w:ascii="Arial" w:cs="Arial" w:eastAsia="Arial" w:hAnsi="Arial"/>
                <w:sz w:val="18"/>
                <w:szCs w:val="18"/>
                <w:color w:val="auto"/>
              </w:rPr>
              <w:t>United States</w:t>
            </w:r>
          </w:p>
        </w:tc>
        <w:tc>
          <w:tcPr>
            <w:tcW w:w="4400" w:type="dxa"/>
            <w:vAlign w:val="bottom"/>
            <w:gridSpan w:val="2"/>
          </w:tcPr>
          <w:p>
            <w:pPr>
              <w:jc w:val="right"/>
              <w:ind w:right="550"/>
              <w:spacing w:after="0"/>
              <w:rPr>
                <w:sz w:val="20"/>
                <w:szCs w:val="20"/>
                <w:color w:val="auto"/>
              </w:rPr>
            </w:pPr>
            <w:r>
              <w:rPr>
                <w:rFonts w:ascii="Arial" w:cs="Arial" w:eastAsia="Arial" w:hAnsi="Arial"/>
                <w:sz w:val="18"/>
                <w:szCs w:val="18"/>
                <w:color w:val="auto"/>
              </w:rPr>
              <w:t>13</w:t>
            </w:r>
          </w:p>
        </w:tc>
        <w:tc>
          <w:tcPr>
            <w:tcW w:w="1460" w:type="dxa"/>
            <w:vAlign w:val="bottom"/>
          </w:tcPr>
          <w:p>
            <w:pPr>
              <w:jc w:val="right"/>
              <w:ind w:right="531"/>
              <w:spacing w:after="0"/>
              <w:rPr>
                <w:sz w:val="20"/>
                <w:szCs w:val="20"/>
                <w:color w:val="auto"/>
              </w:rPr>
            </w:pPr>
            <w:r>
              <w:rPr>
                <w:rFonts w:ascii="Arial" w:cs="Arial" w:eastAsia="Arial" w:hAnsi="Arial"/>
                <w:sz w:val="18"/>
                <w:szCs w:val="18"/>
                <w:color w:val="auto"/>
              </w:rPr>
              <w:t>60</w:t>
            </w:r>
          </w:p>
        </w:tc>
        <w:tc>
          <w:tcPr>
            <w:tcW w:w="920" w:type="dxa"/>
            <w:vAlign w:val="bottom"/>
          </w:tcPr>
          <w:p>
            <w:pPr>
              <w:jc w:val="right"/>
              <w:spacing w:after="0"/>
              <w:rPr>
                <w:sz w:val="20"/>
                <w:szCs w:val="20"/>
                <w:color w:val="auto"/>
              </w:rPr>
            </w:pPr>
            <w:r>
              <w:rPr>
                <w:rFonts w:ascii="Arial" w:cs="Arial" w:eastAsia="Arial" w:hAnsi="Arial"/>
                <w:sz w:val="18"/>
                <w:szCs w:val="18"/>
                <w:color w:val="auto"/>
              </w:rPr>
              <w:t>199</w:t>
            </w:r>
          </w:p>
        </w:tc>
      </w:tr>
      <w:tr>
        <w:trPr>
          <w:trHeight w:val="229"/>
        </w:trPr>
        <w:tc>
          <w:tcPr>
            <w:tcW w:w="4460" w:type="dxa"/>
            <w:vAlign w:val="bottom"/>
          </w:tcPr>
          <w:p>
            <w:pPr>
              <w:ind w:left="680"/>
              <w:spacing w:after="0"/>
              <w:rPr>
                <w:sz w:val="20"/>
                <w:szCs w:val="20"/>
                <w:color w:val="auto"/>
              </w:rPr>
            </w:pPr>
            <w:r>
              <w:rPr>
                <w:rFonts w:ascii="Arial" w:cs="Arial" w:eastAsia="Arial" w:hAnsi="Arial"/>
                <w:sz w:val="18"/>
                <w:szCs w:val="18"/>
                <w:color w:val="auto"/>
              </w:rPr>
              <w:t>Europe</w:t>
            </w:r>
          </w:p>
        </w:tc>
        <w:tc>
          <w:tcPr>
            <w:tcW w:w="4400" w:type="dxa"/>
            <w:vAlign w:val="bottom"/>
            <w:gridSpan w:val="2"/>
          </w:tcPr>
          <w:p>
            <w:pPr>
              <w:jc w:val="right"/>
              <w:ind w:right="550"/>
              <w:spacing w:after="0"/>
              <w:rPr>
                <w:sz w:val="20"/>
                <w:szCs w:val="20"/>
                <w:color w:val="auto"/>
              </w:rPr>
            </w:pPr>
            <w:r>
              <w:rPr>
                <w:rFonts w:ascii="Arial" w:cs="Arial" w:eastAsia="Arial" w:hAnsi="Arial"/>
                <w:sz w:val="18"/>
                <w:szCs w:val="18"/>
                <w:color w:val="auto"/>
              </w:rPr>
              <w:t>1</w:t>
            </w:r>
          </w:p>
        </w:tc>
        <w:tc>
          <w:tcPr>
            <w:tcW w:w="1460" w:type="dxa"/>
            <w:vAlign w:val="bottom"/>
          </w:tcPr>
          <w:p>
            <w:pPr>
              <w:jc w:val="right"/>
              <w:ind w:right="531"/>
              <w:spacing w:after="0"/>
              <w:rPr>
                <w:sz w:val="20"/>
                <w:szCs w:val="20"/>
                <w:color w:val="auto"/>
              </w:rPr>
            </w:pPr>
            <w:r>
              <w:rPr>
                <w:rFonts w:ascii="Arial" w:cs="Arial" w:eastAsia="Arial" w:hAnsi="Arial"/>
                <w:sz w:val="18"/>
                <w:szCs w:val="18"/>
                <w:color w:val="auto"/>
              </w:rPr>
              <w:t>1</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460" w:type="dxa"/>
            <w:vAlign w:val="bottom"/>
          </w:tcPr>
          <w:p>
            <w:pPr>
              <w:ind w:left="680"/>
              <w:spacing w:after="0"/>
              <w:rPr>
                <w:sz w:val="20"/>
                <w:szCs w:val="20"/>
                <w:color w:val="auto"/>
              </w:rPr>
            </w:pPr>
            <w:r>
              <w:rPr>
                <w:rFonts w:ascii="Arial" w:cs="Arial" w:eastAsia="Arial" w:hAnsi="Arial"/>
                <w:sz w:val="18"/>
                <w:szCs w:val="18"/>
                <w:color w:val="auto"/>
              </w:rPr>
              <w:t>Africa</w:t>
            </w:r>
          </w:p>
        </w:tc>
        <w:tc>
          <w:tcPr>
            <w:tcW w:w="4400" w:type="dxa"/>
            <w:vAlign w:val="bottom"/>
            <w:gridSpan w:val="2"/>
          </w:tcPr>
          <w:p>
            <w:pPr>
              <w:jc w:val="right"/>
              <w:ind w:right="550"/>
              <w:spacing w:after="0"/>
              <w:rPr>
                <w:sz w:val="20"/>
                <w:szCs w:val="20"/>
                <w:color w:val="auto"/>
              </w:rPr>
            </w:pPr>
            <w:r>
              <w:rPr>
                <w:rFonts w:ascii="Arial" w:cs="Arial" w:eastAsia="Arial" w:hAnsi="Arial"/>
                <w:sz w:val="18"/>
                <w:szCs w:val="18"/>
                <w:color w:val="auto"/>
              </w:rPr>
              <w:t>1</w:t>
            </w:r>
          </w:p>
        </w:tc>
        <w:tc>
          <w:tcPr>
            <w:tcW w:w="1460" w:type="dxa"/>
            <w:vAlign w:val="bottom"/>
          </w:tcPr>
          <w:p>
            <w:pPr>
              <w:jc w:val="right"/>
              <w:ind w:right="531"/>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460" w:type="dxa"/>
            <w:vAlign w:val="bottom"/>
          </w:tcPr>
          <w:p>
            <w:pPr>
              <w:ind w:left="680"/>
              <w:spacing w:after="0"/>
              <w:rPr>
                <w:sz w:val="20"/>
                <w:szCs w:val="20"/>
                <w:color w:val="auto"/>
              </w:rPr>
            </w:pPr>
            <w:r>
              <w:rPr>
                <w:rFonts w:ascii="Arial" w:cs="Arial" w:eastAsia="Arial" w:hAnsi="Arial"/>
                <w:sz w:val="18"/>
                <w:szCs w:val="18"/>
                <w:color w:val="auto"/>
              </w:rPr>
              <w:t>Asia</w:t>
            </w:r>
          </w:p>
        </w:tc>
        <w:tc>
          <w:tcPr>
            <w:tcW w:w="4400" w:type="dxa"/>
            <w:vAlign w:val="bottom"/>
            <w:gridSpan w:val="2"/>
          </w:tcPr>
          <w:p>
            <w:pPr>
              <w:jc w:val="right"/>
              <w:ind w:right="550"/>
              <w:spacing w:after="0"/>
              <w:rPr>
                <w:sz w:val="20"/>
                <w:szCs w:val="20"/>
                <w:color w:val="auto"/>
              </w:rPr>
            </w:pPr>
            <w:r>
              <w:rPr>
                <w:rFonts w:ascii="Arial" w:cs="Arial" w:eastAsia="Arial" w:hAnsi="Arial"/>
                <w:sz w:val="18"/>
                <w:szCs w:val="18"/>
                <w:color w:val="auto"/>
              </w:rPr>
              <w:t>5</w:t>
            </w:r>
          </w:p>
        </w:tc>
        <w:tc>
          <w:tcPr>
            <w:tcW w:w="1460" w:type="dxa"/>
            <w:vAlign w:val="bottom"/>
          </w:tcPr>
          <w:p>
            <w:pPr>
              <w:jc w:val="right"/>
              <w:ind w:right="531"/>
              <w:spacing w:after="0"/>
              <w:rPr>
                <w:sz w:val="20"/>
                <w:szCs w:val="20"/>
                <w:color w:val="auto"/>
              </w:rPr>
            </w:pPr>
            <w:r>
              <w:rPr>
                <w:rFonts w:ascii="Arial" w:cs="Arial" w:eastAsia="Arial" w:hAnsi="Arial"/>
                <w:sz w:val="18"/>
                <w:szCs w:val="18"/>
                <w:color w:val="auto"/>
              </w:rPr>
              <w:t>5</w:t>
            </w:r>
          </w:p>
        </w:tc>
        <w:tc>
          <w:tcPr>
            <w:tcW w:w="9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23"/>
        </w:trPr>
        <w:tc>
          <w:tcPr>
            <w:tcW w:w="4460" w:type="dxa"/>
            <w:vAlign w:val="bottom"/>
          </w:tcPr>
          <w:p>
            <w:pPr>
              <w:ind w:left="1120"/>
              <w:spacing w:after="0"/>
              <w:rPr>
                <w:sz w:val="20"/>
                <w:szCs w:val="20"/>
                <w:color w:val="auto"/>
              </w:rPr>
            </w:pPr>
            <w:r>
              <w:rPr>
                <w:rFonts w:ascii="Arial" w:cs="Arial" w:eastAsia="Arial" w:hAnsi="Arial"/>
                <w:sz w:val="18"/>
                <w:szCs w:val="18"/>
                <w:color w:val="auto"/>
              </w:rPr>
              <w:t>Total Equity Companies</w:t>
            </w:r>
          </w:p>
        </w:tc>
        <w:tc>
          <w:tcPr>
            <w:tcW w:w="2480" w:type="dxa"/>
            <w:vAlign w:val="bottom"/>
          </w:tcPr>
          <w:p>
            <w:pPr>
              <w:spacing w:after="0"/>
              <w:rPr>
                <w:sz w:val="19"/>
                <w:szCs w:val="19"/>
                <w:color w:val="auto"/>
              </w:rPr>
            </w:pPr>
          </w:p>
        </w:tc>
        <w:tc>
          <w:tcPr>
            <w:tcW w:w="192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rPr>
              <w:t>20</w:t>
            </w:r>
          </w:p>
        </w:tc>
        <w:tc>
          <w:tcPr>
            <w:tcW w:w="146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8"/>
                <w:szCs w:val="18"/>
                <w:color w:val="auto"/>
              </w:rPr>
              <w:t>66</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w:t>
            </w:r>
          </w:p>
        </w:tc>
      </w:tr>
      <w:tr>
        <w:trPr>
          <w:trHeight w:val="224"/>
        </w:trPr>
        <w:tc>
          <w:tcPr>
            <w:tcW w:w="4460" w:type="dxa"/>
            <w:vAlign w:val="bottom"/>
          </w:tcPr>
          <w:p>
            <w:pPr>
              <w:ind w:left="20"/>
              <w:spacing w:after="0"/>
              <w:rPr>
                <w:sz w:val="20"/>
                <w:szCs w:val="20"/>
                <w:color w:val="auto"/>
              </w:rPr>
            </w:pPr>
            <w:r>
              <w:rPr>
                <w:rFonts w:ascii="Arial" w:cs="Arial" w:eastAsia="Arial" w:hAnsi="Arial"/>
                <w:sz w:val="18"/>
                <w:szCs w:val="18"/>
                <w:b w:val="1"/>
                <w:bCs w:val="1"/>
                <w:color w:val="auto"/>
              </w:rPr>
              <w:t>Total productive development wells drilled</w:t>
            </w:r>
          </w:p>
        </w:tc>
        <w:tc>
          <w:tcPr>
            <w:tcW w:w="2480" w:type="dxa"/>
            <w:vAlign w:val="bottom"/>
          </w:tcPr>
          <w:p>
            <w:pPr>
              <w:spacing w:after="0"/>
              <w:rPr>
                <w:sz w:val="19"/>
                <w:szCs w:val="19"/>
                <w:color w:val="auto"/>
              </w:rPr>
            </w:pPr>
          </w:p>
        </w:tc>
        <w:tc>
          <w:tcPr>
            <w:tcW w:w="1920" w:type="dxa"/>
            <w:vAlign w:val="bottom"/>
          </w:tcPr>
          <w:p>
            <w:pPr>
              <w:jc w:val="right"/>
              <w:ind w:right="550"/>
              <w:spacing w:after="0"/>
              <w:rPr>
                <w:sz w:val="20"/>
                <w:szCs w:val="20"/>
                <w:color w:val="auto"/>
              </w:rPr>
            </w:pPr>
            <w:r>
              <w:rPr>
                <w:rFonts w:ascii="Arial" w:cs="Arial" w:eastAsia="Arial" w:hAnsi="Arial"/>
                <w:sz w:val="18"/>
                <w:szCs w:val="18"/>
                <w:color w:val="auto"/>
              </w:rPr>
              <w:t>487</w:t>
            </w:r>
          </w:p>
        </w:tc>
        <w:tc>
          <w:tcPr>
            <w:tcW w:w="1460" w:type="dxa"/>
            <w:vAlign w:val="bottom"/>
          </w:tcPr>
          <w:p>
            <w:pPr>
              <w:jc w:val="right"/>
              <w:ind w:right="531"/>
              <w:spacing w:after="0"/>
              <w:rPr>
                <w:sz w:val="20"/>
                <w:szCs w:val="20"/>
                <w:color w:val="auto"/>
              </w:rPr>
            </w:pPr>
            <w:r>
              <w:rPr>
                <w:rFonts w:ascii="Arial" w:cs="Arial" w:eastAsia="Arial" w:hAnsi="Arial"/>
                <w:sz w:val="18"/>
                <w:szCs w:val="18"/>
                <w:color w:val="auto"/>
              </w:rPr>
              <w:t>537</w:t>
            </w:r>
          </w:p>
        </w:tc>
        <w:tc>
          <w:tcPr>
            <w:tcW w:w="920" w:type="dxa"/>
            <w:vAlign w:val="bottom"/>
          </w:tcPr>
          <w:p>
            <w:pPr>
              <w:jc w:val="right"/>
              <w:spacing w:after="0"/>
              <w:rPr>
                <w:sz w:val="20"/>
                <w:szCs w:val="20"/>
                <w:color w:val="auto"/>
              </w:rPr>
            </w:pPr>
            <w:r>
              <w:rPr>
                <w:rFonts w:ascii="Arial" w:cs="Arial" w:eastAsia="Arial" w:hAnsi="Arial"/>
                <w:sz w:val="18"/>
                <w:szCs w:val="18"/>
                <w:color w:val="auto"/>
              </w:rPr>
              <w:t>894</w:t>
            </w:r>
          </w:p>
        </w:tc>
      </w:tr>
      <w:tr>
        <w:trPr>
          <w:trHeight w:val="480"/>
        </w:trPr>
        <w:tc>
          <w:tcPr>
            <w:tcW w:w="4460" w:type="dxa"/>
            <w:vAlign w:val="bottom"/>
          </w:tcPr>
          <w:p>
            <w:pPr>
              <w:ind w:left="20"/>
              <w:spacing w:after="0"/>
              <w:rPr>
                <w:sz w:val="20"/>
                <w:szCs w:val="20"/>
                <w:color w:val="auto"/>
              </w:rPr>
            </w:pPr>
            <w:r>
              <w:rPr>
                <w:rFonts w:ascii="Arial" w:cs="Arial" w:eastAsia="Arial" w:hAnsi="Arial"/>
                <w:sz w:val="18"/>
                <w:szCs w:val="18"/>
                <w:b w:val="1"/>
                <w:bCs w:val="1"/>
                <w:color w:val="auto"/>
              </w:rPr>
              <w:t>Net Dry Development Wells Drilled</w:t>
            </w:r>
          </w:p>
        </w:tc>
        <w:tc>
          <w:tcPr>
            <w:tcW w:w="24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34"/>
        </w:trPr>
        <w:tc>
          <w:tcPr>
            <w:tcW w:w="4460" w:type="dxa"/>
            <w:vAlign w:val="bottom"/>
          </w:tcPr>
          <w:p>
            <w:pPr>
              <w:ind w:left="220"/>
              <w:spacing w:after="0"/>
              <w:rPr>
                <w:sz w:val="20"/>
                <w:szCs w:val="20"/>
                <w:color w:val="auto"/>
              </w:rPr>
            </w:pPr>
            <w:r>
              <w:rPr>
                <w:rFonts w:ascii="Arial" w:cs="Arial" w:eastAsia="Arial" w:hAnsi="Arial"/>
                <w:sz w:val="18"/>
                <w:szCs w:val="18"/>
                <w:b w:val="1"/>
                <w:bCs w:val="1"/>
                <w:color w:val="auto"/>
              </w:rPr>
              <w:t>Consolidated Subsidiaries</w:t>
            </w:r>
          </w:p>
        </w:tc>
        <w:tc>
          <w:tcPr>
            <w:tcW w:w="24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29"/>
        </w:trPr>
        <w:tc>
          <w:tcPr>
            <w:tcW w:w="4460" w:type="dxa"/>
            <w:vAlign w:val="bottom"/>
          </w:tcPr>
          <w:p>
            <w:pPr>
              <w:ind w:left="680"/>
              <w:spacing w:after="0"/>
              <w:rPr>
                <w:sz w:val="20"/>
                <w:szCs w:val="20"/>
                <w:color w:val="auto"/>
              </w:rPr>
            </w:pPr>
            <w:r>
              <w:rPr>
                <w:rFonts w:ascii="Arial" w:cs="Arial" w:eastAsia="Arial" w:hAnsi="Arial"/>
                <w:sz w:val="18"/>
                <w:szCs w:val="18"/>
                <w:color w:val="auto"/>
              </w:rPr>
              <w:t>United States</w:t>
            </w:r>
          </w:p>
        </w:tc>
        <w:tc>
          <w:tcPr>
            <w:tcW w:w="4400" w:type="dxa"/>
            <w:vAlign w:val="bottom"/>
            <w:gridSpan w:val="2"/>
          </w:tcPr>
          <w:p>
            <w:pPr>
              <w:jc w:val="right"/>
              <w:ind w:right="550"/>
              <w:spacing w:after="0"/>
              <w:rPr>
                <w:sz w:val="20"/>
                <w:szCs w:val="20"/>
                <w:color w:val="auto"/>
              </w:rPr>
            </w:pPr>
            <w:r>
              <w:rPr>
                <w:rFonts w:ascii="Arial" w:cs="Arial" w:eastAsia="Arial" w:hAnsi="Arial"/>
                <w:sz w:val="18"/>
                <w:szCs w:val="18"/>
                <w:color w:val="auto"/>
              </w:rPr>
              <w:t>4</w:t>
            </w:r>
          </w:p>
        </w:tc>
        <w:tc>
          <w:tcPr>
            <w:tcW w:w="1460" w:type="dxa"/>
            <w:vAlign w:val="bottom"/>
          </w:tcPr>
          <w:p>
            <w:pPr>
              <w:jc w:val="right"/>
              <w:ind w:right="531"/>
              <w:spacing w:after="0"/>
              <w:rPr>
                <w:sz w:val="20"/>
                <w:szCs w:val="20"/>
                <w:color w:val="auto"/>
              </w:rPr>
            </w:pPr>
            <w:r>
              <w:rPr>
                <w:rFonts w:ascii="Arial" w:cs="Arial" w:eastAsia="Arial" w:hAnsi="Arial"/>
                <w:sz w:val="18"/>
                <w:szCs w:val="18"/>
                <w:color w:val="auto"/>
              </w:rPr>
              <w:t>6</w:t>
            </w:r>
          </w:p>
        </w:tc>
        <w:tc>
          <w:tcPr>
            <w:tcW w:w="9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9"/>
        </w:trPr>
        <w:tc>
          <w:tcPr>
            <w:tcW w:w="4460" w:type="dxa"/>
            <w:vAlign w:val="bottom"/>
          </w:tcPr>
          <w:p>
            <w:pPr>
              <w:ind w:left="680"/>
              <w:spacing w:after="0"/>
              <w:rPr>
                <w:sz w:val="20"/>
                <w:szCs w:val="20"/>
                <w:color w:val="auto"/>
              </w:rPr>
            </w:pPr>
            <w:r>
              <w:rPr>
                <w:rFonts w:ascii="Arial" w:cs="Arial" w:eastAsia="Arial" w:hAnsi="Arial"/>
                <w:sz w:val="18"/>
                <w:szCs w:val="18"/>
                <w:color w:val="auto"/>
              </w:rPr>
              <w:t>Canada/Other Americas</w:t>
            </w:r>
          </w:p>
        </w:tc>
        <w:tc>
          <w:tcPr>
            <w:tcW w:w="2480" w:type="dxa"/>
            <w:vAlign w:val="bottom"/>
          </w:tcPr>
          <w:p>
            <w:pPr>
              <w:spacing w:after="0"/>
              <w:rPr>
                <w:sz w:val="19"/>
                <w:szCs w:val="19"/>
                <w:color w:val="auto"/>
              </w:rPr>
            </w:pPr>
          </w:p>
        </w:tc>
        <w:tc>
          <w:tcPr>
            <w:tcW w:w="192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531"/>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460" w:type="dxa"/>
            <w:vAlign w:val="bottom"/>
          </w:tcPr>
          <w:p>
            <w:pPr>
              <w:ind w:left="680"/>
              <w:spacing w:after="0"/>
              <w:rPr>
                <w:sz w:val="20"/>
                <w:szCs w:val="20"/>
                <w:color w:val="auto"/>
              </w:rPr>
            </w:pPr>
            <w:r>
              <w:rPr>
                <w:rFonts w:ascii="Arial" w:cs="Arial" w:eastAsia="Arial" w:hAnsi="Arial"/>
                <w:sz w:val="18"/>
                <w:szCs w:val="18"/>
                <w:color w:val="auto"/>
              </w:rPr>
              <w:t>Europe</w:t>
            </w:r>
          </w:p>
        </w:tc>
        <w:tc>
          <w:tcPr>
            <w:tcW w:w="2480" w:type="dxa"/>
            <w:vAlign w:val="bottom"/>
          </w:tcPr>
          <w:p>
            <w:pPr>
              <w:spacing w:after="0"/>
              <w:rPr>
                <w:sz w:val="19"/>
                <w:szCs w:val="19"/>
                <w:color w:val="auto"/>
              </w:rPr>
            </w:pPr>
          </w:p>
        </w:tc>
        <w:tc>
          <w:tcPr>
            <w:tcW w:w="192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531"/>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460" w:type="dxa"/>
            <w:vAlign w:val="bottom"/>
          </w:tcPr>
          <w:p>
            <w:pPr>
              <w:ind w:left="680"/>
              <w:spacing w:after="0"/>
              <w:rPr>
                <w:sz w:val="20"/>
                <w:szCs w:val="20"/>
                <w:color w:val="auto"/>
              </w:rPr>
            </w:pPr>
            <w:r>
              <w:rPr>
                <w:rFonts w:ascii="Arial" w:cs="Arial" w:eastAsia="Arial" w:hAnsi="Arial"/>
                <w:sz w:val="18"/>
                <w:szCs w:val="18"/>
                <w:color w:val="auto"/>
              </w:rPr>
              <w:t>Africa</w:t>
            </w:r>
          </w:p>
        </w:tc>
        <w:tc>
          <w:tcPr>
            <w:tcW w:w="2480" w:type="dxa"/>
            <w:vAlign w:val="bottom"/>
          </w:tcPr>
          <w:p>
            <w:pPr>
              <w:spacing w:after="0"/>
              <w:rPr>
                <w:sz w:val="19"/>
                <w:szCs w:val="19"/>
                <w:color w:val="auto"/>
              </w:rPr>
            </w:pPr>
          </w:p>
        </w:tc>
        <w:tc>
          <w:tcPr>
            <w:tcW w:w="192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531"/>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4460" w:type="dxa"/>
            <w:vAlign w:val="bottom"/>
          </w:tcPr>
          <w:p>
            <w:pPr>
              <w:ind w:left="680"/>
              <w:spacing w:after="0"/>
              <w:rPr>
                <w:sz w:val="20"/>
                <w:szCs w:val="20"/>
                <w:color w:val="auto"/>
              </w:rPr>
            </w:pPr>
            <w:r>
              <w:rPr>
                <w:rFonts w:ascii="Arial" w:cs="Arial" w:eastAsia="Arial" w:hAnsi="Arial"/>
                <w:sz w:val="18"/>
                <w:szCs w:val="18"/>
                <w:color w:val="auto"/>
              </w:rPr>
              <w:t>Asia</w:t>
            </w:r>
          </w:p>
        </w:tc>
        <w:tc>
          <w:tcPr>
            <w:tcW w:w="2480" w:type="dxa"/>
            <w:vAlign w:val="bottom"/>
          </w:tcPr>
          <w:p>
            <w:pPr>
              <w:spacing w:after="0"/>
              <w:rPr>
                <w:sz w:val="19"/>
                <w:szCs w:val="19"/>
                <w:color w:val="auto"/>
              </w:rPr>
            </w:pPr>
          </w:p>
        </w:tc>
        <w:tc>
          <w:tcPr>
            <w:tcW w:w="192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531"/>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460" w:type="dxa"/>
            <w:vAlign w:val="bottom"/>
          </w:tcPr>
          <w:p>
            <w:pPr>
              <w:ind w:left="680"/>
              <w:spacing w:after="0"/>
              <w:rPr>
                <w:sz w:val="20"/>
                <w:szCs w:val="20"/>
                <w:color w:val="auto"/>
              </w:rPr>
            </w:pPr>
            <w:r>
              <w:rPr>
                <w:rFonts w:ascii="Arial" w:cs="Arial" w:eastAsia="Arial" w:hAnsi="Arial"/>
                <w:sz w:val="18"/>
                <w:szCs w:val="18"/>
                <w:color w:val="auto"/>
              </w:rPr>
              <w:t>Australia/Oceania</w:t>
            </w:r>
          </w:p>
        </w:tc>
        <w:tc>
          <w:tcPr>
            <w:tcW w:w="2480" w:type="dxa"/>
            <w:vAlign w:val="bottom"/>
          </w:tcPr>
          <w:p>
            <w:pPr>
              <w:spacing w:after="0"/>
              <w:rPr>
                <w:sz w:val="20"/>
                <w:szCs w:val="20"/>
                <w:color w:val="auto"/>
              </w:rPr>
            </w:pPr>
          </w:p>
        </w:tc>
        <w:tc>
          <w:tcPr>
            <w:tcW w:w="19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ind w:right="531"/>
              <w:spacing w:after="0"/>
              <w:rPr>
                <w:sz w:val="20"/>
                <w:szCs w:val="20"/>
                <w:color w:val="auto"/>
              </w:rPr>
            </w:pPr>
            <w:r>
              <w:rPr>
                <w:rFonts w:ascii="Arial" w:cs="Arial" w:eastAsia="Arial" w:hAnsi="Arial"/>
                <w:sz w:val="18"/>
                <w:szCs w:val="18"/>
                <w:color w:val="auto"/>
              </w:rPr>
              <w:t>1</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4460" w:type="dxa"/>
            <w:vAlign w:val="bottom"/>
          </w:tcPr>
          <w:p>
            <w:pPr>
              <w:ind w:left="1120"/>
              <w:spacing w:after="0"/>
              <w:rPr>
                <w:sz w:val="20"/>
                <w:szCs w:val="20"/>
                <w:color w:val="auto"/>
              </w:rPr>
            </w:pPr>
            <w:r>
              <w:rPr>
                <w:rFonts w:ascii="Arial" w:cs="Arial" w:eastAsia="Arial" w:hAnsi="Arial"/>
                <w:sz w:val="18"/>
                <w:szCs w:val="18"/>
                <w:color w:val="auto"/>
              </w:rPr>
              <w:t>Total Consolidated Subsidiaries</w:t>
            </w:r>
          </w:p>
        </w:tc>
        <w:tc>
          <w:tcPr>
            <w:tcW w:w="2480" w:type="dxa"/>
            <w:vAlign w:val="bottom"/>
          </w:tcPr>
          <w:p>
            <w:pPr>
              <w:spacing w:after="0"/>
              <w:rPr>
                <w:sz w:val="19"/>
                <w:szCs w:val="19"/>
                <w:color w:val="auto"/>
              </w:rPr>
            </w:pPr>
          </w:p>
        </w:tc>
        <w:tc>
          <w:tcPr>
            <w:tcW w:w="1920" w:type="dxa"/>
            <w:vAlign w:val="bottom"/>
          </w:tcPr>
          <w:p>
            <w:pPr>
              <w:jc w:val="right"/>
              <w:ind w:right="550"/>
              <w:spacing w:after="0"/>
              <w:rPr>
                <w:sz w:val="20"/>
                <w:szCs w:val="20"/>
                <w:color w:val="auto"/>
              </w:rPr>
            </w:pPr>
            <w:r>
              <w:rPr>
                <w:rFonts w:ascii="Arial" w:cs="Arial" w:eastAsia="Arial" w:hAnsi="Arial"/>
                <w:sz w:val="18"/>
                <w:szCs w:val="18"/>
                <w:color w:val="auto"/>
              </w:rPr>
              <w:t>4</w:t>
            </w:r>
          </w:p>
        </w:tc>
        <w:tc>
          <w:tcPr>
            <w:tcW w:w="1460" w:type="dxa"/>
            <w:vAlign w:val="bottom"/>
          </w:tcPr>
          <w:p>
            <w:pPr>
              <w:jc w:val="right"/>
              <w:ind w:right="531"/>
              <w:spacing w:after="0"/>
              <w:rPr>
                <w:sz w:val="20"/>
                <w:szCs w:val="20"/>
                <w:color w:val="auto"/>
              </w:rPr>
            </w:pPr>
            <w:r>
              <w:rPr>
                <w:rFonts w:ascii="Arial" w:cs="Arial" w:eastAsia="Arial" w:hAnsi="Arial"/>
                <w:sz w:val="18"/>
                <w:szCs w:val="18"/>
                <w:color w:val="auto"/>
              </w:rPr>
              <w:t>7</w:t>
            </w:r>
          </w:p>
        </w:tc>
        <w:tc>
          <w:tcPr>
            <w:tcW w:w="9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484"/>
        </w:trPr>
        <w:tc>
          <w:tcPr>
            <w:tcW w:w="4460" w:type="dxa"/>
            <w:vAlign w:val="bottom"/>
          </w:tcPr>
          <w:p>
            <w:pPr>
              <w:ind w:left="220"/>
              <w:spacing w:after="0"/>
              <w:rPr>
                <w:sz w:val="20"/>
                <w:szCs w:val="20"/>
                <w:color w:val="auto"/>
              </w:rPr>
            </w:pPr>
            <w:r>
              <w:rPr>
                <w:rFonts w:ascii="Arial" w:cs="Arial" w:eastAsia="Arial" w:hAnsi="Arial"/>
                <w:sz w:val="18"/>
                <w:szCs w:val="18"/>
                <w:b w:val="1"/>
                <w:bCs w:val="1"/>
                <w:color w:val="auto"/>
              </w:rPr>
              <w:t>Equity Companies</w:t>
            </w:r>
          </w:p>
        </w:tc>
        <w:tc>
          <w:tcPr>
            <w:tcW w:w="24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30"/>
        </w:trPr>
        <w:tc>
          <w:tcPr>
            <w:tcW w:w="4460" w:type="dxa"/>
            <w:vAlign w:val="bottom"/>
          </w:tcPr>
          <w:p>
            <w:pPr>
              <w:ind w:left="680"/>
              <w:spacing w:after="0"/>
              <w:rPr>
                <w:sz w:val="20"/>
                <w:szCs w:val="20"/>
                <w:color w:val="auto"/>
              </w:rPr>
            </w:pPr>
            <w:r>
              <w:rPr>
                <w:rFonts w:ascii="Arial" w:cs="Arial" w:eastAsia="Arial" w:hAnsi="Arial"/>
                <w:sz w:val="18"/>
                <w:szCs w:val="18"/>
                <w:color w:val="auto"/>
              </w:rPr>
              <w:t>United States</w:t>
            </w:r>
          </w:p>
        </w:tc>
        <w:tc>
          <w:tcPr>
            <w:tcW w:w="2480" w:type="dxa"/>
            <w:vAlign w:val="bottom"/>
          </w:tcPr>
          <w:p>
            <w:pPr>
              <w:spacing w:after="0"/>
              <w:rPr>
                <w:sz w:val="19"/>
                <w:szCs w:val="19"/>
                <w:color w:val="auto"/>
              </w:rPr>
            </w:pPr>
          </w:p>
        </w:tc>
        <w:tc>
          <w:tcPr>
            <w:tcW w:w="192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531"/>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460" w:type="dxa"/>
            <w:vAlign w:val="bottom"/>
          </w:tcPr>
          <w:p>
            <w:pPr>
              <w:ind w:left="680"/>
              <w:spacing w:after="0"/>
              <w:rPr>
                <w:sz w:val="20"/>
                <w:szCs w:val="20"/>
                <w:color w:val="auto"/>
              </w:rPr>
            </w:pPr>
            <w:r>
              <w:rPr>
                <w:rFonts w:ascii="Arial" w:cs="Arial" w:eastAsia="Arial" w:hAnsi="Arial"/>
                <w:sz w:val="18"/>
                <w:szCs w:val="18"/>
                <w:color w:val="auto"/>
              </w:rPr>
              <w:t>Europe</w:t>
            </w:r>
          </w:p>
        </w:tc>
        <w:tc>
          <w:tcPr>
            <w:tcW w:w="2480" w:type="dxa"/>
            <w:vAlign w:val="bottom"/>
          </w:tcPr>
          <w:p>
            <w:pPr>
              <w:spacing w:after="0"/>
              <w:rPr>
                <w:sz w:val="19"/>
                <w:szCs w:val="19"/>
                <w:color w:val="auto"/>
              </w:rPr>
            </w:pPr>
          </w:p>
        </w:tc>
        <w:tc>
          <w:tcPr>
            <w:tcW w:w="192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531"/>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460" w:type="dxa"/>
            <w:vAlign w:val="bottom"/>
          </w:tcPr>
          <w:p>
            <w:pPr>
              <w:ind w:left="680"/>
              <w:spacing w:after="0"/>
              <w:rPr>
                <w:sz w:val="20"/>
                <w:szCs w:val="20"/>
                <w:color w:val="auto"/>
              </w:rPr>
            </w:pPr>
            <w:r>
              <w:rPr>
                <w:rFonts w:ascii="Arial" w:cs="Arial" w:eastAsia="Arial" w:hAnsi="Arial"/>
                <w:sz w:val="18"/>
                <w:szCs w:val="18"/>
                <w:color w:val="auto"/>
              </w:rPr>
              <w:t>Africa</w:t>
            </w:r>
          </w:p>
        </w:tc>
        <w:tc>
          <w:tcPr>
            <w:tcW w:w="2480" w:type="dxa"/>
            <w:vAlign w:val="bottom"/>
          </w:tcPr>
          <w:p>
            <w:pPr>
              <w:spacing w:after="0"/>
              <w:rPr>
                <w:sz w:val="19"/>
                <w:szCs w:val="19"/>
                <w:color w:val="auto"/>
              </w:rPr>
            </w:pPr>
          </w:p>
        </w:tc>
        <w:tc>
          <w:tcPr>
            <w:tcW w:w="192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531"/>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460" w:type="dxa"/>
            <w:vAlign w:val="bottom"/>
          </w:tcPr>
          <w:p>
            <w:pPr>
              <w:ind w:left="680"/>
              <w:spacing w:after="0"/>
              <w:rPr>
                <w:sz w:val="20"/>
                <w:szCs w:val="20"/>
                <w:color w:val="auto"/>
              </w:rPr>
            </w:pPr>
            <w:r>
              <w:rPr>
                <w:rFonts w:ascii="Arial" w:cs="Arial" w:eastAsia="Arial" w:hAnsi="Arial"/>
                <w:sz w:val="18"/>
                <w:szCs w:val="18"/>
                <w:color w:val="auto"/>
              </w:rPr>
              <w:t>Asia</w:t>
            </w:r>
          </w:p>
        </w:tc>
        <w:tc>
          <w:tcPr>
            <w:tcW w:w="2480" w:type="dxa"/>
            <w:vAlign w:val="bottom"/>
          </w:tcPr>
          <w:p>
            <w:pPr>
              <w:spacing w:after="0"/>
              <w:rPr>
                <w:sz w:val="20"/>
                <w:szCs w:val="20"/>
                <w:color w:val="auto"/>
              </w:rPr>
            </w:pPr>
          </w:p>
        </w:tc>
        <w:tc>
          <w:tcPr>
            <w:tcW w:w="19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ind w:right="531"/>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460" w:type="dxa"/>
            <w:vAlign w:val="bottom"/>
          </w:tcPr>
          <w:p>
            <w:pPr>
              <w:ind w:left="1120"/>
              <w:spacing w:after="0"/>
              <w:rPr>
                <w:sz w:val="20"/>
                <w:szCs w:val="20"/>
                <w:color w:val="auto"/>
              </w:rPr>
            </w:pPr>
            <w:r>
              <w:rPr>
                <w:rFonts w:ascii="Arial" w:cs="Arial" w:eastAsia="Arial" w:hAnsi="Arial"/>
                <w:sz w:val="18"/>
                <w:szCs w:val="18"/>
                <w:color w:val="auto"/>
              </w:rPr>
              <w:t>Total Equity Companies</w:t>
            </w:r>
          </w:p>
        </w:tc>
        <w:tc>
          <w:tcPr>
            <w:tcW w:w="2480" w:type="dxa"/>
            <w:vAlign w:val="bottom"/>
          </w:tcPr>
          <w:p>
            <w:pPr>
              <w:spacing w:after="0"/>
              <w:rPr>
                <w:sz w:val="19"/>
                <w:szCs w:val="19"/>
                <w:color w:val="auto"/>
              </w:rPr>
            </w:pPr>
          </w:p>
        </w:tc>
        <w:tc>
          <w:tcPr>
            <w:tcW w:w="19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ind w:right="531"/>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460" w:type="dxa"/>
            <w:vAlign w:val="bottom"/>
          </w:tcPr>
          <w:p>
            <w:pPr>
              <w:ind w:left="20"/>
              <w:spacing w:after="0"/>
              <w:rPr>
                <w:sz w:val="20"/>
                <w:szCs w:val="20"/>
                <w:color w:val="auto"/>
              </w:rPr>
            </w:pPr>
            <w:r>
              <w:rPr>
                <w:rFonts w:ascii="Arial" w:cs="Arial" w:eastAsia="Arial" w:hAnsi="Arial"/>
                <w:sz w:val="18"/>
                <w:szCs w:val="18"/>
                <w:b w:val="1"/>
                <w:bCs w:val="1"/>
                <w:color w:val="auto"/>
              </w:rPr>
              <w:t>Total dry development wells drilled</w:t>
            </w:r>
          </w:p>
        </w:tc>
        <w:tc>
          <w:tcPr>
            <w:tcW w:w="2480" w:type="dxa"/>
            <w:vAlign w:val="bottom"/>
          </w:tcPr>
          <w:p>
            <w:pPr>
              <w:spacing w:after="0"/>
              <w:rPr>
                <w:sz w:val="19"/>
                <w:szCs w:val="19"/>
                <w:color w:val="auto"/>
              </w:rPr>
            </w:pPr>
          </w:p>
        </w:tc>
        <w:tc>
          <w:tcPr>
            <w:tcW w:w="19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4</w:t>
            </w:r>
          </w:p>
        </w:tc>
        <w:tc>
          <w:tcPr>
            <w:tcW w:w="1460" w:type="dxa"/>
            <w:vAlign w:val="bottom"/>
            <w:tcBorders>
              <w:bottom w:val="single" w:sz="8" w:color="auto"/>
            </w:tcBorders>
          </w:tcPr>
          <w:p>
            <w:pPr>
              <w:jc w:val="right"/>
              <w:ind w:right="531"/>
              <w:spacing w:after="0"/>
              <w:rPr>
                <w:sz w:val="20"/>
                <w:szCs w:val="20"/>
                <w:color w:val="auto"/>
              </w:rPr>
            </w:pPr>
            <w:r>
              <w:rPr>
                <w:rFonts w:ascii="Arial" w:cs="Arial" w:eastAsia="Arial" w:hAnsi="Arial"/>
                <w:sz w:val="18"/>
                <w:szCs w:val="18"/>
                <w:color w:val="auto"/>
              </w:rPr>
              <w:t>7</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r>
      <w:tr>
        <w:trPr>
          <w:trHeight w:val="466"/>
        </w:trPr>
        <w:tc>
          <w:tcPr>
            <w:tcW w:w="4460" w:type="dxa"/>
            <w:vAlign w:val="bottom"/>
          </w:tcPr>
          <w:p>
            <w:pPr>
              <w:ind w:left="220"/>
              <w:spacing w:after="0"/>
              <w:rPr>
                <w:sz w:val="20"/>
                <w:szCs w:val="20"/>
                <w:color w:val="auto"/>
              </w:rPr>
            </w:pPr>
            <w:r>
              <w:rPr>
                <w:rFonts w:ascii="Arial" w:cs="Arial" w:eastAsia="Arial" w:hAnsi="Arial"/>
                <w:sz w:val="18"/>
                <w:szCs w:val="18"/>
                <w:b w:val="1"/>
                <w:bCs w:val="1"/>
                <w:color w:val="auto"/>
              </w:rPr>
              <w:t>Total number of net wells drilled</w:t>
            </w:r>
          </w:p>
        </w:tc>
        <w:tc>
          <w:tcPr>
            <w:tcW w:w="4400" w:type="dxa"/>
            <w:vAlign w:val="bottom"/>
            <w:gridSpan w:val="2"/>
          </w:tcPr>
          <w:p>
            <w:pPr>
              <w:jc w:val="right"/>
              <w:ind w:right="550"/>
              <w:spacing w:after="0"/>
              <w:rPr>
                <w:sz w:val="20"/>
                <w:szCs w:val="20"/>
                <w:color w:val="auto"/>
              </w:rPr>
            </w:pPr>
            <w:r>
              <w:rPr>
                <w:rFonts w:ascii="Arial" w:cs="Arial" w:eastAsia="Arial" w:hAnsi="Arial"/>
                <w:sz w:val="18"/>
                <w:szCs w:val="18"/>
                <w:color w:val="auto"/>
              </w:rPr>
              <w:t>501</w:t>
            </w:r>
          </w:p>
        </w:tc>
        <w:tc>
          <w:tcPr>
            <w:tcW w:w="1460" w:type="dxa"/>
            <w:vAlign w:val="bottom"/>
          </w:tcPr>
          <w:p>
            <w:pPr>
              <w:jc w:val="right"/>
              <w:ind w:right="531"/>
              <w:spacing w:after="0"/>
              <w:rPr>
                <w:sz w:val="20"/>
                <w:szCs w:val="20"/>
                <w:color w:val="auto"/>
              </w:rPr>
            </w:pPr>
            <w:r>
              <w:rPr>
                <w:rFonts w:ascii="Arial" w:cs="Arial" w:eastAsia="Arial" w:hAnsi="Arial"/>
                <w:sz w:val="18"/>
                <w:szCs w:val="18"/>
                <w:color w:val="auto"/>
              </w:rPr>
              <w:t>553</w:t>
            </w:r>
          </w:p>
        </w:tc>
        <w:tc>
          <w:tcPr>
            <w:tcW w:w="920" w:type="dxa"/>
            <w:vAlign w:val="bottom"/>
          </w:tcPr>
          <w:p>
            <w:pPr>
              <w:jc w:val="right"/>
              <w:spacing w:after="0"/>
              <w:rPr>
                <w:sz w:val="20"/>
                <w:szCs w:val="20"/>
                <w:color w:val="auto"/>
              </w:rPr>
            </w:pPr>
            <w:r>
              <w:rPr>
                <w:rFonts w:ascii="Arial" w:cs="Arial" w:eastAsia="Arial" w:hAnsi="Arial"/>
                <w:sz w:val="18"/>
                <w:szCs w:val="18"/>
                <w:color w:val="auto"/>
              </w:rPr>
              <w:t>917</w:t>
            </w:r>
          </w:p>
        </w:tc>
      </w:tr>
      <w:tr>
        <w:trPr>
          <w:trHeight w:val="750"/>
        </w:trPr>
        <w:tc>
          <w:tcPr>
            <w:tcW w:w="4460" w:type="dxa"/>
            <w:vAlign w:val="bottom"/>
          </w:tcPr>
          <w:p>
            <w:pPr>
              <w:spacing w:after="0"/>
              <w:rPr>
                <w:sz w:val="24"/>
                <w:szCs w:val="24"/>
                <w:color w:val="auto"/>
              </w:rPr>
            </w:pPr>
          </w:p>
        </w:tc>
        <w:tc>
          <w:tcPr>
            <w:tcW w:w="2480" w:type="dxa"/>
            <w:vAlign w:val="bottom"/>
          </w:tcPr>
          <w:p>
            <w:pPr>
              <w:jc w:val="right"/>
              <w:ind w:right="1131"/>
              <w:spacing w:after="0"/>
              <w:rPr>
                <w:sz w:val="20"/>
                <w:szCs w:val="20"/>
                <w:color w:val="auto"/>
              </w:rPr>
            </w:pPr>
            <w:r>
              <w:rPr>
                <w:rFonts w:ascii="Arial" w:cs="Arial" w:eastAsia="Arial" w:hAnsi="Arial"/>
                <w:sz w:val="18"/>
                <w:szCs w:val="18"/>
                <w:color w:val="auto"/>
              </w:rPr>
              <w:t>14</w:t>
            </w:r>
          </w:p>
        </w:tc>
        <w:tc>
          <w:tcPr>
            <w:tcW w:w="192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r>
      <w:tr>
        <w:trPr>
          <w:trHeight w:val="101"/>
        </w:trPr>
        <w:tc>
          <w:tcPr>
            <w:tcW w:w="4460" w:type="dxa"/>
            <w:vAlign w:val="bottom"/>
            <w:tcBorders>
              <w:bottom w:val="single" w:sz="8" w:color="9A9A9A"/>
            </w:tcBorders>
          </w:tcPr>
          <w:p>
            <w:pPr>
              <w:spacing w:after="0"/>
              <w:rPr>
                <w:sz w:val="8"/>
                <w:szCs w:val="8"/>
                <w:color w:val="auto"/>
              </w:rPr>
            </w:pPr>
          </w:p>
        </w:tc>
        <w:tc>
          <w:tcPr>
            <w:tcW w:w="2480" w:type="dxa"/>
            <w:vAlign w:val="bottom"/>
            <w:tcBorders>
              <w:bottom w:val="single" w:sz="8" w:color="9A9A9A"/>
            </w:tcBorders>
          </w:tcPr>
          <w:p>
            <w:pPr>
              <w:spacing w:after="0"/>
              <w:rPr>
                <w:sz w:val="8"/>
                <w:szCs w:val="8"/>
                <w:color w:val="auto"/>
              </w:rPr>
            </w:pPr>
          </w:p>
        </w:tc>
        <w:tc>
          <w:tcPr>
            <w:tcW w:w="1920" w:type="dxa"/>
            <w:vAlign w:val="bottom"/>
            <w:tcBorders>
              <w:bottom w:val="single" w:sz="8" w:color="9A9A9A"/>
            </w:tcBorders>
          </w:tcPr>
          <w:p>
            <w:pPr>
              <w:spacing w:after="0"/>
              <w:rPr>
                <w:sz w:val="8"/>
                <w:szCs w:val="8"/>
                <w:color w:val="auto"/>
              </w:rPr>
            </w:pPr>
          </w:p>
        </w:tc>
        <w:tc>
          <w:tcPr>
            <w:tcW w:w="146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7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B. Exploratory and Development Activities Regarding Oil and Gas Resources Extracted by Mining Technologies</w:t>
      </w:r>
    </w:p>
    <w:p>
      <w:pPr>
        <w:spacing w:after="0" w:line="90"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Syncrude Operations. </w:t>
      </w:r>
      <w:r>
        <w:rPr>
          <w:rFonts w:ascii="Arial" w:cs="Arial" w:eastAsia="Arial" w:hAnsi="Arial"/>
          <w:sz w:val="16"/>
          <w:szCs w:val="16"/>
          <w:color w:val="auto"/>
        </w:rPr>
        <w:t>Syncrude is a joint venture established to recover shallow deposits of oil sands using open-pit mining methods to extract the crude</w:t>
      </w:r>
      <w:r>
        <w:rPr>
          <w:rFonts w:ascii="Arial" w:cs="Arial" w:eastAsia="Arial" w:hAnsi="Arial"/>
          <w:sz w:val="16"/>
          <w:szCs w:val="16"/>
          <w:b w:val="1"/>
          <w:bCs w:val="1"/>
          <w:color w:val="auto"/>
        </w:rPr>
        <w:t xml:space="preserve"> </w:t>
      </w:r>
      <w:r>
        <w:rPr>
          <w:rFonts w:ascii="Arial" w:cs="Arial" w:eastAsia="Arial" w:hAnsi="Arial"/>
          <w:sz w:val="16"/>
          <w:szCs w:val="16"/>
          <w:color w:val="auto"/>
        </w:rPr>
        <w:t>bitumen, and then upgrade it to produce a high-quality, light (32 degrees API), sweet, synthetic crude oil. Imperial Oil Limited is the owner of a 25 percent interest in the joint venture. Exxon Mobil Corporation has a 69.6 percent interest in Imperial Oil Limited. In 2021, the company’s share of net production of synthetic crude oil was about 62 thousand barrels per day and share of net acreage was about 55 thousand acres in the Athabasca oil sands deposit.</w:t>
      </w:r>
    </w:p>
    <w:p>
      <w:pPr>
        <w:spacing w:after="0" w:line="2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Kearl Operations. </w:t>
      </w:r>
      <w:r>
        <w:rPr>
          <w:rFonts w:ascii="Arial" w:cs="Arial" w:eastAsia="Arial" w:hAnsi="Arial"/>
          <w:sz w:val="18"/>
          <w:szCs w:val="18"/>
          <w:color w:val="auto"/>
        </w:rPr>
        <w:t>Kearl is a joint venture established to recover shallow deposits of oil sands using open-pit mining methods to extract the crude bitumen.</w:t>
      </w:r>
      <w:r>
        <w:rPr>
          <w:rFonts w:ascii="Arial" w:cs="Arial" w:eastAsia="Arial" w:hAnsi="Arial"/>
          <w:sz w:val="18"/>
          <w:szCs w:val="18"/>
          <w:b w:val="1"/>
          <w:bCs w:val="1"/>
          <w:color w:val="auto"/>
        </w:rPr>
        <w:t xml:space="preserve"> </w:t>
      </w:r>
      <w:r>
        <w:rPr>
          <w:rFonts w:ascii="Arial" w:cs="Arial" w:eastAsia="Arial" w:hAnsi="Arial"/>
          <w:sz w:val="18"/>
          <w:szCs w:val="18"/>
          <w:color w:val="auto"/>
        </w:rPr>
        <w:t>Imperial Oil Limited holds a 70.96 percent interest in the joint venture and ExxonMobil Canada Properties holds the other 29.04 percent. Exxon Mobil Corporation has a 69.6 percent interest in Imperial Oil Limited and a 100 percent interest in ExxonMobil Canada Properties. Kearl is comprised of six oil sands leases covering about 49 thousand acres in the Athabasca oil sands deposit.</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Kearl is located approximately 40 miles north of Fort McMurray, Alberta, Canada. Bitumen is extracted from oil sands and processed through bitumen extraction and froth treatment trains. The product, a blend of bitumen and diluent, is shipped to our refineries and to other third parties. Diluent is natural gas condensate or other light hydrocarbons added to the crude bitumen to facilitate transportation by pipeline and rail. During 2021, average net production at Kearl was about 251 thousand barrels per day.</w:t>
      </w:r>
    </w:p>
    <w:p>
      <w:pPr>
        <w:spacing w:after="0" w:line="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2021, approximately 2.4 billion barrels of bitumen at Kearl were added to proved reserves primarily as a result of an improved SEC price basis versus 2020.</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Present Activities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Wells Drilling</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Year-End 2021</w:t>
            </w:r>
          </w:p>
        </w:tc>
        <w:tc>
          <w:tcPr>
            <w:tcW w:w="92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4"/>
                <w:szCs w:val="14"/>
                <w:b w:val="1"/>
                <w:bCs w:val="1"/>
                <w:color w:val="auto"/>
              </w:rPr>
              <w:t>Year-End 2020</w:t>
            </w:r>
          </w:p>
        </w:tc>
        <w:tc>
          <w:tcPr>
            <w:tcW w:w="720" w:type="dxa"/>
            <w:vAlign w:val="bottom"/>
          </w:tcPr>
          <w:p>
            <w:pPr>
              <w:spacing w:after="0"/>
              <w:rPr>
                <w:sz w:val="16"/>
                <w:szCs w:val="16"/>
                <w:color w:val="auto"/>
              </w:rPr>
            </w:pPr>
          </w:p>
        </w:tc>
      </w:tr>
      <w:tr>
        <w:trPr>
          <w:trHeight w:val="39"/>
        </w:trPr>
        <w:tc>
          <w:tcPr>
            <w:tcW w:w="446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r>
      <w:tr>
        <w:trPr>
          <w:trHeight w:val="184"/>
        </w:trPr>
        <w:tc>
          <w:tcPr>
            <w:tcW w:w="44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660" w:type="dxa"/>
            <w:vAlign w:val="bottom"/>
          </w:tcPr>
          <w:p>
            <w:pPr>
              <w:jc w:val="right"/>
              <w:ind w:right="835"/>
              <w:spacing w:after="0"/>
              <w:rPr>
                <w:sz w:val="20"/>
                <w:szCs w:val="20"/>
                <w:color w:val="auto"/>
              </w:rPr>
            </w:pPr>
            <w:r>
              <w:rPr>
                <w:rFonts w:ascii="Arial" w:cs="Arial" w:eastAsia="Arial" w:hAnsi="Arial"/>
                <w:sz w:val="14"/>
                <w:szCs w:val="14"/>
                <w:b w:val="1"/>
                <w:bCs w:val="1"/>
                <w:color w:val="auto"/>
              </w:rPr>
              <w:t>Gross</w:t>
            </w:r>
          </w:p>
        </w:tc>
        <w:tc>
          <w:tcPr>
            <w:tcW w:w="920" w:type="dxa"/>
            <w:vAlign w:val="bottom"/>
          </w:tcPr>
          <w:p>
            <w:pPr>
              <w:jc w:val="right"/>
              <w:ind w:right="591"/>
              <w:spacing w:after="0"/>
              <w:rPr>
                <w:sz w:val="20"/>
                <w:szCs w:val="20"/>
                <w:color w:val="auto"/>
              </w:rPr>
            </w:pPr>
            <w:r>
              <w:rPr>
                <w:rFonts w:ascii="Arial" w:cs="Arial" w:eastAsia="Arial" w:hAnsi="Arial"/>
                <w:sz w:val="14"/>
                <w:szCs w:val="14"/>
                <w:b w:val="1"/>
                <w:bCs w:val="1"/>
                <w:color w:val="auto"/>
                <w:w w:val="97"/>
              </w:rPr>
              <w:t>Net</w:t>
            </w:r>
          </w:p>
        </w:tc>
        <w:tc>
          <w:tcPr>
            <w:tcW w:w="1580" w:type="dxa"/>
            <w:vAlign w:val="bottom"/>
          </w:tcPr>
          <w:p>
            <w:pPr>
              <w:jc w:val="right"/>
              <w:ind w:right="852"/>
              <w:spacing w:after="0"/>
              <w:rPr>
                <w:sz w:val="20"/>
                <w:szCs w:val="20"/>
                <w:color w:val="auto"/>
              </w:rPr>
            </w:pPr>
            <w:r>
              <w:rPr>
                <w:rFonts w:ascii="Arial" w:cs="Arial" w:eastAsia="Arial" w:hAnsi="Arial"/>
                <w:sz w:val="14"/>
                <w:szCs w:val="14"/>
                <w:b w:val="1"/>
                <w:bCs w:val="1"/>
                <w:color w:val="auto"/>
              </w:rPr>
              <w:t>Gross</w:t>
            </w:r>
          </w:p>
        </w:tc>
        <w:tc>
          <w:tcPr>
            <w:tcW w:w="720" w:type="dxa"/>
            <w:vAlign w:val="bottom"/>
          </w:tcPr>
          <w:p>
            <w:pPr>
              <w:jc w:val="right"/>
              <w:ind w:right="371"/>
              <w:spacing w:after="0"/>
              <w:rPr>
                <w:sz w:val="20"/>
                <w:szCs w:val="20"/>
                <w:color w:val="auto"/>
              </w:rPr>
            </w:pPr>
            <w:r>
              <w:rPr>
                <w:rFonts w:ascii="Arial" w:cs="Arial" w:eastAsia="Arial" w:hAnsi="Arial"/>
                <w:sz w:val="14"/>
                <w:szCs w:val="14"/>
                <w:b w:val="1"/>
                <w:bCs w:val="1"/>
                <w:color w:val="auto"/>
              </w:rPr>
              <w:t>Net</w:t>
            </w:r>
          </w:p>
        </w:tc>
      </w:tr>
      <w:tr>
        <w:trPr>
          <w:trHeight w:val="26"/>
        </w:trPr>
        <w:tc>
          <w:tcPr>
            <w:tcW w:w="44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18"/>
        </w:trPr>
        <w:tc>
          <w:tcPr>
            <w:tcW w:w="4460" w:type="dxa"/>
            <w:vAlign w:val="bottom"/>
          </w:tcPr>
          <w:p>
            <w:pPr>
              <w:ind w:left="20"/>
              <w:spacing w:after="0"/>
              <w:rPr>
                <w:sz w:val="20"/>
                <w:szCs w:val="20"/>
                <w:color w:val="auto"/>
              </w:rPr>
            </w:pPr>
            <w:r>
              <w:rPr>
                <w:rFonts w:ascii="Arial" w:cs="Arial" w:eastAsia="Arial" w:hAnsi="Arial"/>
                <w:sz w:val="18"/>
                <w:szCs w:val="18"/>
                <w:b w:val="1"/>
                <w:bCs w:val="1"/>
                <w:color w:val="auto"/>
              </w:rPr>
              <w:t>Wells Drilling</w:t>
            </w:r>
          </w:p>
        </w:tc>
        <w:tc>
          <w:tcPr>
            <w:tcW w:w="19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34"/>
        </w:trPr>
        <w:tc>
          <w:tcPr>
            <w:tcW w:w="4460" w:type="dxa"/>
            <w:vAlign w:val="bottom"/>
          </w:tcPr>
          <w:p>
            <w:pPr>
              <w:ind w:left="220"/>
              <w:spacing w:after="0"/>
              <w:rPr>
                <w:sz w:val="20"/>
                <w:szCs w:val="20"/>
                <w:color w:val="auto"/>
              </w:rPr>
            </w:pPr>
            <w:r>
              <w:rPr>
                <w:rFonts w:ascii="Arial" w:cs="Arial" w:eastAsia="Arial" w:hAnsi="Arial"/>
                <w:sz w:val="18"/>
                <w:szCs w:val="18"/>
                <w:b w:val="1"/>
                <w:bCs w:val="1"/>
                <w:color w:val="auto"/>
              </w:rPr>
              <w:t>Consolidated Subsidiaries</w:t>
            </w:r>
          </w:p>
        </w:tc>
        <w:tc>
          <w:tcPr>
            <w:tcW w:w="19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29"/>
        </w:trPr>
        <w:tc>
          <w:tcPr>
            <w:tcW w:w="4460" w:type="dxa"/>
            <w:vAlign w:val="bottom"/>
          </w:tcPr>
          <w:p>
            <w:pPr>
              <w:ind w:left="680"/>
              <w:spacing w:after="0"/>
              <w:rPr>
                <w:sz w:val="20"/>
                <w:szCs w:val="20"/>
                <w:color w:val="auto"/>
              </w:rPr>
            </w:pPr>
            <w:r>
              <w:rPr>
                <w:rFonts w:ascii="Arial" w:cs="Arial" w:eastAsia="Arial" w:hAnsi="Arial"/>
                <w:sz w:val="18"/>
                <w:szCs w:val="18"/>
                <w:color w:val="auto"/>
              </w:rPr>
              <w:t>United States</w:t>
            </w:r>
          </w:p>
        </w:tc>
        <w:tc>
          <w:tcPr>
            <w:tcW w:w="3560" w:type="dxa"/>
            <w:vAlign w:val="bottom"/>
            <w:gridSpan w:val="2"/>
          </w:tcPr>
          <w:p>
            <w:pPr>
              <w:jc w:val="right"/>
              <w:ind w:right="515"/>
              <w:spacing w:after="0"/>
              <w:rPr>
                <w:sz w:val="20"/>
                <w:szCs w:val="20"/>
                <w:color w:val="auto"/>
              </w:rPr>
            </w:pPr>
            <w:r>
              <w:rPr>
                <w:rFonts w:ascii="Arial" w:cs="Arial" w:eastAsia="Arial" w:hAnsi="Arial"/>
                <w:sz w:val="18"/>
                <w:szCs w:val="18"/>
                <w:color w:val="auto"/>
              </w:rPr>
              <w:t>1,059</w:t>
            </w:r>
          </w:p>
        </w:tc>
        <w:tc>
          <w:tcPr>
            <w:tcW w:w="920" w:type="dxa"/>
            <w:vAlign w:val="bottom"/>
          </w:tcPr>
          <w:p>
            <w:pPr>
              <w:jc w:val="right"/>
              <w:ind w:right="191"/>
              <w:spacing w:after="0"/>
              <w:rPr>
                <w:sz w:val="20"/>
                <w:szCs w:val="20"/>
                <w:color w:val="auto"/>
              </w:rPr>
            </w:pPr>
            <w:r>
              <w:rPr>
                <w:rFonts w:ascii="Arial" w:cs="Arial" w:eastAsia="Arial" w:hAnsi="Arial"/>
                <w:sz w:val="18"/>
                <w:szCs w:val="18"/>
                <w:color w:val="auto"/>
              </w:rPr>
              <w:t>588</w:t>
            </w:r>
          </w:p>
        </w:tc>
        <w:tc>
          <w:tcPr>
            <w:tcW w:w="1580" w:type="dxa"/>
            <w:vAlign w:val="bottom"/>
          </w:tcPr>
          <w:p>
            <w:pPr>
              <w:jc w:val="right"/>
              <w:ind w:right="512"/>
              <w:spacing w:after="0"/>
              <w:rPr>
                <w:sz w:val="20"/>
                <w:szCs w:val="20"/>
                <w:color w:val="auto"/>
              </w:rPr>
            </w:pPr>
            <w:r>
              <w:rPr>
                <w:rFonts w:ascii="Arial" w:cs="Arial" w:eastAsia="Arial" w:hAnsi="Arial"/>
                <w:sz w:val="18"/>
                <w:szCs w:val="18"/>
                <w:color w:val="auto"/>
              </w:rPr>
              <w:t>1,206</w:t>
            </w:r>
          </w:p>
        </w:tc>
        <w:tc>
          <w:tcPr>
            <w:tcW w:w="720" w:type="dxa"/>
            <w:vAlign w:val="bottom"/>
          </w:tcPr>
          <w:p>
            <w:pPr>
              <w:jc w:val="right"/>
              <w:spacing w:after="0"/>
              <w:rPr>
                <w:sz w:val="20"/>
                <w:szCs w:val="20"/>
                <w:color w:val="auto"/>
              </w:rPr>
            </w:pPr>
            <w:r>
              <w:rPr>
                <w:rFonts w:ascii="Arial" w:cs="Arial" w:eastAsia="Arial" w:hAnsi="Arial"/>
                <w:sz w:val="18"/>
                <w:szCs w:val="18"/>
                <w:color w:val="auto"/>
              </w:rPr>
              <w:t>741</w:t>
            </w:r>
          </w:p>
        </w:tc>
      </w:tr>
      <w:tr>
        <w:trPr>
          <w:trHeight w:val="230"/>
        </w:trPr>
        <w:tc>
          <w:tcPr>
            <w:tcW w:w="4460" w:type="dxa"/>
            <w:vAlign w:val="bottom"/>
          </w:tcPr>
          <w:p>
            <w:pPr>
              <w:ind w:left="680"/>
              <w:spacing w:after="0"/>
              <w:rPr>
                <w:sz w:val="20"/>
                <w:szCs w:val="20"/>
                <w:color w:val="auto"/>
              </w:rPr>
            </w:pPr>
            <w:r>
              <w:rPr>
                <w:rFonts w:ascii="Arial" w:cs="Arial" w:eastAsia="Arial" w:hAnsi="Arial"/>
                <w:sz w:val="18"/>
                <w:szCs w:val="18"/>
                <w:color w:val="auto"/>
              </w:rPr>
              <w:t>Canada/Other Americas</w:t>
            </w:r>
          </w:p>
        </w:tc>
        <w:tc>
          <w:tcPr>
            <w:tcW w:w="3560" w:type="dxa"/>
            <w:vAlign w:val="bottom"/>
            <w:gridSpan w:val="2"/>
          </w:tcPr>
          <w:p>
            <w:pPr>
              <w:jc w:val="right"/>
              <w:ind w:right="515"/>
              <w:spacing w:after="0"/>
              <w:rPr>
                <w:sz w:val="20"/>
                <w:szCs w:val="20"/>
                <w:color w:val="auto"/>
              </w:rPr>
            </w:pPr>
            <w:r>
              <w:rPr>
                <w:rFonts w:ascii="Arial" w:cs="Arial" w:eastAsia="Arial" w:hAnsi="Arial"/>
                <w:sz w:val="18"/>
                <w:szCs w:val="18"/>
                <w:color w:val="auto"/>
              </w:rPr>
              <w:t>44</w:t>
            </w:r>
          </w:p>
        </w:tc>
        <w:tc>
          <w:tcPr>
            <w:tcW w:w="920" w:type="dxa"/>
            <w:vAlign w:val="bottom"/>
          </w:tcPr>
          <w:p>
            <w:pPr>
              <w:jc w:val="right"/>
              <w:ind w:right="191"/>
              <w:spacing w:after="0"/>
              <w:rPr>
                <w:sz w:val="20"/>
                <w:szCs w:val="20"/>
                <w:color w:val="auto"/>
              </w:rPr>
            </w:pPr>
            <w:r>
              <w:rPr>
                <w:rFonts w:ascii="Arial" w:cs="Arial" w:eastAsia="Arial" w:hAnsi="Arial"/>
                <w:sz w:val="18"/>
                <w:szCs w:val="18"/>
                <w:color w:val="auto"/>
              </w:rPr>
              <w:t>33</w:t>
            </w:r>
          </w:p>
        </w:tc>
        <w:tc>
          <w:tcPr>
            <w:tcW w:w="1580" w:type="dxa"/>
            <w:vAlign w:val="bottom"/>
          </w:tcPr>
          <w:p>
            <w:pPr>
              <w:jc w:val="right"/>
              <w:ind w:right="512"/>
              <w:spacing w:after="0"/>
              <w:rPr>
                <w:sz w:val="20"/>
                <w:szCs w:val="20"/>
                <w:color w:val="auto"/>
              </w:rPr>
            </w:pPr>
            <w:r>
              <w:rPr>
                <w:rFonts w:ascii="Arial" w:cs="Arial" w:eastAsia="Arial" w:hAnsi="Arial"/>
                <w:sz w:val="18"/>
                <w:szCs w:val="18"/>
                <w:color w:val="auto"/>
              </w:rPr>
              <w:t>38</w:t>
            </w:r>
          </w:p>
        </w:tc>
        <w:tc>
          <w:tcPr>
            <w:tcW w:w="7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29"/>
        </w:trPr>
        <w:tc>
          <w:tcPr>
            <w:tcW w:w="4460" w:type="dxa"/>
            <w:vAlign w:val="bottom"/>
          </w:tcPr>
          <w:p>
            <w:pPr>
              <w:ind w:left="680"/>
              <w:spacing w:after="0"/>
              <w:rPr>
                <w:sz w:val="20"/>
                <w:szCs w:val="20"/>
                <w:color w:val="auto"/>
              </w:rPr>
            </w:pPr>
            <w:r>
              <w:rPr>
                <w:rFonts w:ascii="Arial" w:cs="Arial" w:eastAsia="Arial" w:hAnsi="Arial"/>
                <w:sz w:val="18"/>
                <w:szCs w:val="18"/>
                <w:color w:val="auto"/>
              </w:rPr>
              <w:t>Europe</w:t>
            </w:r>
          </w:p>
        </w:tc>
        <w:tc>
          <w:tcPr>
            <w:tcW w:w="3560" w:type="dxa"/>
            <w:vAlign w:val="bottom"/>
            <w:gridSpan w:val="2"/>
          </w:tcPr>
          <w:p>
            <w:pPr>
              <w:jc w:val="right"/>
              <w:ind w:right="515"/>
              <w:spacing w:after="0"/>
              <w:rPr>
                <w:sz w:val="20"/>
                <w:szCs w:val="20"/>
                <w:color w:val="auto"/>
              </w:rPr>
            </w:pPr>
            <w:r>
              <w:rPr>
                <w:rFonts w:ascii="Arial" w:cs="Arial" w:eastAsia="Arial" w:hAnsi="Arial"/>
                <w:sz w:val="18"/>
                <w:szCs w:val="18"/>
                <w:color w:val="auto"/>
              </w:rPr>
              <w:t>2</w:t>
            </w:r>
          </w:p>
        </w:tc>
        <w:tc>
          <w:tcPr>
            <w:tcW w:w="920" w:type="dxa"/>
            <w:vAlign w:val="bottom"/>
          </w:tcPr>
          <w:p>
            <w:pPr>
              <w:jc w:val="right"/>
              <w:ind w:right="191"/>
              <w:spacing w:after="0"/>
              <w:rPr>
                <w:sz w:val="20"/>
                <w:szCs w:val="20"/>
                <w:color w:val="auto"/>
              </w:rPr>
            </w:pPr>
            <w:r>
              <w:rPr>
                <w:rFonts w:ascii="Arial" w:cs="Arial" w:eastAsia="Arial" w:hAnsi="Arial"/>
                <w:sz w:val="18"/>
                <w:szCs w:val="18"/>
                <w:color w:val="auto"/>
              </w:rPr>
              <w:t>1</w:t>
            </w:r>
          </w:p>
        </w:tc>
        <w:tc>
          <w:tcPr>
            <w:tcW w:w="1580" w:type="dxa"/>
            <w:vAlign w:val="bottom"/>
          </w:tcPr>
          <w:p>
            <w:pPr>
              <w:jc w:val="right"/>
              <w:ind w:right="512"/>
              <w:spacing w:after="0"/>
              <w:rPr>
                <w:sz w:val="20"/>
                <w:szCs w:val="20"/>
                <w:color w:val="auto"/>
              </w:rPr>
            </w:pPr>
            <w:r>
              <w:rPr>
                <w:rFonts w:ascii="Arial" w:cs="Arial" w:eastAsia="Arial" w:hAnsi="Arial"/>
                <w:sz w:val="18"/>
                <w:szCs w:val="18"/>
                <w:color w:val="auto"/>
              </w:rPr>
              <w:t>13</w:t>
            </w:r>
          </w:p>
        </w:tc>
        <w:tc>
          <w:tcPr>
            <w:tcW w:w="7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4460" w:type="dxa"/>
            <w:vAlign w:val="bottom"/>
          </w:tcPr>
          <w:p>
            <w:pPr>
              <w:ind w:left="680"/>
              <w:spacing w:after="0"/>
              <w:rPr>
                <w:sz w:val="20"/>
                <w:szCs w:val="20"/>
                <w:color w:val="auto"/>
              </w:rPr>
            </w:pPr>
            <w:r>
              <w:rPr>
                <w:rFonts w:ascii="Arial" w:cs="Arial" w:eastAsia="Arial" w:hAnsi="Arial"/>
                <w:sz w:val="18"/>
                <w:szCs w:val="18"/>
                <w:color w:val="auto"/>
              </w:rPr>
              <w:t>Africa</w:t>
            </w:r>
          </w:p>
        </w:tc>
        <w:tc>
          <w:tcPr>
            <w:tcW w:w="3560" w:type="dxa"/>
            <w:vAlign w:val="bottom"/>
            <w:gridSpan w:val="2"/>
          </w:tcPr>
          <w:p>
            <w:pPr>
              <w:jc w:val="right"/>
              <w:ind w:right="515"/>
              <w:spacing w:after="0"/>
              <w:rPr>
                <w:sz w:val="20"/>
                <w:szCs w:val="20"/>
                <w:color w:val="auto"/>
              </w:rPr>
            </w:pPr>
            <w:r>
              <w:rPr>
                <w:rFonts w:ascii="Arial" w:cs="Arial" w:eastAsia="Arial" w:hAnsi="Arial"/>
                <w:sz w:val="18"/>
                <w:szCs w:val="18"/>
                <w:color w:val="auto"/>
              </w:rPr>
              <w:t>11</w:t>
            </w:r>
          </w:p>
        </w:tc>
        <w:tc>
          <w:tcPr>
            <w:tcW w:w="920" w:type="dxa"/>
            <w:vAlign w:val="bottom"/>
          </w:tcPr>
          <w:p>
            <w:pPr>
              <w:jc w:val="right"/>
              <w:ind w:right="191"/>
              <w:spacing w:after="0"/>
              <w:rPr>
                <w:sz w:val="20"/>
                <w:szCs w:val="20"/>
                <w:color w:val="auto"/>
              </w:rPr>
            </w:pPr>
            <w:r>
              <w:rPr>
                <w:rFonts w:ascii="Arial" w:cs="Arial" w:eastAsia="Arial" w:hAnsi="Arial"/>
                <w:sz w:val="18"/>
                <w:szCs w:val="18"/>
                <w:color w:val="auto"/>
              </w:rPr>
              <w:t>2</w:t>
            </w:r>
          </w:p>
        </w:tc>
        <w:tc>
          <w:tcPr>
            <w:tcW w:w="1580" w:type="dxa"/>
            <w:vAlign w:val="bottom"/>
          </w:tcPr>
          <w:p>
            <w:pPr>
              <w:jc w:val="right"/>
              <w:ind w:right="512"/>
              <w:spacing w:after="0"/>
              <w:rPr>
                <w:sz w:val="20"/>
                <w:szCs w:val="20"/>
                <w:color w:val="auto"/>
              </w:rPr>
            </w:pPr>
            <w:r>
              <w:rPr>
                <w:rFonts w:ascii="Arial" w:cs="Arial" w:eastAsia="Arial" w:hAnsi="Arial"/>
                <w:sz w:val="18"/>
                <w:szCs w:val="18"/>
                <w:color w:val="auto"/>
              </w:rPr>
              <w:t>14</w:t>
            </w:r>
          </w:p>
        </w:tc>
        <w:tc>
          <w:tcPr>
            <w:tcW w:w="7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4460" w:type="dxa"/>
            <w:vAlign w:val="bottom"/>
          </w:tcPr>
          <w:p>
            <w:pPr>
              <w:ind w:left="680"/>
              <w:spacing w:after="0"/>
              <w:rPr>
                <w:sz w:val="20"/>
                <w:szCs w:val="20"/>
                <w:color w:val="auto"/>
              </w:rPr>
            </w:pPr>
            <w:r>
              <w:rPr>
                <w:rFonts w:ascii="Arial" w:cs="Arial" w:eastAsia="Arial" w:hAnsi="Arial"/>
                <w:sz w:val="18"/>
                <w:szCs w:val="18"/>
                <w:color w:val="auto"/>
              </w:rPr>
              <w:t>Asia</w:t>
            </w:r>
          </w:p>
        </w:tc>
        <w:tc>
          <w:tcPr>
            <w:tcW w:w="3560" w:type="dxa"/>
            <w:vAlign w:val="bottom"/>
            <w:gridSpan w:val="2"/>
          </w:tcPr>
          <w:p>
            <w:pPr>
              <w:jc w:val="right"/>
              <w:ind w:right="515"/>
              <w:spacing w:after="0"/>
              <w:rPr>
                <w:sz w:val="20"/>
                <w:szCs w:val="20"/>
                <w:color w:val="auto"/>
              </w:rPr>
            </w:pPr>
            <w:r>
              <w:rPr>
                <w:rFonts w:ascii="Arial" w:cs="Arial" w:eastAsia="Arial" w:hAnsi="Arial"/>
                <w:sz w:val="18"/>
                <w:szCs w:val="18"/>
                <w:color w:val="auto"/>
              </w:rPr>
              <w:t>11</w:t>
            </w:r>
          </w:p>
        </w:tc>
        <w:tc>
          <w:tcPr>
            <w:tcW w:w="920" w:type="dxa"/>
            <w:vAlign w:val="bottom"/>
          </w:tcPr>
          <w:p>
            <w:pPr>
              <w:jc w:val="right"/>
              <w:ind w:right="191"/>
              <w:spacing w:after="0"/>
              <w:rPr>
                <w:sz w:val="20"/>
                <w:szCs w:val="20"/>
                <w:color w:val="auto"/>
              </w:rPr>
            </w:pPr>
            <w:r>
              <w:rPr>
                <w:rFonts w:ascii="Arial" w:cs="Arial" w:eastAsia="Arial" w:hAnsi="Arial"/>
                <w:sz w:val="18"/>
                <w:szCs w:val="18"/>
                <w:color w:val="auto"/>
              </w:rPr>
              <w:t>3</w:t>
            </w:r>
          </w:p>
        </w:tc>
        <w:tc>
          <w:tcPr>
            <w:tcW w:w="1580" w:type="dxa"/>
            <w:vAlign w:val="bottom"/>
          </w:tcPr>
          <w:p>
            <w:pPr>
              <w:jc w:val="right"/>
              <w:ind w:right="512"/>
              <w:spacing w:after="0"/>
              <w:rPr>
                <w:sz w:val="20"/>
                <w:szCs w:val="20"/>
                <w:color w:val="auto"/>
              </w:rPr>
            </w:pPr>
            <w:r>
              <w:rPr>
                <w:rFonts w:ascii="Arial" w:cs="Arial" w:eastAsia="Arial" w:hAnsi="Arial"/>
                <w:sz w:val="18"/>
                <w:szCs w:val="18"/>
                <w:color w:val="auto"/>
              </w:rPr>
              <w:t>14</w:t>
            </w:r>
          </w:p>
        </w:tc>
        <w:tc>
          <w:tcPr>
            <w:tcW w:w="7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4460" w:type="dxa"/>
            <w:vAlign w:val="bottom"/>
          </w:tcPr>
          <w:p>
            <w:pPr>
              <w:ind w:left="680"/>
              <w:spacing w:after="0"/>
              <w:rPr>
                <w:sz w:val="20"/>
                <w:szCs w:val="20"/>
                <w:color w:val="auto"/>
              </w:rPr>
            </w:pPr>
            <w:r>
              <w:rPr>
                <w:rFonts w:ascii="Arial" w:cs="Arial" w:eastAsia="Arial" w:hAnsi="Arial"/>
                <w:sz w:val="18"/>
                <w:szCs w:val="18"/>
                <w:color w:val="auto"/>
              </w:rPr>
              <w:t>Australia/Oceania</w:t>
            </w:r>
          </w:p>
        </w:tc>
        <w:tc>
          <w:tcPr>
            <w:tcW w:w="1900" w:type="dxa"/>
            <w:vAlign w:val="bottom"/>
          </w:tcPr>
          <w:p>
            <w:pPr>
              <w:spacing w:after="0"/>
              <w:rPr>
                <w:sz w:val="20"/>
                <w:szCs w:val="20"/>
                <w:color w:val="auto"/>
              </w:rPr>
            </w:pPr>
          </w:p>
        </w:tc>
        <w:tc>
          <w:tcPr>
            <w:tcW w:w="1660" w:type="dxa"/>
            <w:vAlign w:val="bottom"/>
            <w:tcBorders>
              <w:bottom w:val="single" w:sz="8" w:color="auto"/>
            </w:tcBorders>
          </w:tcPr>
          <w:p>
            <w:pPr>
              <w:jc w:val="right"/>
              <w:ind w:right="515"/>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4460" w:type="dxa"/>
            <w:vAlign w:val="bottom"/>
          </w:tcPr>
          <w:p>
            <w:pPr>
              <w:ind w:left="1120"/>
              <w:spacing w:after="0"/>
              <w:rPr>
                <w:sz w:val="20"/>
                <w:szCs w:val="20"/>
                <w:color w:val="auto"/>
              </w:rPr>
            </w:pPr>
            <w:r>
              <w:rPr>
                <w:rFonts w:ascii="Arial" w:cs="Arial" w:eastAsia="Arial" w:hAnsi="Arial"/>
                <w:sz w:val="18"/>
                <w:szCs w:val="18"/>
                <w:color w:val="auto"/>
              </w:rPr>
              <w:t>Total Consolidated Subsidiaries</w:t>
            </w:r>
          </w:p>
        </w:tc>
        <w:tc>
          <w:tcPr>
            <w:tcW w:w="1900" w:type="dxa"/>
            <w:vAlign w:val="bottom"/>
          </w:tcPr>
          <w:p>
            <w:pPr>
              <w:spacing w:after="0"/>
              <w:rPr>
                <w:sz w:val="19"/>
                <w:szCs w:val="19"/>
                <w:color w:val="auto"/>
              </w:rPr>
            </w:pPr>
          </w:p>
        </w:tc>
        <w:tc>
          <w:tcPr>
            <w:tcW w:w="1660" w:type="dxa"/>
            <w:vAlign w:val="bottom"/>
          </w:tcPr>
          <w:p>
            <w:pPr>
              <w:jc w:val="right"/>
              <w:ind w:right="515"/>
              <w:spacing w:after="0"/>
              <w:rPr>
                <w:sz w:val="20"/>
                <w:szCs w:val="20"/>
                <w:color w:val="auto"/>
              </w:rPr>
            </w:pPr>
            <w:r>
              <w:rPr>
                <w:rFonts w:ascii="Arial" w:cs="Arial" w:eastAsia="Arial" w:hAnsi="Arial"/>
                <w:sz w:val="18"/>
                <w:szCs w:val="18"/>
                <w:color w:val="auto"/>
              </w:rPr>
              <w:t>1,127</w:t>
            </w:r>
          </w:p>
        </w:tc>
        <w:tc>
          <w:tcPr>
            <w:tcW w:w="920" w:type="dxa"/>
            <w:vAlign w:val="bottom"/>
          </w:tcPr>
          <w:p>
            <w:pPr>
              <w:jc w:val="right"/>
              <w:ind w:right="191"/>
              <w:spacing w:after="0"/>
              <w:rPr>
                <w:sz w:val="20"/>
                <w:szCs w:val="20"/>
                <w:color w:val="auto"/>
              </w:rPr>
            </w:pPr>
            <w:r>
              <w:rPr>
                <w:rFonts w:ascii="Arial" w:cs="Arial" w:eastAsia="Arial" w:hAnsi="Arial"/>
                <w:sz w:val="18"/>
                <w:szCs w:val="18"/>
                <w:color w:val="auto"/>
              </w:rPr>
              <w:t>627</w:t>
            </w:r>
          </w:p>
        </w:tc>
        <w:tc>
          <w:tcPr>
            <w:tcW w:w="1580" w:type="dxa"/>
            <w:vAlign w:val="bottom"/>
          </w:tcPr>
          <w:p>
            <w:pPr>
              <w:jc w:val="right"/>
              <w:ind w:right="512"/>
              <w:spacing w:after="0"/>
              <w:rPr>
                <w:sz w:val="20"/>
                <w:szCs w:val="20"/>
                <w:color w:val="auto"/>
              </w:rPr>
            </w:pPr>
            <w:r>
              <w:rPr>
                <w:rFonts w:ascii="Arial" w:cs="Arial" w:eastAsia="Arial" w:hAnsi="Arial"/>
                <w:sz w:val="18"/>
                <w:szCs w:val="18"/>
                <w:color w:val="auto"/>
              </w:rPr>
              <w:t>1,285</w:t>
            </w:r>
          </w:p>
        </w:tc>
        <w:tc>
          <w:tcPr>
            <w:tcW w:w="720" w:type="dxa"/>
            <w:vAlign w:val="bottom"/>
          </w:tcPr>
          <w:p>
            <w:pPr>
              <w:jc w:val="right"/>
              <w:spacing w:after="0"/>
              <w:rPr>
                <w:sz w:val="20"/>
                <w:szCs w:val="20"/>
                <w:color w:val="auto"/>
              </w:rPr>
            </w:pPr>
            <w:r>
              <w:rPr>
                <w:rFonts w:ascii="Arial" w:cs="Arial" w:eastAsia="Arial" w:hAnsi="Arial"/>
                <w:sz w:val="18"/>
                <w:szCs w:val="18"/>
                <w:color w:val="auto"/>
              </w:rPr>
              <w:t>783</w:t>
            </w:r>
          </w:p>
        </w:tc>
      </w:tr>
      <w:tr>
        <w:trPr>
          <w:trHeight w:val="498"/>
        </w:trPr>
        <w:tc>
          <w:tcPr>
            <w:tcW w:w="4460" w:type="dxa"/>
            <w:vAlign w:val="bottom"/>
          </w:tcPr>
          <w:p>
            <w:pPr>
              <w:ind w:left="220"/>
              <w:spacing w:after="0"/>
              <w:rPr>
                <w:sz w:val="20"/>
                <w:szCs w:val="20"/>
                <w:color w:val="auto"/>
              </w:rPr>
            </w:pPr>
            <w:r>
              <w:rPr>
                <w:rFonts w:ascii="Arial" w:cs="Arial" w:eastAsia="Arial" w:hAnsi="Arial"/>
                <w:sz w:val="18"/>
                <w:szCs w:val="18"/>
                <w:b w:val="1"/>
                <w:bCs w:val="1"/>
                <w:color w:val="auto"/>
              </w:rPr>
              <w:t>Equity Companies</w:t>
            </w:r>
          </w:p>
        </w:tc>
        <w:tc>
          <w:tcPr>
            <w:tcW w:w="19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30"/>
        </w:trPr>
        <w:tc>
          <w:tcPr>
            <w:tcW w:w="4460" w:type="dxa"/>
            <w:vAlign w:val="bottom"/>
          </w:tcPr>
          <w:p>
            <w:pPr>
              <w:ind w:left="680"/>
              <w:spacing w:after="0"/>
              <w:rPr>
                <w:sz w:val="20"/>
                <w:szCs w:val="20"/>
                <w:color w:val="auto"/>
              </w:rPr>
            </w:pPr>
            <w:r>
              <w:rPr>
                <w:rFonts w:ascii="Arial" w:cs="Arial" w:eastAsia="Arial" w:hAnsi="Arial"/>
                <w:sz w:val="18"/>
                <w:szCs w:val="18"/>
                <w:color w:val="auto"/>
              </w:rPr>
              <w:t>United States</w:t>
            </w:r>
          </w:p>
        </w:tc>
        <w:tc>
          <w:tcPr>
            <w:tcW w:w="3560" w:type="dxa"/>
            <w:vAlign w:val="bottom"/>
            <w:gridSpan w:val="2"/>
          </w:tcPr>
          <w:p>
            <w:pPr>
              <w:jc w:val="right"/>
              <w:ind w:right="515"/>
              <w:spacing w:after="0"/>
              <w:rPr>
                <w:sz w:val="20"/>
                <w:szCs w:val="20"/>
                <w:color w:val="auto"/>
              </w:rPr>
            </w:pPr>
            <w:r>
              <w:rPr>
                <w:rFonts w:ascii="Arial" w:cs="Arial" w:eastAsia="Arial" w:hAnsi="Arial"/>
                <w:sz w:val="18"/>
                <w:szCs w:val="18"/>
                <w:color w:val="auto"/>
              </w:rPr>
              <w:t>12</w:t>
            </w:r>
          </w:p>
        </w:tc>
        <w:tc>
          <w:tcPr>
            <w:tcW w:w="920" w:type="dxa"/>
            <w:vAlign w:val="bottom"/>
          </w:tcPr>
          <w:p>
            <w:pPr>
              <w:jc w:val="right"/>
              <w:ind w:right="191"/>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512"/>
              <w:spacing w:after="0"/>
              <w:rPr>
                <w:sz w:val="20"/>
                <w:szCs w:val="20"/>
                <w:color w:val="auto"/>
              </w:rPr>
            </w:pPr>
            <w:r>
              <w:rPr>
                <w:rFonts w:ascii="Arial" w:cs="Arial" w:eastAsia="Arial" w:hAnsi="Arial"/>
                <w:sz w:val="18"/>
                <w:szCs w:val="18"/>
                <w:color w:val="auto"/>
              </w:rPr>
              <w:t>3</w:t>
            </w: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4460" w:type="dxa"/>
            <w:vAlign w:val="bottom"/>
          </w:tcPr>
          <w:p>
            <w:pPr>
              <w:ind w:left="680"/>
              <w:spacing w:after="0"/>
              <w:rPr>
                <w:sz w:val="20"/>
                <w:szCs w:val="20"/>
                <w:color w:val="auto"/>
              </w:rPr>
            </w:pPr>
            <w:r>
              <w:rPr>
                <w:rFonts w:ascii="Arial" w:cs="Arial" w:eastAsia="Arial" w:hAnsi="Arial"/>
                <w:sz w:val="18"/>
                <w:szCs w:val="18"/>
                <w:color w:val="auto"/>
              </w:rPr>
              <w:t>Europe</w:t>
            </w:r>
          </w:p>
        </w:tc>
        <w:tc>
          <w:tcPr>
            <w:tcW w:w="1900" w:type="dxa"/>
            <w:vAlign w:val="bottom"/>
          </w:tcPr>
          <w:p>
            <w:pPr>
              <w:spacing w:after="0"/>
              <w:rPr>
                <w:sz w:val="19"/>
                <w:szCs w:val="19"/>
                <w:color w:val="auto"/>
              </w:rPr>
            </w:pPr>
          </w:p>
        </w:tc>
        <w:tc>
          <w:tcPr>
            <w:tcW w:w="1660" w:type="dxa"/>
            <w:vAlign w:val="bottom"/>
          </w:tcPr>
          <w:p>
            <w:pPr>
              <w:jc w:val="right"/>
              <w:ind w:right="515"/>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91"/>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512"/>
              <w:spacing w:after="0"/>
              <w:rPr>
                <w:sz w:val="20"/>
                <w:szCs w:val="20"/>
                <w:color w:val="auto"/>
              </w:rPr>
            </w:pPr>
            <w:r>
              <w:rPr>
                <w:rFonts w:ascii="Arial" w:cs="Arial" w:eastAsia="Arial" w:hAnsi="Arial"/>
                <w:sz w:val="18"/>
                <w:szCs w:val="18"/>
                <w:color w:val="auto"/>
              </w:rPr>
              <w:t>1</w:t>
            </w: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4460" w:type="dxa"/>
            <w:vAlign w:val="bottom"/>
          </w:tcPr>
          <w:p>
            <w:pPr>
              <w:ind w:left="680"/>
              <w:spacing w:after="0"/>
              <w:rPr>
                <w:sz w:val="20"/>
                <w:szCs w:val="20"/>
                <w:color w:val="auto"/>
              </w:rPr>
            </w:pPr>
            <w:r>
              <w:rPr>
                <w:rFonts w:ascii="Arial" w:cs="Arial" w:eastAsia="Arial" w:hAnsi="Arial"/>
                <w:sz w:val="18"/>
                <w:szCs w:val="18"/>
                <w:color w:val="auto"/>
              </w:rPr>
              <w:t>Africa</w:t>
            </w:r>
          </w:p>
        </w:tc>
        <w:tc>
          <w:tcPr>
            <w:tcW w:w="1900" w:type="dxa"/>
            <w:vAlign w:val="bottom"/>
          </w:tcPr>
          <w:p>
            <w:pPr>
              <w:spacing w:after="0"/>
              <w:rPr>
                <w:sz w:val="19"/>
                <w:szCs w:val="19"/>
                <w:color w:val="auto"/>
              </w:rPr>
            </w:pPr>
          </w:p>
        </w:tc>
        <w:tc>
          <w:tcPr>
            <w:tcW w:w="1660" w:type="dxa"/>
            <w:vAlign w:val="bottom"/>
          </w:tcPr>
          <w:p>
            <w:pPr>
              <w:jc w:val="right"/>
              <w:ind w:right="515"/>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91"/>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512"/>
              <w:spacing w:after="0"/>
              <w:rPr>
                <w:sz w:val="20"/>
                <w:szCs w:val="20"/>
                <w:color w:val="auto"/>
              </w:rPr>
            </w:pPr>
            <w:r>
              <w:rPr>
                <w:rFonts w:ascii="Arial" w:cs="Arial" w:eastAsia="Arial" w:hAnsi="Arial"/>
                <w:sz w:val="18"/>
                <w:szCs w:val="18"/>
                <w:color w:val="auto"/>
              </w:rPr>
              <w:t>6</w:t>
            </w: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4460" w:type="dxa"/>
            <w:vAlign w:val="bottom"/>
          </w:tcPr>
          <w:p>
            <w:pPr>
              <w:ind w:left="680"/>
              <w:spacing w:after="0"/>
              <w:rPr>
                <w:sz w:val="20"/>
                <w:szCs w:val="20"/>
                <w:color w:val="auto"/>
              </w:rPr>
            </w:pPr>
            <w:r>
              <w:rPr>
                <w:rFonts w:ascii="Arial" w:cs="Arial" w:eastAsia="Arial" w:hAnsi="Arial"/>
                <w:sz w:val="18"/>
                <w:szCs w:val="18"/>
                <w:color w:val="auto"/>
              </w:rPr>
              <w:t>Asia</w:t>
            </w:r>
          </w:p>
        </w:tc>
        <w:tc>
          <w:tcPr>
            <w:tcW w:w="3560" w:type="dxa"/>
            <w:vAlign w:val="bottom"/>
            <w:gridSpan w:val="2"/>
          </w:tcPr>
          <w:p>
            <w:pPr>
              <w:jc w:val="right"/>
              <w:ind w:right="515"/>
              <w:spacing w:after="0"/>
              <w:rPr>
                <w:sz w:val="20"/>
                <w:szCs w:val="20"/>
                <w:color w:val="auto"/>
              </w:rPr>
            </w:pPr>
            <w:r>
              <w:rPr>
                <w:rFonts w:ascii="Arial" w:cs="Arial" w:eastAsia="Arial" w:hAnsi="Arial"/>
                <w:sz w:val="18"/>
                <w:szCs w:val="18"/>
                <w:color w:val="auto"/>
              </w:rPr>
              <w:t>2</w:t>
            </w:r>
          </w:p>
        </w:tc>
        <w:tc>
          <w:tcPr>
            <w:tcW w:w="920" w:type="dxa"/>
            <w:vAlign w:val="bottom"/>
          </w:tcPr>
          <w:p>
            <w:pPr>
              <w:jc w:val="right"/>
              <w:ind w:right="191"/>
              <w:spacing w:after="0"/>
              <w:rPr>
                <w:sz w:val="20"/>
                <w:szCs w:val="20"/>
                <w:color w:val="auto"/>
              </w:rPr>
            </w:pPr>
            <w:r>
              <w:rPr>
                <w:rFonts w:ascii="Arial" w:cs="Arial" w:eastAsia="Arial" w:hAnsi="Arial"/>
                <w:sz w:val="18"/>
                <w:szCs w:val="18"/>
                <w:color w:val="auto"/>
              </w:rPr>
              <w:t>1</w:t>
            </w:r>
          </w:p>
        </w:tc>
        <w:tc>
          <w:tcPr>
            <w:tcW w:w="1580" w:type="dxa"/>
            <w:vAlign w:val="bottom"/>
          </w:tcPr>
          <w:p>
            <w:pPr>
              <w:jc w:val="right"/>
              <w:ind w:right="512"/>
              <w:spacing w:after="0"/>
              <w:rPr>
                <w:sz w:val="20"/>
                <w:szCs w:val="20"/>
                <w:color w:val="auto"/>
              </w:rPr>
            </w:pPr>
            <w:r>
              <w:rPr>
                <w:rFonts w:ascii="Arial" w:cs="Arial" w:eastAsia="Arial" w:hAnsi="Arial"/>
                <w:sz w:val="18"/>
                <w:szCs w:val="18"/>
                <w:color w:val="auto"/>
              </w:rPr>
              <w:t>2</w:t>
            </w: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4460" w:type="dxa"/>
            <w:vAlign w:val="bottom"/>
          </w:tcPr>
          <w:p>
            <w:pPr>
              <w:ind w:left="1120"/>
              <w:spacing w:after="0"/>
              <w:rPr>
                <w:sz w:val="20"/>
                <w:szCs w:val="20"/>
                <w:color w:val="auto"/>
              </w:rPr>
            </w:pPr>
            <w:r>
              <w:rPr>
                <w:rFonts w:ascii="Arial" w:cs="Arial" w:eastAsia="Arial" w:hAnsi="Arial"/>
                <w:sz w:val="18"/>
                <w:szCs w:val="18"/>
                <w:color w:val="auto"/>
              </w:rPr>
              <w:t>Total Equity Companies</w:t>
            </w:r>
          </w:p>
        </w:tc>
        <w:tc>
          <w:tcPr>
            <w:tcW w:w="1900" w:type="dxa"/>
            <w:vAlign w:val="bottom"/>
          </w:tcPr>
          <w:p>
            <w:pPr>
              <w:spacing w:after="0"/>
              <w:rPr>
                <w:sz w:val="19"/>
                <w:szCs w:val="19"/>
                <w:color w:val="auto"/>
              </w:rPr>
            </w:pPr>
          </w:p>
        </w:tc>
        <w:tc>
          <w:tcPr>
            <w:tcW w:w="166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8"/>
                <w:szCs w:val="18"/>
                <w:color w:val="auto"/>
              </w:rPr>
              <w:t>14</w:t>
            </w:r>
          </w:p>
        </w:tc>
        <w:tc>
          <w:tcPr>
            <w:tcW w:w="920" w:type="dxa"/>
            <w:vAlign w:val="bottom"/>
            <w:tcBorders>
              <w:top w:val="single" w:sz="8" w:color="auto"/>
              <w:bottom w:val="single" w:sz="8" w:color="auto"/>
            </w:tcBorders>
          </w:tcPr>
          <w:p>
            <w:pPr>
              <w:jc w:val="right"/>
              <w:ind w:right="191"/>
              <w:spacing w:after="0"/>
              <w:rPr>
                <w:sz w:val="20"/>
                <w:szCs w:val="20"/>
                <w:color w:val="auto"/>
              </w:rPr>
            </w:pPr>
            <w:r>
              <w:rPr>
                <w:rFonts w:ascii="Arial" w:cs="Arial" w:eastAsia="Arial" w:hAnsi="Arial"/>
                <w:sz w:val="18"/>
                <w:szCs w:val="18"/>
                <w:color w:val="auto"/>
              </w:rPr>
              <w:t>1</w:t>
            </w:r>
          </w:p>
        </w:tc>
        <w:tc>
          <w:tcPr>
            <w:tcW w:w="158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8"/>
                <w:szCs w:val="18"/>
                <w:color w:val="auto"/>
              </w:rPr>
              <w:t>12</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4460" w:type="dxa"/>
            <w:vAlign w:val="bottom"/>
          </w:tcPr>
          <w:p>
            <w:pPr>
              <w:ind w:left="20"/>
              <w:spacing w:after="0"/>
              <w:rPr>
                <w:sz w:val="20"/>
                <w:szCs w:val="20"/>
                <w:color w:val="auto"/>
              </w:rPr>
            </w:pPr>
            <w:r>
              <w:rPr>
                <w:rFonts w:ascii="Arial" w:cs="Arial" w:eastAsia="Arial" w:hAnsi="Arial"/>
                <w:sz w:val="18"/>
                <w:szCs w:val="18"/>
                <w:b w:val="1"/>
                <w:bCs w:val="1"/>
                <w:color w:val="auto"/>
              </w:rPr>
              <w:t>Total gross and net wells drilling</w:t>
            </w:r>
          </w:p>
        </w:tc>
        <w:tc>
          <w:tcPr>
            <w:tcW w:w="1900" w:type="dxa"/>
            <w:vAlign w:val="bottom"/>
          </w:tcPr>
          <w:p>
            <w:pPr>
              <w:spacing w:after="0"/>
              <w:rPr>
                <w:sz w:val="19"/>
                <w:szCs w:val="19"/>
                <w:color w:val="auto"/>
              </w:rPr>
            </w:pPr>
          </w:p>
        </w:tc>
        <w:tc>
          <w:tcPr>
            <w:tcW w:w="1660" w:type="dxa"/>
            <w:vAlign w:val="bottom"/>
            <w:tcBorders>
              <w:bottom w:val="single" w:sz="8" w:color="auto"/>
            </w:tcBorders>
          </w:tcPr>
          <w:p>
            <w:pPr>
              <w:jc w:val="right"/>
              <w:ind w:right="515"/>
              <w:spacing w:after="0"/>
              <w:rPr>
                <w:sz w:val="20"/>
                <w:szCs w:val="20"/>
                <w:color w:val="auto"/>
              </w:rPr>
            </w:pPr>
            <w:r>
              <w:rPr>
                <w:rFonts w:ascii="Arial" w:cs="Arial" w:eastAsia="Arial" w:hAnsi="Arial"/>
                <w:sz w:val="18"/>
                <w:szCs w:val="18"/>
                <w:color w:val="auto"/>
              </w:rPr>
              <w:t>1,141</w:t>
            </w:r>
          </w:p>
        </w:tc>
        <w:tc>
          <w:tcPr>
            <w:tcW w:w="92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628</w:t>
            </w:r>
          </w:p>
        </w:tc>
        <w:tc>
          <w:tcPr>
            <w:tcW w:w="158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color w:val="auto"/>
              </w:rPr>
              <w:t>1,297</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w:t>
            </w:r>
          </w:p>
        </w:tc>
      </w:tr>
      <w:tr>
        <w:trPr>
          <w:trHeight w:val="736"/>
        </w:trPr>
        <w:tc>
          <w:tcPr>
            <w:tcW w:w="4460" w:type="dxa"/>
            <w:vAlign w:val="bottom"/>
          </w:tcPr>
          <w:p>
            <w:pPr>
              <w:spacing w:after="0"/>
              <w:rPr>
                <w:sz w:val="24"/>
                <w:szCs w:val="24"/>
                <w:color w:val="auto"/>
              </w:rPr>
            </w:pPr>
          </w:p>
        </w:tc>
        <w:tc>
          <w:tcPr>
            <w:tcW w:w="1900" w:type="dxa"/>
            <w:vAlign w:val="bottom"/>
          </w:tcPr>
          <w:p>
            <w:pPr>
              <w:jc w:val="right"/>
              <w:ind w:right="550"/>
              <w:spacing w:after="0"/>
              <w:rPr>
                <w:sz w:val="20"/>
                <w:szCs w:val="20"/>
                <w:color w:val="auto"/>
              </w:rPr>
            </w:pPr>
            <w:r>
              <w:rPr>
                <w:rFonts w:ascii="Arial" w:cs="Arial" w:eastAsia="Arial" w:hAnsi="Arial"/>
                <w:sz w:val="18"/>
                <w:szCs w:val="18"/>
                <w:color w:val="auto"/>
              </w:rPr>
              <w:t>15</w:t>
            </w:r>
          </w:p>
        </w:tc>
        <w:tc>
          <w:tcPr>
            <w:tcW w:w="1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01"/>
        </w:trPr>
        <w:tc>
          <w:tcPr>
            <w:tcW w:w="4460" w:type="dxa"/>
            <w:vAlign w:val="bottom"/>
            <w:tcBorders>
              <w:bottom w:val="single" w:sz="8" w:color="9A9A9A"/>
            </w:tcBorders>
          </w:tcPr>
          <w:p>
            <w:pPr>
              <w:spacing w:after="0"/>
              <w:rPr>
                <w:sz w:val="8"/>
                <w:szCs w:val="8"/>
                <w:color w:val="auto"/>
              </w:rPr>
            </w:pPr>
          </w:p>
        </w:tc>
        <w:tc>
          <w:tcPr>
            <w:tcW w:w="1900" w:type="dxa"/>
            <w:vAlign w:val="bottom"/>
            <w:tcBorders>
              <w:bottom w:val="single" w:sz="8" w:color="9A9A9A"/>
            </w:tcBorders>
          </w:tcPr>
          <w:p>
            <w:pPr>
              <w:spacing w:after="0"/>
              <w:rPr>
                <w:sz w:val="8"/>
                <w:szCs w:val="8"/>
                <w:color w:val="auto"/>
              </w:rPr>
            </w:pPr>
          </w:p>
        </w:tc>
        <w:tc>
          <w:tcPr>
            <w:tcW w:w="166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158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B. Review of Principal Ongoing Activities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STATES</w:t>
      </w:r>
    </w:p>
    <w:p>
      <w:pPr>
        <w:spacing w:after="0" w:line="104" w:lineRule="exact"/>
        <w:rPr>
          <w:sz w:val="20"/>
          <w:szCs w:val="20"/>
          <w:color w:val="auto"/>
        </w:rPr>
      </w:pPr>
    </w:p>
    <w:p>
      <w:pPr>
        <w:jc w:val="both"/>
        <w:spacing w:after="0" w:line="334" w:lineRule="auto"/>
        <w:rPr>
          <w:sz w:val="20"/>
          <w:szCs w:val="20"/>
          <w:color w:val="auto"/>
        </w:rPr>
      </w:pPr>
      <w:r>
        <w:rPr>
          <w:rFonts w:ascii="Arial" w:cs="Arial" w:eastAsia="Arial" w:hAnsi="Arial"/>
          <w:sz w:val="16"/>
          <w:szCs w:val="16"/>
          <w:color w:val="auto"/>
        </w:rPr>
        <w:t>ExxonMobil’s year-end 2021 acreage holdings totaled 10.5 million net acres, of which 0.3 million net acres were offshore. ExxonMobil was active in areas onshore and offshore in the lower 48 states and in Alaska. Development activities continued on the Golden Pass liquefied natural gas export project.</w:t>
      </w:r>
    </w:p>
    <w:p>
      <w:pPr>
        <w:spacing w:after="0" w:line="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year, a total of 449.4 net exploration and development wells were completed in the inland lower 48 states. Development activities focused on liquids-rich opportunities in the onshore U.S., primarily in the Permian Basin of West Texas and New Mexico.</w:t>
      </w:r>
    </w:p>
    <w:p>
      <w:pPr>
        <w:spacing w:after="0" w:line="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ExxonMobil’s net acreage in the Gulf of Mexico at year-end 2021 was 0.3 million acres. A total of 0.8 net exploration and development wells were completed during the year.</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Participation in Alaska production and development continued with a total of 1.1 net development wells completed.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CANADA / OTHER AMERICAS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Canada</w:t>
      </w:r>
    </w:p>
    <w:p>
      <w:pPr>
        <w:spacing w:after="0" w:line="9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Oil and Gas Operations: </w:t>
      </w:r>
      <w:r>
        <w:rPr>
          <w:rFonts w:ascii="Arial" w:cs="Arial" w:eastAsia="Arial" w:hAnsi="Arial"/>
          <w:sz w:val="18"/>
          <w:szCs w:val="18"/>
          <w:color w:val="auto"/>
        </w:rPr>
        <w:t>ExxonMobil’s year-end 2021 acreage holdings totaled 6.7 million net acres, of which 3.9 million net acres were offshore. A total</w:t>
      </w:r>
      <w:r>
        <w:rPr>
          <w:rFonts w:ascii="Arial" w:cs="Arial" w:eastAsia="Arial" w:hAnsi="Arial"/>
          <w:sz w:val="18"/>
          <w:szCs w:val="18"/>
          <w:i w:val="1"/>
          <w:iCs w:val="1"/>
          <w:color w:val="auto"/>
        </w:rPr>
        <w:t xml:space="preserve"> </w:t>
      </w:r>
      <w:r>
        <w:rPr>
          <w:rFonts w:ascii="Arial" w:cs="Arial" w:eastAsia="Arial" w:hAnsi="Arial"/>
          <w:sz w:val="18"/>
          <w:szCs w:val="18"/>
          <w:color w:val="auto"/>
        </w:rPr>
        <w:t>of 3.7 net development wells were completed during the year.</w:t>
      </w:r>
    </w:p>
    <w:p>
      <w:pPr>
        <w:spacing w:after="0" w:line="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In Situ Bitumen Operations: </w:t>
      </w:r>
      <w:r>
        <w:rPr>
          <w:rFonts w:ascii="Arial" w:cs="Arial" w:eastAsia="Arial" w:hAnsi="Arial"/>
          <w:sz w:val="18"/>
          <w:szCs w:val="18"/>
          <w:color w:val="auto"/>
        </w:rPr>
        <w:t>ExxonMobil’s year-end 2021 in situ bitumen acreage holdings totaled 0.6 million net onshore acres. A total of 12 net</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wells at Cold Lake were completed during the year.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Argentina</w:t>
      </w:r>
    </w:p>
    <w:p>
      <w:pPr>
        <w:spacing w:after="0" w:line="1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ExxonMobil’s net acreage totaled 2.9 million acres, of which 2.6 million net acres were offshore at year-end 2021. During the year, a total of 8.1 net development wells were completed.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Brazil</w:t>
      </w:r>
    </w:p>
    <w:p>
      <w:pPr>
        <w:spacing w:after="0" w:line="1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ExxonMobil’s net acreage totaled 2.6 million offshore acres at year-end 2021. During the year, a total of 1.4 net exploration wells were completed. The Bacalhau Phase 1 project was funded in 2021.</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Guyana</w:t>
      </w:r>
    </w:p>
    <w:p>
      <w:pPr>
        <w:spacing w:after="0" w:line="10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ExxonMobil’s net acreage totaled 4.6 million offshore acres at year-end 2021. During the year, a total of 11 net exploration and development wells were completed. Development activities continued on the Liza Phase 2 and Payara projects.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Germany</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ExxonMobil’s net acreage totaled 1.6 million onshore acres at year-end 2021. During the year, a total of 0.3 net development well was completed.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Netherlands</w:t>
      </w:r>
    </w:p>
    <w:p>
      <w:pPr>
        <w:spacing w:after="0" w:line="9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ExxonMobil’s net interest in licenses totaled 1.4 million acres, of which 1.0 million acres were onshore at year-end 2021. During the year, a total of 0.5 net development well was completed. In 2021, the Dutch Government further reduced Groningen gas extraction. The expectation is that Groningen will cease regular production in 2022.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United Kingdom</w:t>
      </w:r>
    </w:p>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ExxonMobil’s net interest in licenses totaled 0.1 million offshore acres at year-end 2021. During the year, a total of 0.4 net development well was completed.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AFRICA</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Angola</w:t>
      </w:r>
    </w:p>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ExxonMobil’s net acreage totaled 3.0 million acres, of which 2.9 million net acres were offshore at year-end 2021. During the year, a total of 1.1 net development wells were completed.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Chad</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ExxonMobil’s net acreage totaled 46 thousand onshore acres at year-end 2021. In 2021, ExxonMobil entered into an agreement to divest its assets in Chad.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transaction is expected to close in 2022.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Equatorial Guinea</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ExxonMobil’s net acreage totaled 0.1 million offshore acres at year-end 2021. In 2021, ExxonMobil relinquished 0.4 million net offshore acres.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Mozambique</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ExxonMobil’s net acreage totaled 1.8 million offshore acres at year-end 2021. During the year, a total of 1.5 net development wells were completed.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Development activities continued on the Coral South Floating LNG project.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Nigeria</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ExxonMobil’s net acreage totaled 0.9 million offshore acres at year-end 2021.</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ASIA</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Azerbaijan</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ExxonMobil's net acreage totaled 7 thousand offshore acres at year-end 2021. During the year, a total of 0.7 net development wells were completed.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Indonesia</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ExxonMobil’s net acreage totaled 0.1 million onshore acres at year-end 2021.</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Iraq</w:t>
      </w:r>
    </w:p>
    <w:p>
      <w:pPr>
        <w:spacing w:after="0" w:line="10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ExxonMobil’s net acreage totaled 36 thousand onshore acres at year-end 2021. Oil field rehabilitation activities continued during 2021 and across the life of this project will include drilling of new wells; working over of existing wells; and optimization, debottlenecking and expansion of facilities.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Kazakhstan</w:t>
      </w:r>
    </w:p>
    <w:p>
      <w:pPr>
        <w:spacing w:after="0" w:line="1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ExxonMobil’s net acreage totaled 0.3 million acres, of which 0.2 million net acres were offshore at year-end 2021. During the year, a total of 2 net development wells were completed. Development activities continued on the Tengiz Expansion project.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Malaysia</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ExxonMobil’s interests in production sharing contracts covered 0.2 million net acres offshore at year-end 2021.</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Qatar</w:t>
      </w:r>
    </w:p>
    <w:p>
      <w:pPr>
        <w:spacing w:after="0" w:line="10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Through our joint ventures with Qatar Energy, ExxonMobil’s net acreage totaled 65 thousand acres offshore at year-end 2021. ExxonMobil participated in 62.2 million tonnes per year gross liquefied natural gas capacity and 3.4 billion cubic feet per day of flowing gas capacity at year-end. During the year, a total of 4.8 net development wells were completed. The North Field Production Sustainment Integrated Drilling and Looping project was funded in 2021. Effective January 1, 2022, ExxonMobil no longer participates in the Qatar Liquefied Gas Company Limited (QG1) venture, representing 3.6 thousand net acres and 9.9 million tonnes per year gross liquefied natural gas capacity.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Russia</w:t>
      </w:r>
    </w:p>
    <w:p>
      <w:pPr>
        <w:spacing w:after="0" w:line="1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ExxonMobil’s net acreage holdings in Sakhalin totaled 85 thousand offshore acres at year-end 2021. During the year, a total of 0.9 net development wells were completed.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Thailand</w:t>
      </w:r>
    </w:p>
    <w:p>
      <w:pPr>
        <w:spacing w:after="0" w:line="1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ExxonMobil’s net onshore acreage in Thailand concessions totaled 16 thousand acres at year-end 2021. During the year, a total of 0.2 development wells were completed.</w:t>
      </w:r>
    </w:p>
    <w:p>
      <w:pPr>
        <w:sectPr>
          <w:pgSz w:w="11900" w:h="16838" w:orient="portrait"/>
          <w:cols w:equalWidth="0" w:num="1">
            <w:col w:w="11240"/>
          </w:cols>
          <w:pgMar w:left="320" w:top="1097" w:right="339"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i w:val="1"/>
          <w:iCs w:val="1"/>
          <w:color w:val="auto"/>
        </w:rPr>
        <w:t>United Arab Emirates</w:t>
      </w:r>
    </w:p>
    <w:p>
      <w:pPr>
        <w:spacing w:after="0" w:line="10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ExxonMobil’s net acreage in the Abu Dhabi offshore Upper Zakum oil concession was 81 thousand acres at year-end 2021. During the year, a total of 0.6 net development wells were completed. Development activities continued on the Upper Zakum 1 MBD Sustainment project.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AUSTRALIA / OCEANIA</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Australia</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ExxonMobil’s net acreage totaled 1.8 million acres offshore and 10 thousand acres onshore at year-end 2021.</w:t>
      </w:r>
    </w:p>
    <w:p>
      <w:pPr>
        <w:spacing w:after="0" w:line="10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co-venturer-operated Gorgon Jansz liquefied natural gas (LNG) development consists of a subsea infrastructure for offshore production and transportation of the gas, a 15.6 million tonnes per year LNG facility and a 280 million cubic feet per day domestic gas plant located on Barrow Island, Western Australia. The Jansz-Io Compression project was funded in 2021. Development activities continued on the Gorgon Stage 2 project during the year.</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Papua New Guinea</w:t>
      </w:r>
    </w:p>
    <w:p>
      <w:pPr>
        <w:spacing w:after="0" w:line="10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ExxonMobil’s net acreage totaled 3.4 million acres, of which 1.2 million net acres were offshore at year-end 2021. In 2021, ExxonMobil relinquished 2.1 million net offshore acres. The Papua New Guinea (PNG) liquefied natural gas integrated development includes gas production and processing facilities in the southern PNG Highlands, onshore and offshore pipelines, and a 6.9 million tonnes per year liquefied natural gas facility near Port Moresby.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WORLDWIDE EXPLORATION</w:t>
      </w:r>
    </w:p>
    <w:p>
      <w:pPr>
        <w:spacing w:after="0" w:line="1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year-end 2021, exploration activities were under way in several areas in which ExxonMobil has no established production operations and thus are not included above. A total of 18.3 million net acres were held at year-end 2021.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Delivery Commitments</w:t>
      </w:r>
    </w:p>
    <w:p>
      <w:pPr>
        <w:spacing w:after="0" w:line="9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ExxonMobil sells crude oil and natural gas from its producing operations under a variety of contractual obligations, some of which may specify the delivery of a fixed and determinable quantity for periods longer than one year. ExxonMobil also enters into natural gas sales contracts where the source of the natural gas used to fulfill the contract can be a combination of our own production and the spot market. Worldwide, we are contractually committed to deliver approximately 28 million barrels of oil and 2,500 billion cubic feet of natural gas for the period from 2022 through 2024. We expect to fulfill the majority of these delivery commitments with production from our proved developed reserves. Any remaining commitments will be fulfilled with production from our proved undeveloped reserves and purchases on the open market as necessary.</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20" w:name="page21"/>
    <w:bookmarkEnd w:id="20"/>
    <w:p>
      <w:pPr>
        <w:ind w:right="6820" w:firstLine="8"/>
        <w:spacing w:after="0" w:line="388" w:lineRule="auto"/>
        <w:tabs>
          <w:tab w:leader="none" w:pos="1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Oil and Gas Properties, Wells, Operations and Acreage A. Gross and Net Productive Wells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540" w:type="dxa"/>
            <w:vAlign w:val="bottom"/>
            <w:gridSpan w:val="2"/>
          </w:tcPr>
          <w:p>
            <w:pPr>
              <w:jc w:val="right"/>
              <w:ind w:right="271"/>
              <w:spacing w:after="0"/>
              <w:rPr>
                <w:sz w:val="20"/>
                <w:szCs w:val="20"/>
                <w:color w:val="auto"/>
              </w:rPr>
            </w:pPr>
            <w:r>
              <w:rPr>
                <w:rFonts w:ascii="Arial" w:cs="Arial" w:eastAsia="Arial" w:hAnsi="Arial"/>
                <w:sz w:val="14"/>
                <w:szCs w:val="14"/>
                <w:b w:val="1"/>
                <w:bCs w:val="1"/>
                <w:color w:val="auto"/>
              </w:rPr>
              <w:t>Year-End 2021</w:t>
            </w:r>
          </w:p>
        </w:tc>
        <w:tc>
          <w:tcPr>
            <w:tcW w:w="1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60" w:type="dxa"/>
            <w:vAlign w:val="bottom"/>
            <w:gridSpan w:val="2"/>
          </w:tcPr>
          <w:p>
            <w:pPr>
              <w:jc w:val="right"/>
              <w:ind w:right="271"/>
              <w:spacing w:after="0"/>
              <w:rPr>
                <w:sz w:val="20"/>
                <w:szCs w:val="20"/>
                <w:color w:val="auto"/>
              </w:rPr>
            </w:pPr>
            <w:r>
              <w:rPr>
                <w:rFonts w:ascii="Arial" w:cs="Arial" w:eastAsia="Arial" w:hAnsi="Arial"/>
                <w:sz w:val="14"/>
                <w:szCs w:val="14"/>
                <w:b w:val="1"/>
                <w:bCs w:val="1"/>
                <w:color w:val="auto"/>
              </w:rPr>
              <w:t>Year-End 2020</w:t>
            </w:r>
          </w:p>
        </w:tc>
        <w:tc>
          <w:tcPr>
            <w:tcW w:w="1000" w:type="dxa"/>
            <w:vAlign w:val="bottom"/>
          </w:tcPr>
          <w:p>
            <w:pPr>
              <w:spacing w:after="0"/>
              <w:rPr>
                <w:sz w:val="16"/>
                <w:szCs w:val="16"/>
                <w:color w:val="auto"/>
              </w:rPr>
            </w:pPr>
          </w:p>
        </w:tc>
      </w:tr>
      <w:tr>
        <w:trPr>
          <w:trHeight w:val="39"/>
        </w:trPr>
        <w:tc>
          <w:tcPr>
            <w:tcW w:w="390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84"/>
        </w:trPr>
        <w:tc>
          <w:tcPr>
            <w:tcW w:w="3900" w:type="dxa"/>
            <w:vAlign w:val="bottom"/>
          </w:tcPr>
          <w:p>
            <w:pPr>
              <w:spacing w:after="0"/>
              <w:rPr>
                <w:sz w:val="16"/>
                <w:szCs w:val="16"/>
                <w:color w:val="auto"/>
              </w:rPr>
            </w:pPr>
          </w:p>
        </w:tc>
        <w:tc>
          <w:tcPr>
            <w:tcW w:w="1080" w:type="dxa"/>
            <w:vAlign w:val="bottom"/>
          </w:tcPr>
          <w:p>
            <w:pPr>
              <w:jc w:val="right"/>
              <w:ind w:right="33"/>
              <w:spacing w:after="0"/>
              <w:rPr>
                <w:sz w:val="20"/>
                <w:szCs w:val="20"/>
                <w:color w:val="auto"/>
              </w:rPr>
            </w:pPr>
            <w:r>
              <w:rPr>
                <w:rFonts w:ascii="Arial" w:cs="Arial" w:eastAsia="Arial" w:hAnsi="Arial"/>
                <w:sz w:val="14"/>
                <w:szCs w:val="14"/>
                <w:b w:val="1"/>
                <w:bCs w:val="1"/>
                <w:color w:val="auto"/>
              </w:rPr>
              <w:t>Oil</w:t>
            </w: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20" w:type="dxa"/>
            <w:vAlign w:val="bottom"/>
          </w:tcPr>
          <w:p>
            <w:pPr>
              <w:jc w:val="right"/>
              <w:ind w:right="793"/>
              <w:spacing w:after="0"/>
              <w:rPr>
                <w:sz w:val="20"/>
                <w:szCs w:val="20"/>
                <w:color w:val="auto"/>
              </w:rPr>
            </w:pPr>
            <w:r>
              <w:rPr>
                <w:rFonts w:ascii="Arial" w:cs="Arial" w:eastAsia="Arial" w:hAnsi="Arial"/>
                <w:sz w:val="14"/>
                <w:szCs w:val="14"/>
                <w:b w:val="1"/>
                <w:bCs w:val="1"/>
                <w:color w:val="auto"/>
                <w:w w:val="82"/>
              </w:rPr>
              <w:t>Gas</w:t>
            </w:r>
          </w:p>
        </w:tc>
        <w:tc>
          <w:tcPr>
            <w:tcW w:w="740" w:type="dxa"/>
            <w:vAlign w:val="bottom"/>
          </w:tcPr>
          <w:p>
            <w:pPr>
              <w:spacing w:after="0"/>
              <w:rPr>
                <w:sz w:val="16"/>
                <w:szCs w:val="16"/>
                <w:color w:val="auto"/>
              </w:rPr>
            </w:pPr>
          </w:p>
        </w:tc>
        <w:tc>
          <w:tcPr>
            <w:tcW w:w="1140" w:type="dxa"/>
            <w:vAlign w:val="bottom"/>
          </w:tcPr>
          <w:p>
            <w:pPr>
              <w:jc w:val="right"/>
              <w:ind w:right="834"/>
              <w:spacing w:after="0"/>
              <w:rPr>
                <w:sz w:val="20"/>
                <w:szCs w:val="20"/>
                <w:color w:val="auto"/>
              </w:rPr>
            </w:pPr>
            <w:r>
              <w:rPr>
                <w:rFonts w:ascii="Arial" w:cs="Arial" w:eastAsia="Arial" w:hAnsi="Arial"/>
                <w:sz w:val="14"/>
                <w:szCs w:val="14"/>
                <w:b w:val="1"/>
                <w:bCs w:val="1"/>
                <w:color w:val="auto"/>
              </w:rPr>
              <w:t>Oil</w:t>
            </w:r>
          </w:p>
        </w:tc>
        <w:tc>
          <w:tcPr>
            <w:tcW w:w="720" w:type="dxa"/>
            <w:vAlign w:val="bottom"/>
          </w:tcPr>
          <w:p>
            <w:pPr>
              <w:spacing w:after="0"/>
              <w:rPr>
                <w:sz w:val="16"/>
                <w:szCs w:val="16"/>
                <w:color w:val="auto"/>
              </w:rPr>
            </w:pPr>
          </w:p>
        </w:tc>
        <w:tc>
          <w:tcPr>
            <w:tcW w:w="1000" w:type="dxa"/>
            <w:vAlign w:val="bottom"/>
          </w:tcPr>
          <w:p>
            <w:pPr>
              <w:jc w:val="right"/>
              <w:ind w:right="673"/>
              <w:spacing w:after="0"/>
              <w:rPr>
                <w:sz w:val="20"/>
                <w:szCs w:val="20"/>
                <w:color w:val="auto"/>
              </w:rPr>
            </w:pPr>
            <w:r>
              <w:rPr>
                <w:rFonts w:ascii="Arial" w:cs="Arial" w:eastAsia="Arial" w:hAnsi="Arial"/>
                <w:sz w:val="14"/>
                <w:szCs w:val="14"/>
                <w:b w:val="1"/>
                <w:bCs w:val="1"/>
                <w:color w:val="auto"/>
                <w:w w:val="82"/>
              </w:rPr>
              <w:t>Gas</w:t>
            </w:r>
          </w:p>
        </w:tc>
      </w:tr>
      <w:tr>
        <w:trPr>
          <w:trHeight w:val="26"/>
        </w:trPr>
        <w:tc>
          <w:tcPr>
            <w:tcW w:w="39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4"/>
        </w:trPr>
        <w:tc>
          <w:tcPr>
            <w:tcW w:w="3900" w:type="dxa"/>
            <w:vAlign w:val="bottom"/>
          </w:tcPr>
          <w:p>
            <w:pPr>
              <w:spacing w:after="0"/>
              <w:rPr>
                <w:sz w:val="16"/>
                <w:szCs w:val="16"/>
                <w:color w:val="auto"/>
              </w:rPr>
            </w:pPr>
          </w:p>
        </w:tc>
        <w:tc>
          <w:tcPr>
            <w:tcW w:w="1080" w:type="dxa"/>
            <w:vAlign w:val="bottom"/>
          </w:tcPr>
          <w:p>
            <w:pPr>
              <w:jc w:val="right"/>
              <w:ind w:right="413"/>
              <w:spacing w:after="0"/>
              <w:rPr>
                <w:sz w:val="20"/>
                <w:szCs w:val="20"/>
                <w:color w:val="auto"/>
              </w:rPr>
            </w:pPr>
            <w:r>
              <w:rPr>
                <w:rFonts w:ascii="Arial" w:cs="Arial" w:eastAsia="Arial" w:hAnsi="Arial"/>
                <w:sz w:val="14"/>
                <w:szCs w:val="14"/>
                <w:b w:val="1"/>
                <w:bCs w:val="1"/>
                <w:color w:val="auto"/>
              </w:rPr>
              <w:t>Gross</w:t>
            </w:r>
          </w:p>
        </w:tc>
        <w:tc>
          <w:tcPr>
            <w:tcW w:w="800" w:type="dxa"/>
            <w:vAlign w:val="bottom"/>
          </w:tcPr>
          <w:p>
            <w:pPr>
              <w:jc w:val="right"/>
              <w:ind w:right="353"/>
              <w:spacing w:after="0"/>
              <w:rPr>
                <w:sz w:val="20"/>
                <w:szCs w:val="20"/>
                <w:color w:val="auto"/>
              </w:rPr>
            </w:pPr>
            <w:r>
              <w:rPr>
                <w:rFonts w:ascii="Arial" w:cs="Arial" w:eastAsia="Arial" w:hAnsi="Arial"/>
                <w:sz w:val="14"/>
                <w:szCs w:val="14"/>
                <w:b w:val="1"/>
                <w:bCs w:val="1"/>
                <w:color w:val="auto"/>
              </w:rPr>
              <w:t>Net</w:t>
            </w:r>
          </w:p>
        </w:tc>
        <w:tc>
          <w:tcPr>
            <w:tcW w:w="740" w:type="dxa"/>
            <w:vAlign w:val="bottom"/>
          </w:tcPr>
          <w:p>
            <w:pPr>
              <w:jc w:val="right"/>
              <w:ind w:right="91"/>
              <w:spacing w:after="0"/>
              <w:rPr>
                <w:sz w:val="20"/>
                <w:szCs w:val="20"/>
                <w:color w:val="auto"/>
              </w:rPr>
            </w:pPr>
            <w:r>
              <w:rPr>
                <w:rFonts w:ascii="Arial" w:cs="Arial" w:eastAsia="Arial" w:hAnsi="Arial"/>
                <w:sz w:val="14"/>
                <w:szCs w:val="14"/>
                <w:b w:val="1"/>
                <w:bCs w:val="1"/>
                <w:color w:val="auto"/>
              </w:rPr>
              <w:t>Gross</w:t>
            </w:r>
          </w:p>
        </w:tc>
        <w:tc>
          <w:tcPr>
            <w:tcW w:w="1120" w:type="dxa"/>
            <w:vAlign w:val="bottom"/>
          </w:tcPr>
          <w:p>
            <w:pPr>
              <w:jc w:val="right"/>
              <w:ind w:right="333"/>
              <w:spacing w:after="0"/>
              <w:rPr>
                <w:sz w:val="20"/>
                <w:szCs w:val="20"/>
                <w:color w:val="auto"/>
              </w:rPr>
            </w:pPr>
            <w:r>
              <w:rPr>
                <w:rFonts w:ascii="Arial" w:cs="Arial" w:eastAsia="Arial" w:hAnsi="Arial"/>
                <w:sz w:val="14"/>
                <w:szCs w:val="14"/>
                <w:b w:val="1"/>
                <w:bCs w:val="1"/>
                <w:color w:val="auto"/>
              </w:rPr>
              <w:t>Net</w:t>
            </w:r>
          </w:p>
        </w:tc>
        <w:tc>
          <w:tcPr>
            <w:tcW w:w="740" w:type="dxa"/>
            <w:vAlign w:val="bottom"/>
          </w:tcPr>
          <w:p>
            <w:pPr>
              <w:jc w:val="right"/>
              <w:ind w:right="71"/>
              <w:spacing w:after="0"/>
              <w:rPr>
                <w:sz w:val="20"/>
                <w:szCs w:val="20"/>
                <w:color w:val="auto"/>
              </w:rPr>
            </w:pPr>
            <w:r>
              <w:rPr>
                <w:rFonts w:ascii="Arial" w:cs="Arial" w:eastAsia="Arial" w:hAnsi="Arial"/>
                <w:sz w:val="14"/>
                <w:szCs w:val="14"/>
                <w:b w:val="1"/>
                <w:bCs w:val="1"/>
                <w:color w:val="auto"/>
              </w:rPr>
              <w:t>Gross</w:t>
            </w:r>
          </w:p>
        </w:tc>
        <w:tc>
          <w:tcPr>
            <w:tcW w:w="1140" w:type="dxa"/>
            <w:vAlign w:val="bottom"/>
          </w:tcPr>
          <w:p>
            <w:pPr>
              <w:jc w:val="right"/>
              <w:ind w:right="354"/>
              <w:spacing w:after="0"/>
              <w:rPr>
                <w:sz w:val="20"/>
                <w:szCs w:val="20"/>
                <w:color w:val="auto"/>
              </w:rPr>
            </w:pPr>
            <w:r>
              <w:rPr>
                <w:rFonts w:ascii="Arial" w:cs="Arial" w:eastAsia="Arial" w:hAnsi="Arial"/>
                <w:sz w:val="14"/>
                <w:szCs w:val="14"/>
                <w:b w:val="1"/>
                <w:bCs w:val="1"/>
                <w:color w:val="auto"/>
              </w:rPr>
              <w:t>Net</w:t>
            </w:r>
          </w:p>
        </w:tc>
        <w:tc>
          <w:tcPr>
            <w:tcW w:w="720" w:type="dxa"/>
            <w:vAlign w:val="bottom"/>
          </w:tcPr>
          <w:p>
            <w:pPr>
              <w:jc w:val="right"/>
              <w:ind w:right="71"/>
              <w:spacing w:after="0"/>
              <w:rPr>
                <w:sz w:val="20"/>
                <w:szCs w:val="20"/>
                <w:color w:val="auto"/>
              </w:rPr>
            </w:pPr>
            <w:r>
              <w:rPr>
                <w:rFonts w:ascii="Arial" w:cs="Arial" w:eastAsia="Arial" w:hAnsi="Arial"/>
                <w:sz w:val="14"/>
                <w:szCs w:val="14"/>
                <w:b w:val="1"/>
                <w:bCs w:val="1"/>
                <w:color w:val="auto"/>
              </w:rPr>
              <w:t>Gross</w:t>
            </w:r>
          </w:p>
        </w:tc>
        <w:tc>
          <w:tcPr>
            <w:tcW w:w="1000" w:type="dxa"/>
            <w:vAlign w:val="bottom"/>
          </w:tcPr>
          <w:p>
            <w:pPr>
              <w:jc w:val="right"/>
              <w:ind w:right="213"/>
              <w:spacing w:after="0"/>
              <w:rPr>
                <w:sz w:val="20"/>
                <w:szCs w:val="20"/>
                <w:color w:val="auto"/>
              </w:rPr>
            </w:pPr>
            <w:r>
              <w:rPr>
                <w:rFonts w:ascii="Arial" w:cs="Arial" w:eastAsia="Arial" w:hAnsi="Arial"/>
                <w:sz w:val="14"/>
                <w:szCs w:val="14"/>
                <w:b w:val="1"/>
                <w:bCs w:val="1"/>
                <w:color w:val="auto"/>
              </w:rPr>
              <w:t>Net</w:t>
            </w:r>
          </w:p>
        </w:tc>
      </w:tr>
      <w:tr>
        <w:trPr>
          <w:trHeight w:val="26"/>
        </w:trPr>
        <w:tc>
          <w:tcPr>
            <w:tcW w:w="39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8"/>
        </w:trPr>
        <w:tc>
          <w:tcPr>
            <w:tcW w:w="3900" w:type="dxa"/>
            <w:vAlign w:val="bottom"/>
          </w:tcPr>
          <w:p>
            <w:pPr>
              <w:ind w:left="20"/>
              <w:spacing w:after="0"/>
              <w:rPr>
                <w:sz w:val="20"/>
                <w:szCs w:val="20"/>
                <w:color w:val="auto"/>
              </w:rPr>
            </w:pPr>
            <w:r>
              <w:rPr>
                <w:rFonts w:ascii="Arial" w:cs="Arial" w:eastAsia="Arial" w:hAnsi="Arial"/>
                <w:sz w:val="18"/>
                <w:szCs w:val="18"/>
                <w:b w:val="1"/>
                <w:bCs w:val="1"/>
                <w:color w:val="auto"/>
              </w:rPr>
              <w:t>Gross and Net Productive Wells</w:t>
            </w: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3"/>
        </w:trPr>
        <w:tc>
          <w:tcPr>
            <w:tcW w:w="3900" w:type="dxa"/>
            <w:vAlign w:val="bottom"/>
          </w:tcPr>
          <w:p>
            <w:pPr>
              <w:ind w:left="140"/>
              <w:spacing w:after="0"/>
              <w:rPr>
                <w:sz w:val="20"/>
                <w:szCs w:val="20"/>
                <w:color w:val="auto"/>
              </w:rPr>
            </w:pPr>
            <w:r>
              <w:rPr>
                <w:rFonts w:ascii="Arial" w:cs="Arial" w:eastAsia="Arial" w:hAnsi="Arial"/>
                <w:sz w:val="18"/>
                <w:szCs w:val="18"/>
                <w:b w:val="1"/>
                <w:bCs w:val="1"/>
                <w:color w:val="auto"/>
              </w:rPr>
              <w:t>Consolidated Subsidiaries</w:t>
            </w:r>
          </w:p>
        </w:tc>
        <w:tc>
          <w:tcPr>
            <w:tcW w:w="10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30"/>
        </w:trPr>
        <w:tc>
          <w:tcPr>
            <w:tcW w:w="3900" w:type="dxa"/>
            <w:vAlign w:val="bottom"/>
          </w:tcPr>
          <w:p>
            <w:pPr>
              <w:ind w:left="560"/>
              <w:spacing w:after="0"/>
              <w:rPr>
                <w:sz w:val="20"/>
                <w:szCs w:val="20"/>
                <w:color w:val="auto"/>
              </w:rPr>
            </w:pPr>
            <w:r>
              <w:rPr>
                <w:rFonts w:ascii="Arial" w:cs="Arial" w:eastAsia="Arial" w:hAnsi="Arial"/>
                <w:sz w:val="18"/>
                <w:szCs w:val="18"/>
                <w:color w:val="auto"/>
              </w:rPr>
              <w:t>United States</w:t>
            </w:r>
          </w:p>
        </w:tc>
        <w:tc>
          <w:tcPr>
            <w:tcW w:w="1080" w:type="dxa"/>
            <w:vAlign w:val="bottom"/>
          </w:tcPr>
          <w:p>
            <w:pPr>
              <w:jc w:val="right"/>
              <w:ind w:right="253"/>
              <w:spacing w:after="0"/>
              <w:rPr>
                <w:sz w:val="20"/>
                <w:szCs w:val="20"/>
                <w:color w:val="auto"/>
              </w:rPr>
            </w:pPr>
            <w:r>
              <w:rPr>
                <w:rFonts w:ascii="Arial" w:cs="Arial" w:eastAsia="Arial" w:hAnsi="Arial"/>
                <w:sz w:val="18"/>
                <w:szCs w:val="18"/>
                <w:color w:val="auto"/>
              </w:rPr>
              <w:t>19,401</w:t>
            </w:r>
          </w:p>
        </w:tc>
        <w:tc>
          <w:tcPr>
            <w:tcW w:w="800" w:type="dxa"/>
            <w:vAlign w:val="bottom"/>
          </w:tcPr>
          <w:p>
            <w:pPr>
              <w:jc w:val="right"/>
              <w:ind w:right="113"/>
              <w:spacing w:after="0"/>
              <w:rPr>
                <w:sz w:val="20"/>
                <w:szCs w:val="20"/>
                <w:color w:val="auto"/>
              </w:rPr>
            </w:pPr>
            <w:r>
              <w:rPr>
                <w:rFonts w:ascii="Arial" w:cs="Arial" w:eastAsia="Arial" w:hAnsi="Arial"/>
                <w:sz w:val="18"/>
                <w:szCs w:val="18"/>
                <w:color w:val="auto"/>
              </w:rPr>
              <w:t>7,566</w:t>
            </w:r>
          </w:p>
        </w:tc>
        <w:tc>
          <w:tcPr>
            <w:tcW w:w="740" w:type="dxa"/>
            <w:vAlign w:val="bottom"/>
          </w:tcPr>
          <w:p>
            <w:pPr>
              <w:jc w:val="right"/>
              <w:spacing w:after="0"/>
              <w:rPr>
                <w:sz w:val="20"/>
                <w:szCs w:val="20"/>
                <w:color w:val="auto"/>
              </w:rPr>
            </w:pPr>
            <w:r>
              <w:rPr>
                <w:rFonts w:ascii="Arial" w:cs="Arial" w:eastAsia="Arial" w:hAnsi="Arial"/>
                <w:sz w:val="18"/>
                <w:szCs w:val="18"/>
                <w:color w:val="auto"/>
              </w:rPr>
              <w:t>18,670</w:t>
            </w:r>
          </w:p>
        </w:tc>
        <w:tc>
          <w:tcPr>
            <w:tcW w:w="1120" w:type="dxa"/>
            <w:vAlign w:val="bottom"/>
          </w:tcPr>
          <w:p>
            <w:pPr>
              <w:jc w:val="right"/>
              <w:ind w:right="113"/>
              <w:spacing w:after="0"/>
              <w:rPr>
                <w:sz w:val="20"/>
                <w:szCs w:val="20"/>
                <w:color w:val="auto"/>
              </w:rPr>
            </w:pPr>
            <w:r>
              <w:rPr>
                <w:rFonts w:ascii="Arial" w:cs="Arial" w:eastAsia="Arial" w:hAnsi="Arial"/>
                <w:sz w:val="18"/>
                <w:szCs w:val="18"/>
                <w:color w:val="auto"/>
              </w:rPr>
              <w:t>10,773</w:t>
            </w:r>
          </w:p>
        </w:tc>
        <w:tc>
          <w:tcPr>
            <w:tcW w:w="740" w:type="dxa"/>
            <w:vAlign w:val="bottom"/>
          </w:tcPr>
          <w:p>
            <w:pPr>
              <w:jc w:val="right"/>
              <w:spacing w:after="0"/>
              <w:rPr>
                <w:sz w:val="20"/>
                <w:szCs w:val="20"/>
                <w:color w:val="auto"/>
              </w:rPr>
            </w:pPr>
            <w:r>
              <w:rPr>
                <w:rFonts w:ascii="Arial" w:cs="Arial" w:eastAsia="Arial" w:hAnsi="Arial"/>
                <w:sz w:val="18"/>
                <w:szCs w:val="18"/>
                <w:color w:val="auto"/>
              </w:rPr>
              <w:t>19,631</w:t>
            </w:r>
          </w:p>
        </w:tc>
        <w:tc>
          <w:tcPr>
            <w:tcW w:w="1140" w:type="dxa"/>
            <w:vAlign w:val="bottom"/>
          </w:tcPr>
          <w:p>
            <w:pPr>
              <w:jc w:val="right"/>
              <w:ind w:right="134"/>
              <w:spacing w:after="0"/>
              <w:rPr>
                <w:sz w:val="20"/>
                <w:szCs w:val="20"/>
                <w:color w:val="auto"/>
              </w:rPr>
            </w:pPr>
            <w:r>
              <w:rPr>
                <w:rFonts w:ascii="Arial" w:cs="Arial" w:eastAsia="Arial" w:hAnsi="Arial"/>
                <w:sz w:val="18"/>
                <w:szCs w:val="18"/>
                <w:color w:val="auto"/>
              </w:rPr>
              <w:t>7,878</w:t>
            </w:r>
          </w:p>
        </w:tc>
        <w:tc>
          <w:tcPr>
            <w:tcW w:w="720" w:type="dxa"/>
            <w:vAlign w:val="bottom"/>
          </w:tcPr>
          <w:p>
            <w:pPr>
              <w:jc w:val="right"/>
              <w:spacing w:after="0"/>
              <w:rPr>
                <w:sz w:val="20"/>
                <w:szCs w:val="20"/>
                <w:color w:val="auto"/>
              </w:rPr>
            </w:pPr>
            <w:r>
              <w:rPr>
                <w:rFonts w:ascii="Arial" w:cs="Arial" w:eastAsia="Arial" w:hAnsi="Arial"/>
                <w:sz w:val="18"/>
                <w:szCs w:val="18"/>
                <w:color w:val="auto"/>
              </w:rPr>
              <w:t>20,480</w:t>
            </w:r>
          </w:p>
        </w:tc>
        <w:tc>
          <w:tcPr>
            <w:tcW w:w="1000" w:type="dxa"/>
            <w:vAlign w:val="bottom"/>
          </w:tcPr>
          <w:p>
            <w:pPr>
              <w:jc w:val="right"/>
              <w:spacing w:after="0"/>
              <w:rPr>
                <w:sz w:val="20"/>
                <w:szCs w:val="20"/>
                <w:color w:val="auto"/>
              </w:rPr>
            </w:pPr>
            <w:r>
              <w:rPr>
                <w:rFonts w:ascii="Arial" w:cs="Arial" w:eastAsia="Arial" w:hAnsi="Arial"/>
                <w:sz w:val="18"/>
                <w:szCs w:val="18"/>
                <w:color w:val="auto"/>
              </w:rPr>
              <w:t>12,195</w:t>
            </w:r>
          </w:p>
        </w:tc>
      </w:tr>
      <w:tr>
        <w:trPr>
          <w:trHeight w:val="229"/>
        </w:trPr>
        <w:tc>
          <w:tcPr>
            <w:tcW w:w="3900" w:type="dxa"/>
            <w:vAlign w:val="bottom"/>
          </w:tcPr>
          <w:p>
            <w:pPr>
              <w:ind w:left="560"/>
              <w:spacing w:after="0"/>
              <w:rPr>
                <w:sz w:val="20"/>
                <w:szCs w:val="20"/>
                <w:color w:val="auto"/>
              </w:rPr>
            </w:pPr>
            <w:r>
              <w:rPr>
                <w:rFonts w:ascii="Arial" w:cs="Arial" w:eastAsia="Arial" w:hAnsi="Arial"/>
                <w:sz w:val="18"/>
                <w:szCs w:val="18"/>
                <w:color w:val="auto"/>
              </w:rPr>
              <w:t>Canada/Other Americas</w:t>
            </w:r>
          </w:p>
        </w:tc>
        <w:tc>
          <w:tcPr>
            <w:tcW w:w="1080" w:type="dxa"/>
            <w:vAlign w:val="bottom"/>
          </w:tcPr>
          <w:p>
            <w:pPr>
              <w:jc w:val="right"/>
              <w:ind w:right="253"/>
              <w:spacing w:after="0"/>
              <w:rPr>
                <w:sz w:val="20"/>
                <w:szCs w:val="20"/>
                <w:color w:val="auto"/>
              </w:rPr>
            </w:pPr>
            <w:r>
              <w:rPr>
                <w:rFonts w:ascii="Arial" w:cs="Arial" w:eastAsia="Arial" w:hAnsi="Arial"/>
                <w:sz w:val="18"/>
                <w:szCs w:val="18"/>
                <w:color w:val="auto"/>
              </w:rPr>
              <w:t>4,656</w:t>
            </w:r>
          </w:p>
        </w:tc>
        <w:tc>
          <w:tcPr>
            <w:tcW w:w="800" w:type="dxa"/>
            <w:vAlign w:val="bottom"/>
          </w:tcPr>
          <w:p>
            <w:pPr>
              <w:jc w:val="right"/>
              <w:ind w:right="113"/>
              <w:spacing w:after="0"/>
              <w:rPr>
                <w:sz w:val="20"/>
                <w:szCs w:val="20"/>
                <w:color w:val="auto"/>
              </w:rPr>
            </w:pPr>
            <w:r>
              <w:rPr>
                <w:rFonts w:ascii="Arial" w:cs="Arial" w:eastAsia="Arial" w:hAnsi="Arial"/>
                <w:sz w:val="18"/>
                <w:szCs w:val="18"/>
                <w:color w:val="auto"/>
              </w:rPr>
              <w:t>4,548</w:t>
            </w:r>
          </w:p>
        </w:tc>
        <w:tc>
          <w:tcPr>
            <w:tcW w:w="740" w:type="dxa"/>
            <w:vAlign w:val="bottom"/>
          </w:tcPr>
          <w:p>
            <w:pPr>
              <w:jc w:val="right"/>
              <w:spacing w:after="0"/>
              <w:rPr>
                <w:sz w:val="20"/>
                <w:szCs w:val="20"/>
                <w:color w:val="auto"/>
              </w:rPr>
            </w:pPr>
            <w:r>
              <w:rPr>
                <w:rFonts w:ascii="Arial" w:cs="Arial" w:eastAsia="Arial" w:hAnsi="Arial"/>
                <w:sz w:val="18"/>
                <w:szCs w:val="18"/>
                <w:color w:val="auto"/>
              </w:rPr>
              <w:t>3,209</w:t>
            </w:r>
          </w:p>
        </w:tc>
        <w:tc>
          <w:tcPr>
            <w:tcW w:w="1120" w:type="dxa"/>
            <w:vAlign w:val="bottom"/>
          </w:tcPr>
          <w:p>
            <w:pPr>
              <w:jc w:val="right"/>
              <w:ind w:right="113"/>
              <w:spacing w:after="0"/>
              <w:rPr>
                <w:sz w:val="20"/>
                <w:szCs w:val="20"/>
                <w:color w:val="auto"/>
              </w:rPr>
            </w:pPr>
            <w:r>
              <w:rPr>
                <w:rFonts w:ascii="Arial" w:cs="Arial" w:eastAsia="Arial" w:hAnsi="Arial"/>
                <w:sz w:val="18"/>
                <w:szCs w:val="18"/>
                <w:color w:val="auto"/>
              </w:rPr>
              <w:t>1,247</w:t>
            </w:r>
          </w:p>
        </w:tc>
        <w:tc>
          <w:tcPr>
            <w:tcW w:w="740" w:type="dxa"/>
            <w:vAlign w:val="bottom"/>
          </w:tcPr>
          <w:p>
            <w:pPr>
              <w:jc w:val="right"/>
              <w:spacing w:after="0"/>
              <w:rPr>
                <w:sz w:val="20"/>
                <w:szCs w:val="20"/>
                <w:color w:val="auto"/>
              </w:rPr>
            </w:pPr>
            <w:r>
              <w:rPr>
                <w:rFonts w:ascii="Arial" w:cs="Arial" w:eastAsia="Arial" w:hAnsi="Arial"/>
                <w:sz w:val="18"/>
                <w:szCs w:val="18"/>
                <w:color w:val="auto"/>
              </w:rPr>
              <w:t>4,754</w:t>
            </w:r>
          </w:p>
        </w:tc>
        <w:tc>
          <w:tcPr>
            <w:tcW w:w="1140" w:type="dxa"/>
            <w:vAlign w:val="bottom"/>
          </w:tcPr>
          <w:p>
            <w:pPr>
              <w:jc w:val="right"/>
              <w:ind w:right="134"/>
              <w:spacing w:after="0"/>
              <w:rPr>
                <w:sz w:val="20"/>
                <w:szCs w:val="20"/>
                <w:color w:val="auto"/>
              </w:rPr>
            </w:pPr>
            <w:r>
              <w:rPr>
                <w:rFonts w:ascii="Arial" w:cs="Arial" w:eastAsia="Arial" w:hAnsi="Arial"/>
                <w:sz w:val="18"/>
                <w:szCs w:val="18"/>
                <w:color w:val="auto"/>
              </w:rPr>
              <w:t>4,644</w:t>
            </w:r>
          </w:p>
        </w:tc>
        <w:tc>
          <w:tcPr>
            <w:tcW w:w="720" w:type="dxa"/>
            <w:vAlign w:val="bottom"/>
          </w:tcPr>
          <w:p>
            <w:pPr>
              <w:jc w:val="right"/>
              <w:spacing w:after="0"/>
              <w:rPr>
                <w:sz w:val="20"/>
                <w:szCs w:val="20"/>
                <w:color w:val="auto"/>
              </w:rPr>
            </w:pPr>
            <w:r>
              <w:rPr>
                <w:rFonts w:ascii="Arial" w:cs="Arial" w:eastAsia="Arial" w:hAnsi="Arial"/>
                <w:sz w:val="18"/>
                <w:szCs w:val="18"/>
                <w:color w:val="auto"/>
              </w:rPr>
              <w:t>3,276</w:t>
            </w:r>
          </w:p>
        </w:tc>
        <w:tc>
          <w:tcPr>
            <w:tcW w:w="1000" w:type="dxa"/>
            <w:vAlign w:val="bottom"/>
          </w:tcPr>
          <w:p>
            <w:pPr>
              <w:jc w:val="right"/>
              <w:spacing w:after="0"/>
              <w:rPr>
                <w:sz w:val="20"/>
                <w:szCs w:val="20"/>
                <w:color w:val="auto"/>
              </w:rPr>
            </w:pPr>
            <w:r>
              <w:rPr>
                <w:rFonts w:ascii="Arial" w:cs="Arial" w:eastAsia="Arial" w:hAnsi="Arial"/>
                <w:sz w:val="18"/>
                <w:szCs w:val="18"/>
                <w:color w:val="auto"/>
              </w:rPr>
              <w:t>1,275</w:t>
            </w:r>
          </w:p>
        </w:tc>
      </w:tr>
      <w:tr>
        <w:trPr>
          <w:trHeight w:val="230"/>
        </w:trPr>
        <w:tc>
          <w:tcPr>
            <w:tcW w:w="3900" w:type="dxa"/>
            <w:vAlign w:val="bottom"/>
          </w:tcPr>
          <w:p>
            <w:pPr>
              <w:ind w:left="560"/>
              <w:spacing w:after="0"/>
              <w:rPr>
                <w:sz w:val="20"/>
                <w:szCs w:val="20"/>
                <w:color w:val="auto"/>
              </w:rPr>
            </w:pPr>
            <w:r>
              <w:rPr>
                <w:rFonts w:ascii="Arial" w:cs="Arial" w:eastAsia="Arial" w:hAnsi="Arial"/>
                <w:sz w:val="18"/>
                <w:szCs w:val="18"/>
                <w:color w:val="auto"/>
              </w:rPr>
              <w:t>Europe</w:t>
            </w:r>
          </w:p>
        </w:tc>
        <w:tc>
          <w:tcPr>
            <w:tcW w:w="1080" w:type="dxa"/>
            <w:vAlign w:val="bottom"/>
          </w:tcPr>
          <w:p>
            <w:pPr>
              <w:jc w:val="right"/>
              <w:ind w:right="253"/>
              <w:spacing w:after="0"/>
              <w:rPr>
                <w:sz w:val="20"/>
                <w:szCs w:val="20"/>
                <w:color w:val="auto"/>
              </w:rPr>
            </w:pPr>
            <w:r>
              <w:rPr>
                <w:rFonts w:ascii="Arial" w:cs="Arial" w:eastAsia="Arial" w:hAnsi="Arial"/>
                <w:sz w:val="18"/>
                <w:szCs w:val="18"/>
                <w:color w:val="auto"/>
              </w:rPr>
              <w:t>439</w:t>
            </w:r>
          </w:p>
        </w:tc>
        <w:tc>
          <w:tcPr>
            <w:tcW w:w="800" w:type="dxa"/>
            <w:vAlign w:val="bottom"/>
          </w:tcPr>
          <w:p>
            <w:pPr>
              <w:jc w:val="right"/>
              <w:ind w:right="113"/>
              <w:spacing w:after="0"/>
              <w:rPr>
                <w:sz w:val="20"/>
                <w:szCs w:val="20"/>
                <w:color w:val="auto"/>
              </w:rPr>
            </w:pPr>
            <w:r>
              <w:rPr>
                <w:rFonts w:ascii="Arial" w:cs="Arial" w:eastAsia="Arial" w:hAnsi="Arial"/>
                <w:sz w:val="18"/>
                <w:szCs w:val="18"/>
                <w:color w:val="auto"/>
              </w:rPr>
              <w:t>116</w:t>
            </w:r>
          </w:p>
        </w:tc>
        <w:tc>
          <w:tcPr>
            <w:tcW w:w="740" w:type="dxa"/>
            <w:vAlign w:val="bottom"/>
          </w:tcPr>
          <w:p>
            <w:pPr>
              <w:jc w:val="right"/>
              <w:spacing w:after="0"/>
              <w:rPr>
                <w:sz w:val="20"/>
                <w:szCs w:val="20"/>
                <w:color w:val="auto"/>
              </w:rPr>
            </w:pPr>
            <w:r>
              <w:rPr>
                <w:rFonts w:ascii="Arial" w:cs="Arial" w:eastAsia="Arial" w:hAnsi="Arial"/>
                <w:sz w:val="18"/>
                <w:szCs w:val="18"/>
                <w:color w:val="auto"/>
              </w:rPr>
              <w:t>441</w:t>
            </w:r>
          </w:p>
        </w:tc>
        <w:tc>
          <w:tcPr>
            <w:tcW w:w="1120" w:type="dxa"/>
            <w:vAlign w:val="bottom"/>
          </w:tcPr>
          <w:p>
            <w:pPr>
              <w:jc w:val="right"/>
              <w:ind w:right="113"/>
              <w:spacing w:after="0"/>
              <w:rPr>
                <w:sz w:val="20"/>
                <w:szCs w:val="20"/>
                <w:color w:val="auto"/>
              </w:rPr>
            </w:pPr>
            <w:r>
              <w:rPr>
                <w:rFonts w:ascii="Arial" w:cs="Arial" w:eastAsia="Arial" w:hAnsi="Arial"/>
                <w:sz w:val="18"/>
                <w:szCs w:val="18"/>
                <w:color w:val="auto"/>
              </w:rPr>
              <w:t>207</w:t>
            </w:r>
          </w:p>
        </w:tc>
        <w:tc>
          <w:tcPr>
            <w:tcW w:w="740" w:type="dxa"/>
            <w:vAlign w:val="bottom"/>
          </w:tcPr>
          <w:p>
            <w:pPr>
              <w:jc w:val="right"/>
              <w:spacing w:after="0"/>
              <w:rPr>
                <w:sz w:val="20"/>
                <w:szCs w:val="20"/>
                <w:color w:val="auto"/>
              </w:rPr>
            </w:pPr>
            <w:r>
              <w:rPr>
                <w:rFonts w:ascii="Arial" w:cs="Arial" w:eastAsia="Arial" w:hAnsi="Arial"/>
                <w:sz w:val="18"/>
                <w:szCs w:val="18"/>
                <w:color w:val="auto"/>
              </w:rPr>
              <w:t>559</w:t>
            </w:r>
          </w:p>
        </w:tc>
        <w:tc>
          <w:tcPr>
            <w:tcW w:w="1140" w:type="dxa"/>
            <w:vAlign w:val="bottom"/>
          </w:tcPr>
          <w:p>
            <w:pPr>
              <w:jc w:val="right"/>
              <w:ind w:right="134"/>
              <w:spacing w:after="0"/>
              <w:rPr>
                <w:sz w:val="20"/>
                <w:szCs w:val="20"/>
                <w:color w:val="auto"/>
              </w:rPr>
            </w:pPr>
            <w:r>
              <w:rPr>
                <w:rFonts w:ascii="Arial" w:cs="Arial" w:eastAsia="Arial" w:hAnsi="Arial"/>
                <w:sz w:val="18"/>
                <w:szCs w:val="18"/>
                <w:color w:val="auto"/>
              </w:rPr>
              <w:t>126</w:t>
            </w:r>
          </w:p>
        </w:tc>
        <w:tc>
          <w:tcPr>
            <w:tcW w:w="720" w:type="dxa"/>
            <w:vAlign w:val="bottom"/>
          </w:tcPr>
          <w:p>
            <w:pPr>
              <w:jc w:val="right"/>
              <w:spacing w:after="0"/>
              <w:rPr>
                <w:sz w:val="20"/>
                <w:szCs w:val="20"/>
                <w:color w:val="auto"/>
              </w:rPr>
            </w:pPr>
            <w:r>
              <w:rPr>
                <w:rFonts w:ascii="Arial" w:cs="Arial" w:eastAsia="Arial" w:hAnsi="Arial"/>
                <w:sz w:val="18"/>
                <w:szCs w:val="18"/>
                <w:color w:val="auto"/>
              </w:rPr>
              <w:t>487</w:t>
            </w:r>
          </w:p>
        </w:tc>
        <w:tc>
          <w:tcPr>
            <w:tcW w:w="1000" w:type="dxa"/>
            <w:vAlign w:val="bottom"/>
          </w:tcPr>
          <w:p>
            <w:pPr>
              <w:jc w:val="right"/>
              <w:spacing w:after="0"/>
              <w:rPr>
                <w:sz w:val="20"/>
                <w:szCs w:val="20"/>
                <w:color w:val="auto"/>
              </w:rPr>
            </w:pPr>
            <w:r>
              <w:rPr>
                <w:rFonts w:ascii="Arial" w:cs="Arial" w:eastAsia="Arial" w:hAnsi="Arial"/>
                <w:sz w:val="18"/>
                <w:szCs w:val="18"/>
                <w:color w:val="auto"/>
              </w:rPr>
              <w:t>221</w:t>
            </w:r>
          </w:p>
        </w:tc>
      </w:tr>
      <w:tr>
        <w:trPr>
          <w:trHeight w:val="229"/>
        </w:trPr>
        <w:tc>
          <w:tcPr>
            <w:tcW w:w="3900" w:type="dxa"/>
            <w:vAlign w:val="bottom"/>
          </w:tcPr>
          <w:p>
            <w:pPr>
              <w:ind w:left="560"/>
              <w:spacing w:after="0"/>
              <w:rPr>
                <w:sz w:val="20"/>
                <w:szCs w:val="20"/>
                <w:color w:val="auto"/>
              </w:rPr>
            </w:pPr>
            <w:r>
              <w:rPr>
                <w:rFonts w:ascii="Arial" w:cs="Arial" w:eastAsia="Arial" w:hAnsi="Arial"/>
                <w:sz w:val="18"/>
                <w:szCs w:val="18"/>
                <w:color w:val="auto"/>
              </w:rPr>
              <w:t>Africa</w:t>
            </w:r>
          </w:p>
        </w:tc>
        <w:tc>
          <w:tcPr>
            <w:tcW w:w="1080" w:type="dxa"/>
            <w:vAlign w:val="bottom"/>
          </w:tcPr>
          <w:p>
            <w:pPr>
              <w:jc w:val="right"/>
              <w:ind w:right="253"/>
              <w:spacing w:after="0"/>
              <w:rPr>
                <w:sz w:val="20"/>
                <w:szCs w:val="20"/>
                <w:color w:val="auto"/>
              </w:rPr>
            </w:pPr>
            <w:r>
              <w:rPr>
                <w:rFonts w:ascii="Arial" w:cs="Arial" w:eastAsia="Arial" w:hAnsi="Arial"/>
                <w:sz w:val="18"/>
                <w:szCs w:val="18"/>
                <w:color w:val="auto"/>
              </w:rPr>
              <w:t>1,102</w:t>
            </w:r>
          </w:p>
        </w:tc>
        <w:tc>
          <w:tcPr>
            <w:tcW w:w="800" w:type="dxa"/>
            <w:vAlign w:val="bottom"/>
          </w:tcPr>
          <w:p>
            <w:pPr>
              <w:jc w:val="right"/>
              <w:ind w:right="113"/>
              <w:spacing w:after="0"/>
              <w:rPr>
                <w:sz w:val="20"/>
                <w:szCs w:val="20"/>
                <w:color w:val="auto"/>
              </w:rPr>
            </w:pPr>
            <w:r>
              <w:rPr>
                <w:rFonts w:ascii="Arial" w:cs="Arial" w:eastAsia="Arial" w:hAnsi="Arial"/>
                <w:sz w:val="18"/>
                <w:szCs w:val="18"/>
                <w:color w:val="auto"/>
              </w:rPr>
              <w:t>416</w:t>
            </w:r>
          </w:p>
        </w:tc>
        <w:tc>
          <w:tcPr>
            <w:tcW w:w="740" w:type="dxa"/>
            <w:vAlign w:val="bottom"/>
          </w:tcPr>
          <w:p>
            <w:pPr>
              <w:jc w:val="right"/>
              <w:spacing w:after="0"/>
              <w:rPr>
                <w:sz w:val="20"/>
                <w:szCs w:val="20"/>
                <w:color w:val="auto"/>
              </w:rPr>
            </w:pPr>
            <w:r>
              <w:rPr>
                <w:rFonts w:ascii="Arial" w:cs="Arial" w:eastAsia="Arial" w:hAnsi="Arial"/>
                <w:sz w:val="18"/>
                <w:szCs w:val="18"/>
                <w:color w:val="auto"/>
              </w:rPr>
              <w:t>24</w:t>
            </w:r>
          </w:p>
        </w:tc>
        <w:tc>
          <w:tcPr>
            <w:tcW w:w="1120" w:type="dxa"/>
            <w:vAlign w:val="bottom"/>
          </w:tcPr>
          <w:p>
            <w:pPr>
              <w:jc w:val="right"/>
              <w:ind w:right="113"/>
              <w:spacing w:after="0"/>
              <w:rPr>
                <w:sz w:val="20"/>
                <w:szCs w:val="20"/>
                <w:color w:val="auto"/>
              </w:rPr>
            </w:pPr>
            <w:r>
              <w:rPr>
                <w:rFonts w:ascii="Arial" w:cs="Arial" w:eastAsia="Arial" w:hAnsi="Arial"/>
                <w:sz w:val="18"/>
                <w:szCs w:val="18"/>
                <w:color w:val="auto"/>
              </w:rPr>
              <w:t>10</w:t>
            </w:r>
          </w:p>
        </w:tc>
        <w:tc>
          <w:tcPr>
            <w:tcW w:w="740" w:type="dxa"/>
            <w:vAlign w:val="bottom"/>
          </w:tcPr>
          <w:p>
            <w:pPr>
              <w:jc w:val="right"/>
              <w:spacing w:after="0"/>
              <w:rPr>
                <w:sz w:val="20"/>
                <w:szCs w:val="20"/>
                <w:color w:val="auto"/>
              </w:rPr>
            </w:pPr>
            <w:r>
              <w:rPr>
                <w:rFonts w:ascii="Arial" w:cs="Arial" w:eastAsia="Arial" w:hAnsi="Arial"/>
                <w:sz w:val="18"/>
                <w:szCs w:val="18"/>
                <w:color w:val="auto"/>
              </w:rPr>
              <w:t>1,141</w:t>
            </w:r>
          </w:p>
        </w:tc>
        <w:tc>
          <w:tcPr>
            <w:tcW w:w="1140" w:type="dxa"/>
            <w:vAlign w:val="bottom"/>
          </w:tcPr>
          <w:p>
            <w:pPr>
              <w:jc w:val="right"/>
              <w:ind w:right="134"/>
              <w:spacing w:after="0"/>
              <w:rPr>
                <w:sz w:val="20"/>
                <w:szCs w:val="20"/>
                <w:color w:val="auto"/>
              </w:rPr>
            </w:pPr>
            <w:r>
              <w:rPr>
                <w:rFonts w:ascii="Arial" w:cs="Arial" w:eastAsia="Arial" w:hAnsi="Arial"/>
                <w:sz w:val="18"/>
                <w:szCs w:val="18"/>
                <w:color w:val="auto"/>
              </w:rPr>
              <w:t>432</w:t>
            </w:r>
          </w:p>
        </w:tc>
        <w:tc>
          <w:tcPr>
            <w:tcW w:w="720" w:type="dxa"/>
            <w:vAlign w:val="bottom"/>
          </w:tcPr>
          <w:p>
            <w:pPr>
              <w:jc w:val="right"/>
              <w:spacing w:after="0"/>
              <w:rPr>
                <w:sz w:val="20"/>
                <w:szCs w:val="20"/>
                <w:color w:val="auto"/>
              </w:rPr>
            </w:pPr>
            <w:r>
              <w:rPr>
                <w:rFonts w:ascii="Arial" w:cs="Arial" w:eastAsia="Arial" w:hAnsi="Arial"/>
                <w:sz w:val="18"/>
                <w:szCs w:val="18"/>
                <w:color w:val="auto"/>
              </w:rPr>
              <w:t>26</w:t>
            </w:r>
          </w:p>
        </w:tc>
        <w:tc>
          <w:tcPr>
            <w:tcW w:w="10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3900" w:type="dxa"/>
            <w:vAlign w:val="bottom"/>
          </w:tcPr>
          <w:p>
            <w:pPr>
              <w:ind w:left="560"/>
              <w:spacing w:after="0"/>
              <w:rPr>
                <w:sz w:val="20"/>
                <w:szCs w:val="20"/>
                <w:color w:val="auto"/>
              </w:rPr>
            </w:pPr>
            <w:r>
              <w:rPr>
                <w:rFonts w:ascii="Arial" w:cs="Arial" w:eastAsia="Arial" w:hAnsi="Arial"/>
                <w:sz w:val="18"/>
                <w:szCs w:val="18"/>
                <w:color w:val="auto"/>
              </w:rPr>
              <w:t>Asia</w:t>
            </w:r>
          </w:p>
        </w:tc>
        <w:tc>
          <w:tcPr>
            <w:tcW w:w="1080" w:type="dxa"/>
            <w:vAlign w:val="bottom"/>
          </w:tcPr>
          <w:p>
            <w:pPr>
              <w:jc w:val="right"/>
              <w:ind w:right="253"/>
              <w:spacing w:after="0"/>
              <w:rPr>
                <w:sz w:val="20"/>
                <w:szCs w:val="20"/>
                <w:color w:val="auto"/>
              </w:rPr>
            </w:pPr>
            <w:r>
              <w:rPr>
                <w:rFonts w:ascii="Arial" w:cs="Arial" w:eastAsia="Arial" w:hAnsi="Arial"/>
                <w:sz w:val="18"/>
                <w:szCs w:val="18"/>
                <w:color w:val="auto"/>
              </w:rPr>
              <w:t>1,038</w:t>
            </w:r>
          </w:p>
        </w:tc>
        <w:tc>
          <w:tcPr>
            <w:tcW w:w="800" w:type="dxa"/>
            <w:vAlign w:val="bottom"/>
          </w:tcPr>
          <w:p>
            <w:pPr>
              <w:jc w:val="right"/>
              <w:ind w:right="113"/>
              <w:spacing w:after="0"/>
              <w:rPr>
                <w:sz w:val="20"/>
                <w:szCs w:val="20"/>
                <w:color w:val="auto"/>
              </w:rPr>
            </w:pPr>
            <w:r>
              <w:rPr>
                <w:rFonts w:ascii="Arial" w:cs="Arial" w:eastAsia="Arial" w:hAnsi="Arial"/>
                <w:sz w:val="18"/>
                <w:szCs w:val="18"/>
                <w:color w:val="auto"/>
              </w:rPr>
              <w:t>333</w:t>
            </w:r>
          </w:p>
        </w:tc>
        <w:tc>
          <w:tcPr>
            <w:tcW w:w="740" w:type="dxa"/>
            <w:vAlign w:val="bottom"/>
          </w:tcPr>
          <w:p>
            <w:pPr>
              <w:jc w:val="right"/>
              <w:spacing w:after="0"/>
              <w:rPr>
                <w:sz w:val="20"/>
                <w:szCs w:val="20"/>
                <w:color w:val="auto"/>
              </w:rPr>
            </w:pPr>
            <w:r>
              <w:rPr>
                <w:rFonts w:ascii="Arial" w:cs="Arial" w:eastAsia="Arial" w:hAnsi="Arial"/>
                <w:sz w:val="18"/>
                <w:szCs w:val="18"/>
                <w:color w:val="auto"/>
              </w:rPr>
              <w:t>137</w:t>
            </w:r>
          </w:p>
        </w:tc>
        <w:tc>
          <w:tcPr>
            <w:tcW w:w="1120" w:type="dxa"/>
            <w:vAlign w:val="bottom"/>
          </w:tcPr>
          <w:p>
            <w:pPr>
              <w:jc w:val="right"/>
              <w:ind w:right="113"/>
              <w:spacing w:after="0"/>
              <w:rPr>
                <w:sz w:val="20"/>
                <w:szCs w:val="20"/>
                <w:color w:val="auto"/>
              </w:rPr>
            </w:pPr>
            <w:r>
              <w:rPr>
                <w:rFonts w:ascii="Arial" w:cs="Arial" w:eastAsia="Arial" w:hAnsi="Arial"/>
                <w:sz w:val="18"/>
                <w:szCs w:val="18"/>
                <w:color w:val="auto"/>
              </w:rPr>
              <w:t>80</w:t>
            </w:r>
          </w:p>
        </w:tc>
        <w:tc>
          <w:tcPr>
            <w:tcW w:w="740" w:type="dxa"/>
            <w:vAlign w:val="bottom"/>
          </w:tcPr>
          <w:p>
            <w:pPr>
              <w:jc w:val="right"/>
              <w:spacing w:after="0"/>
              <w:rPr>
                <w:sz w:val="20"/>
                <w:szCs w:val="20"/>
                <w:color w:val="auto"/>
              </w:rPr>
            </w:pPr>
            <w:r>
              <w:rPr>
                <w:rFonts w:ascii="Arial" w:cs="Arial" w:eastAsia="Arial" w:hAnsi="Arial"/>
                <w:sz w:val="18"/>
                <w:szCs w:val="18"/>
                <w:color w:val="auto"/>
              </w:rPr>
              <w:t>974</w:t>
            </w:r>
          </w:p>
        </w:tc>
        <w:tc>
          <w:tcPr>
            <w:tcW w:w="1140" w:type="dxa"/>
            <w:vAlign w:val="bottom"/>
          </w:tcPr>
          <w:p>
            <w:pPr>
              <w:jc w:val="right"/>
              <w:ind w:right="134"/>
              <w:spacing w:after="0"/>
              <w:rPr>
                <w:sz w:val="20"/>
                <w:szCs w:val="20"/>
                <w:color w:val="auto"/>
              </w:rPr>
            </w:pPr>
            <w:r>
              <w:rPr>
                <w:rFonts w:ascii="Arial" w:cs="Arial" w:eastAsia="Arial" w:hAnsi="Arial"/>
                <w:sz w:val="18"/>
                <w:szCs w:val="18"/>
                <w:color w:val="auto"/>
              </w:rPr>
              <w:t>310</w:t>
            </w:r>
          </w:p>
        </w:tc>
        <w:tc>
          <w:tcPr>
            <w:tcW w:w="720" w:type="dxa"/>
            <w:vAlign w:val="bottom"/>
          </w:tcPr>
          <w:p>
            <w:pPr>
              <w:jc w:val="right"/>
              <w:spacing w:after="0"/>
              <w:rPr>
                <w:sz w:val="20"/>
                <w:szCs w:val="20"/>
                <w:color w:val="auto"/>
              </w:rPr>
            </w:pPr>
            <w:r>
              <w:rPr>
                <w:rFonts w:ascii="Arial" w:cs="Arial" w:eastAsia="Arial" w:hAnsi="Arial"/>
                <w:sz w:val="18"/>
                <w:szCs w:val="18"/>
                <w:color w:val="auto"/>
              </w:rPr>
              <w:t>132</w:t>
            </w:r>
          </w:p>
        </w:tc>
        <w:tc>
          <w:tcPr>
            <w:tcW w:w="100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30"/>
        </w:trPr>
        <w:tc>
          <w:tcPr>
            <w:tcW w:w="3900" w:type="dxa"/>
            <w:vAlign w:val="bottom"/>
          </w:tcPr>
          <w:p>
            <w:pPr>
              <w:ind w:left="560"/>
              <w:spacing w:after="0"/>
              <w:rPr>
                <w:sz w:val="20"/>
                <w:szCs w:val="20"/>
                <w:color w:val="auto"/>
              </w:rPr>
            </w:pPr>
            <w:r>
              <w:rPr>
                <w:rFonts w:ascii="Arial" w:cs="Arial" w:eastAsia="Arial" w:hAnsi="Arial"/>
                <w:sz w:val="18"/>
                <w:szCs w:val="18"/>
                <w:color w:val="auto"/>
              </w:rPr>
              <w:t>Australia/Oceania</w:t>
            </w:r>
          </w:p>
        </w:tc>
        <w:tc>
          <w:tcPr>
            <w:tcW w:w="1080" w:type="dxa"/>
            <w:vAlign w:val="bottom"/>
            <w:tcBorders>
              <w:bottom w:val="single" w:sz="8" w:color="auto"/>
            </w:tcBorders>
          </w:tcPr>
          <w:p>
            <w:pPr>
              <w:jc w:val="right"/>
              <w:ind w:right="253"/>
              <w:spacing w:after="0"/>
              <w:rPr>
                <w:sz w:val="20"/>
                <w:szCs w:val="20"/>
                <w:color w:val="auto"/>
              </w:rPr>
            </w:pPr>
            <w:r>
              <w:rPr>
                <w:rFonts w:ascii="Arial" w:cs="Arial" w:eastAsia="Arial" w:hAnsi="Arial"/>
                <w:sz w:val="18"/>
                <w:szCs w:val="18"/>
                <w:color w:val="auto"/>
              </w:rPr>
              <w:t>522</w:t>
            </w:r>
          </w:p>
        </w:tc>
        <w:tc>
          <w:tcPr>
            <w:tcW w:w="80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99</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12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40</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w:t>
            </w:r>
          </w:p>
        </w:tc>
        <w:tc>
          <w:tcPr>
            <w:tcW w:w="114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102</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r>
      <w:tr>
        <w:trPr>
          <w:trHeight w:val="224"/>
        </w:trPr>
        <w:tc>
          <w:tcPr>
            <w:tcW w:w="3900" w:type="dxa"/>
            <w:vAlign w:val="bottom"/>
          </w:tcPr>
          <w:p>
            <w:pPr>
              <w:ind w:left="800"/>
              <w:spacing w:after="0"/>
              <w:rPr>
                <w:sz w:val="20"/>
                <w:szCs w:val="20"/>
                <w:color w:val="auto"/>
              </w:rPr>
            </w:pPr>
            <w:r>
              <w:rPr>
                <w:rFonts w:ascii="Arial" w:cs="Arial" w:eastAsia="Arial" w:hAnsi="Arial"/>
                <w:sz w:val="18"/>
                <w:szCs w:val="18"/>
                <w:color w:val="auto"/>
              </w:rPr>
              <w:t>Total Consolidated Subsidiaries</w:t>
            </w:r>
          </w:p>
        </w:tc>
        <w:tc>
          <w:tcPr>
            <w:tcW w:w="1080" w:type="dxa"/>
            <w:vAlign w:val="bottom"/>
          </w:tcPr>
          <w:p>
            <w:pPr>
              <w:jc w:val="right"/>
              <w:ind w:right="253"/>
              <w:spacing w:after="0"/>
              <w:rPr>
                <w:sz w:val="20"/>
                <w:szCs w:val="20"/>
                <w:color w:val="auto"/>
              </w:rPr>
            </w:pPr>
            <w:r>
              <w:rPr>
                <w:rFonts w:ascii="Arial" w:cs="Arial" w:eastAsia="Arial" w:hAnsi="Arial"/>
                <w:sz w:val="18"/>
                <w:szCs w:val="18"/>
                <w:color w:val="auto"/>
              </w:rPr>
              <w:t>27,158</w:t>
            </w:r>
          </w:p>
        </w:tc>
        <w:tc>
          <w:tcPr>
            <w:tcW w:w="800" w:type="dxa"/>
            <w:vAlign w:val="bottom"/>
          </w:tcPr>
          <w:p>
            <w:pPr>
              <w:jc w:val="right"/>
              <w:ind w:right="113"/>
              <w:spacing w:after="0"/>
              <w:rPr>
                <w:sz w:val="20"/>
                <w:szCs w:val="20"/>
                <w:color w:val="auto"/>
              </w:rPr>
            </w:pPr>
            <w:r>
              <w:rPr>
                <w:rFonts w:ascii="Arial" w:cs="Arial" w:eastAsia="Arial" w:hAnsi="Arial"/>
                <w:sz w:val="18"/>
                <w:szCs w:val="18"/>
                <w:color w:val="auto"/>
              </w:rPr>
              <w:t>13,078</w:t>
            </w:r>
          </w:p>
        </w:tc>
        <w:tc>
          <w:tcPr>
            <w:tcW w:w="740" w:type="dxa"/>
            <w:vAlign w:val="bottom"/>
          </w:tcPr>
          <w:p>
            <w:pPr>
              <w:jc w:val="right"/>
              <w:spacing w:after="0"/>
              <w:rPr>
                <w:sz w:val="20"/>
                <w:szCs w:val="20"/>
                <w:color w:val="auto"/>
              </w:rPr>
            </w:pPr>
            <w:r>
              <w:rPr>
                <w:rFonts w:ascii="Arial" w:cs="Arial" w:eastAsia="Arial" w:hAnsi="Arial"/>
                <w:sz w:val="18"/>
                <w:szCs w:val="18"/>
                <w:color w:val="auto"/>
              </w:rPr>
              <w:t>22,575</w:t>
            </w:r>
          </w:p>
        </w:tc>
        <w:tc>
          <w:tcPr>
            <w:tcW w:w="1120" w:type="dxa"/>
            <w:vAlign w:val="bottom"/>
          </w:tcPr>
          <w:p>
            <w:pPr>
              <w:jc w:val="right"/>
              <w:ind w:right="113"/>
              <w:spacing w:after="0"/>
              <w:rPr>
                <w:sz w:val="20"/>
                <w:szCs w:val="20"/>
                <w:color w:val="auto"/>
              </w:rPr>
            </w:pPr>
            <w:r>
              <w:rPr>
                <w:rFonts w:ascii="Arial" w:cs="Arial" w:eastAsia="Arial" w:hAnsi="Arial"/>
                <w:sz w:val="18"/>
                <w:szCs w:val="18"/>
                <w:color w:val="auto"/>
              </w:rPr>
              <w:t>12,357</w:t>
            </w:r>
          </w:p>
        </w:tc>
        <w:tc>
          <w:tcPr>
            <w:tcW w:w="740" w:type="dxa"/>
            <w:vAlign w:val="bottom"/>
          </w:tcPr>
          <w:p>
            <w:pPr>
              <w:jc w:val="right"/>
              <w:spacing w:after="0"/>
              <w:rPr>
                <w:sz w:val="20"/>
                <w:szCs w:val="20"/>
                <w:color w:val="auto"/>
              </w:rPr>
            </w:pPr>
            <w:r>
              <w:rPr>
                <w:rFonts w:ascii="Arial" w:cs="Arial" w:eastAsia="Arial" w:hAnsi="Arial"/>
                <w:sz w:val="18"/>
                <w:szCs w:val="18"/>
                <w:color w:val="auto"/>
              </w:rPr>
              <w:t>27,599</w:t>
            </w:r>
          </w:p>
        </w:tc>
        <w:tc>
          <w:tcPr>
            <w:tcW w:w="1140" w:type="dxa"/>
            <w:vAlign w:val="bottom"/>
          </w:tcPr>
          <w:p>
            <w:pPr>
              <w:jc w:val="right"/>
              <w:ind w:right="134"/>
              <w:spacing w:after="0"/>
              <w:rPr>
                <w:sz w:val="20"/>
                <w:szCs w:val="20"/>
                <w:color w:val="auto"/>
              </w:rPr>
            </w:pPr>
            <w:r>
              <w:rPr>
                <w:rFonts w:ascii="Arial" w:cs="Arial" w:eastAsia="Arial" w:hAnsi="Arial"/>
                <w:sz w:val="18"/>
                <w:szCs w:val="18"/>
                <w:color w:val="auto"/>
              </w:rPr>
              <w:t>13,492</w:t>
            </w:r>
          </w:p>
        </w:tc>
        <w:tc>
          <w:tcPr>
            <w:tcW w:w="720" w:type="dxa"/>
            <w:vAlign w:val="bottom"/>
          </w:tcPr>
          <w:p>
            <w:pPr>
              <w:jc w:val="right"/>
              <w:spacing w:after="0"/>
              <w:rPr>
                <w:sz w:val="20"/>
                <w:szCs w:val="20"/>
                <w:color w:val="auto"/>
              </w:rPr>
            </w:pPr>
            <w:r>
              <w:rPr>
                <w:rFonts w:ascii="Arial" w:cs="Arial" w:eastAsia="Arial" w:hAnsi="Arial"/>
                <w:sz w:val="18"/>
                <w:szCs w:val="18"/>
                <w:color w:val="auto"/>
              </w:rPr>
              <w:t>24,491</w:t>
            </w:r>
          </w:p>
        </w:tc>
        <w:tc>
          <w:tcPr>
            <w:tcW w:w="1000" w:type="dxa"/>
            <w:vAlign w:val="bottom"/>
          </w:tcPr>
          <w:p>
            <w:pPr>
              <w:jc w:val="right"/>
              <w:spacing w:after="0"/>
              <w:rPr>
                <w:sz w:val="20"/>
                <w:szCs w:val="20"/>
                <w:color w:val="auto"/>
              </w:rPr>
            </w:pPr>
            <w:r>
              <w:rPr>
                <w:rFonts w:ascii="Arial" w:cs="Arial" w:eastAsia="Arial" w:hAnsi="Arial"/>
                <w:sz w:val="18"/>
                <w:szCs w:val="18"/>
                <w:color w:val="auto"/>
              </w:rPr>
              <w:t>13,817</w:t>
            </w:r>
          </w:p>
        </w:tc>
      </w:tr>
      <w:tr>
        <w:trPr>
          <w:trHeight w:val="484"/>
        </w:trPr>
        <w:tc>
          <w:tcPr>
            <w:tcW w:w="3900" w:type="dxa"/>
            <w:vAlign w:val="bottom"/>
          </w:tcPr>
          <w:p>
            <w:pPr>
              <w:ind w:left="140"/>
              <w:spacing w:after="0"/>
              <w:rPr>
                <w:sz w:val="20"/>
                <w:szCs w:val="20"/>
                <w:color w:val="auto"/>
              </w:rPr>
            </w:pPr>
            <w:r>
              <w:rPr>
                <w:rFonts w:ascii="Arial" w:cs="Arial" w:eastAsia="Arial" w:hAnsi="Arial"/>
                <w:sz w:val="18"/>
                <w:szCs w:val="18"/>
                <w:b w:val="1"/>
                <w:bCs w:val="1"/>
                <w:color w:val="auto"/>
              </w:rPr>
              <w:t>Equity Companies</w:t>
            </w:r>
          </w:p>
        </w:tc>
        <w:tc>
          <w:tcPr>
            <w:tcW w:w="10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30"/>
        </w:trPr>
        <w:tc>
          <w:tcPr>
            <w:tcW w:w="3900" w:type="dxa"/>
            <w:vAlign w:val="bottom"/>
          </w:tcPr>
          <w:p>
            <w:pPr>
              <w:ind w:left="560"/>
              <w:spacing w:after="0"/>
              <w:rPr>
                <w:sz w:val="20"/>
                <w:szCs w:val="20"/>
                <w:color w:val="auto"/>
              </w:rPr>
            </w:pPr>
            <w:r>
              <w:rPr>
                <w:rFonts w:ascii="Arial" w:cs="Arial" w:eastAsia="Arial" w:hAnsi="Arial"/>
                <w:sz w:val="18"/>
                <w:szCs w:val="18"/>
                <w:color w:val="auto"/>
              </w:rPr>
              <w:t>United States</w:t>
            </w:r>
          </w:p>
        </w:tc>
        <w:tc>
          <w:tcPr>
            <w:tcW w:w="1080" w:type="dxa"/>
            <w:vAlign w:val="bottom"/>
          </w:tcPr>
          <w:p>
            <w:pPr>
              <w:jc w:val="right"/>
              <w:ind w:right="253"/>
              <w:spacing w:after="0"/>
              <w:rPr>
                <w:sz w:val="20"/>
                <w:szCs w:val="20"/>
                <w:color w:val="auto"/>
              </w:rPr>
            </w:pPr>
            <w:r>
              <w:rPr>
                <w:rFonts w:ascii="Arial" w:cs="Arial" w:eastAsia="Arial" w:hAnsi="Arial"/>
                <w:sz w:val="18"/>
                <w:szCs w:val="18"/>
                <w:color w:val="auto"/>
              </w:rPr>
              <w:t>12,108</w:t>
            </w:r>
          </w:p>
        </w:tc>
        <w:tc>
          <w:tcPr>
            <w:tcW w:w="800" w:type="dxa"/>
            <w:vAlign w:val="bottom"/>
          </w:tcPr>
          <w:p>
            <w:pPr>
              <w:jc w:val="right"/>
              <w:ind w:right="113"/>
              <w:spacing w:after="0"/>
              <w:rPr>
                <w:sz w:val="20"/>
                <w:szCs w:val="20"/>
                <w:color w:val="auto"/>
              </w:rPr>
            </w:pPr>
            <w:r>
              <w:rPr>
                <w:rFonts w:ascii="Arial" w:cs="Arial" w:eastAsia="Arial" w:hAnsi="Arial"/>
                <w:sz w:val="18"/>
                <w:szCs w:val="18"/>
                <w:color w:val="auto"/>
              </w:rPr>
              <w:t>4,793</w:t>
            </w:r>
          </w:p>
        </w:tc>
        <w:tc>
          <w:tcPr>
            <w:tcW w:w="740" w:type="dxa"/>
            <w:vAlign w:val="bottom"/>
          </w:tcPr>
          <w:p>
            <w:pPr>
              <w:jc w:val="right"/>
              <w:spacing w:after="0"/>
              <w:rPr>
                <w:sz w:val="20"/>
                <w:szCs w:val="20"/>
                <w:color w:val="auto"/>
              </w:rPr>
            </w:pPr>
            <w:r>
              <w:rPr>
                <w:rFonts w:ascii="Arial" w:cs="Arial" w:eastAsia="Arial" w:hAnsi="Arial"/>
                <w:sz w:val="18"/>
                <w:szCs w:val="18"/>
                <w:color w:val="auto"/>
              </w:rPr>
              <w:t>3,355</w:t>
            </w:r>
          </w:p>
        </w:tc>
        <w:tc>
          <w:tcPr>
            <w:tcW w:w="1120" w:type="dxa"/>
            <w:vAlign w:val="bottom"/>
          </w:tcPr>
          <w:p>
            <w:pPr>
              <w:jc w:val="right"/>
              <w:ind w:right="113"/>
              <w:spacing w:after="0"/>
              <w:rPr>
                <w:sz w:val="20"/>
                <w:szCs w:val="20"/>
                <w:color w:val="auto"/>
              </w:rPr>
            </w:pPr>
            <w:r>
              <w:rPr>
                <w:rFonts w:ascii="Arial" w:cs="Arial" w:eastAsia="Arial" w:hAnsi="Arial"/>
                <w:sz w:val="18"/>
                <w:szCs w:val="18"/>
                <w:color w:val="auto"/>
              </w:rPr>
              <w:t>333</w:t>
            </w:r>
          </w:p>
        </w:tc>
        <w:tc>
          <w:tcPr>
            <w:tcW w:w="740" w:type="dxa"/>
            <w:vAlign w:val="bottom"/>
          </w:tcPr>
          <w:p>
            <w:pPr>
              <w:jc w:val="right"/>
              <w:spacing w:after="0"/>
              <w:rPr>
                <w:sz w:val="20"/>
                <w:szCs w:val="20"/>
                <w:color w:val="auto"/>
              </w:rPr>
            </w:pPr>
            <w:r>
              <w:rPr>
                <w:rFonts w:ascii="Arial" w:cs="Arial" w:eastAsia="Arial" w:hAnsi="Arial"/>
                <w:sz w:val="18"/>
                <w:szCs w:val="18"/>
                <w:color w:val="auto"/>
              </w:rPr>
              <w:t>12,368</w:t>
            </w:r>
          </w:p>
        </w:tc>
        <w:tc>
          <w:tcPr>
            <w:tcW w:w="1140" w:type="dxa"/>
            <w:vAlign w:val="bottom"/>
          </w:tcPr>
          <w:p>
            <w:pPr>
              <w:jc w:val="right"/>
              <w:ind w:right="134"/>
              <w:spacing w:after="0"/>
              <w:rPr>
                <w:sz w:val="20"/>
                <w:szCs w:val="20"/>
                <w:color w:val="auto"/>
              </w:rPr>
            </w:pPr>
            <w:r>
              <w:rPr>
                <w:rFonts w:ascii="Arial" w:cs="Arial" w:eastAsia="Arial" w:hAnsi="Arial"/>
                <w:sz w:val="18"/>
                <w:szCs w:val="18"/>
                <w:color w:val="auto"/>
              </w:rPr>
              <w:t>4,851</w:t>
            </w:r>
          </w:p>
        </w:tc>
        <w:tc>
          <w:tcPr>
            <w:tcW w:w="720" w:type="dxa"/>
            <w:vAlign w:val="bottom"/>
          </w:tcPr>
          <w:p>
            <w:pPr>
              <w:jc w:val="right"/>
              <w:spacing w:after="0"/>
              <w:rPr>
                <w:sz w:val="20"/>
                <w:szCs w:val="20"/>
                <w:color w:val="auto"/>
              </w:rPr>
            </w:pPr>
            <w:r>
              <w:rPr>
                <w:rFonts w:ascii="Arial" w:cs="Arial" w:eastAsia="Arial" w:hAnsi="Arial"/>
                <w:sz w:val="18"/>
                <w:szCs w:val="18"/>
                <w:color w:val="auto"/>
              </w:rPr>
              <w:t>4,223</w:t>
            </w:r>
          </w:p>
        </w:tc>
        <w:tc>
          <w:tcPr>
            <w:tcW w:w="1000" w:type="dxa"/>
            <w:vAlign w:val="bottom"/>
          </w:tcPr>
          <w:p>
            <w:pPr>
              <w:jc w:val="right"/>
              <w:spacing w:after="0"/>
              <w:rPr>
                <w:sz w:val="20"/>
                <w:szCs w:val="20"/>
                <w:color w:val="auto"/>
              </w:rPr>
            </w:pPr>
            <w:r>
              <w:rPr>
                <w:rFonts w:ascii="Arial" w:cs="Arial" w:eastAsia="Arial" w:hAnsi="Arial"/>
                <w:sz w:val="18"/>
                <w:szCs w:val="18"/>
                <w:color w:val="auto"/>
              </w:rPr>
              <w:t>417</w:t>
            </w:r>
          </w:p>
        </w:tc>
      </w:tr>
      <w:tr>
        <w:trPr>
          <w:trHeight w:val="229"/>
        </w:trPr>
        <w:tc>
          <w:tcPr>
            <w:tcW w:w="3900" w:type="dxa"/>
            <w:vAlign w:val="bottom"/>
          </w:tcPr>
          <w:p>
            <w:pPr>
              <w:ind w:left="560"/>
              <w:spacing w:after="0"/>
              <w:rPr>
                <w:sz w:val="20"/>
                <w:szCs w:val="20"/>
                <w:color w:val="auto"/>
              </w:rPr>
            </w:pPr>
            <w:r>
              <w:rPr>
                <w:rFonts w:ascii="Arial" w:cs="Arial" w:eastAsia="Arial" w:hAnsi="Arial"/>
                <w:sz w:val="18"/>
                <w:szCs w:val="18"/>
                <w:color w:val="auto"/>
              </w:rPr>
              <w:t>Europe</w:t>
            </w:r>
          </w:p>
        </w:tc>
        <w:tc>
          <w:tcPr>
            <w:tcW w:w="1080" w:type="dxa"/>
            <w:vAlign w:val="bottom"/>
          </w:tcPr>
          <w:p>
            <w:pPr>
              <w:jc w:val="right"/>
              <w:ind w:right="253"/>
              <w:spacing w:after="0"/>
              <w:rPr>
                <w:sz w:val="20"/>
                <w:szCs w:val="20"/>
                <w:color w:val="auto"/>
              </w:rPr>
            </w:pPr>
            <w:r>
              <w:rPr>
                <w:rFonts w:ascii="Arial" w:cs="Arial" w:eastAsia="Arial" w:hAnsi="Arial"/>
                <w:sz w:val="18"/>
                <w:szCs w:val="18"/>
                <w:color w:val="auto"/>
              </w:rPr>
              <w:t>57</w:t>
            </w:r>
          </w:p>
        </w:tc>
        <w:tc>
          <w:tcPr>
            <w:tcW w:w="800" w:type="dxa"/>
            <w:vAlign w:val="bottom"/>
          </w:tcPr>
          <w:p>
            <w:pPr>
              <w:jc w:val="right"/>
              <w:ind w:right="113"/>
              <w:spacing w:after="0"/>
              <w:rPr>
                <w:sz w:val="20"/>
                <w:szCs w:val="20"/>
                <w:color w:val="auto"/>
              </w:rPr>
            </w:pPr>
            <w:r>
              <w:rPr>
                <w:rFonts w:ascii="Arial" w:cs="Arial" w:eastAsia="Arial" w:hAnsi="Arial"/>
                <w:sz w:val="18"/>
                <w:szCs w:val="18"/>
                <w:color w:val="auto"/>
              </w:rPr>
              <w:t>20</w:t>
            </w:r>
          </w:p>
        </w:tc>
        <w:tc>
          <w:tcPr>
            <w:tcW w:w="740" w:type="dxa"/>
            <w:vAlign w:val="bottom"/>
          </w:tcPr>
          <w:p>
            <w:pPr>
              <w:jc w:val="right"/>
              <w:spacing w:after="0"/>
              <w:rPr>
                <w:sz w:val="20"/>
                <w:szCs w:val="20"/>
                <w:color w:val="auto"/>
              </w:rPr>
            </w:pPr>
            <w:r>
              <w:rPr>
                <w:rFonts w:ascii="Arial" w:cs="Arial" w:eastAsia="Arial" w:hAnsi="Arial"/>
                <w:sz w:val="18"/>
                <w:szCs w:val="18"/>
                <w:color w:val="auto"/>
              </w:rPr>
              <w:t>547</w:t>
            </w:r>
          </w:p>
        </w:tc>
        <w:tc>
          <w:tcPr>
            <w:tcW w:w="1120" w:type="dxa"/>
            <w:vAlign w:val="bottom"/>
          </w:tcPr>
          <w:p>
            <w:pPr>
              <w:jc w:val="right"/>
              <w:ind w:right="113"/>
              <w:spacing w:after="0"/>
              <w:rPr>
                <w:sz w:val="20"/>
                <w:szCs w:val="20"/>
                <w:color w:val="auto"/>
              </w:rPr>
            </w:pPr>
            <w:r>
              <w:rPr>
                <w:rFonts w:ascii="Arial" w:cs="Arial" w:eastAsia="Arial" w:hAnsi="Arial"/>
                <w:sz w:val="18"/>
                <w:szCs w:val="18"/>
                <w:color w:val="auto"/>
              </w:rPr>
              <w:t>171</w:t>
            </w:r>
          </w:p>
        </w:tc>
        <w:tc>
          <w:tcPr>
            <w:tcW w:w="740" w:type="dxa"/>
            <w:vAlign w:val="bottom"/>
          </w:tcPr>
          <w:p>
            <w:pPr>
              <w:jc w:val="right"/>
              <w:spacing w:after="0"/>
              <w:rPr>
                <w:sz w:val="20"/>
                <w:szCs w:val="20"/>
                <w:color w:val="auto"/>
              </w:rPr>
            </w:pPr>
            <w:r>
              <w:rPr>
                <w:rFonts w:ascii="Arial" w:cs="Arial" w:eastAsia="Arial" w:hAnsi="Arial"/>
                <w:sz w:val="18"/>
                <w:szCs w:val="18"/>
                <w:color w:val="auto"/>
              </w:rPr>
              <w:t>57</w:t>
            </w:r>
          </w:p>
        </w:tc>
        <w:tc>
          <w:tcPr>
            <w:tcW w:w="1140" w:type="dxa"/>
            <w:vAlign w:val="bottom"/>
          </w:tcPr>
          <w:p>
            <w:pPr>
              <w:jc w:val="right"/>
              <w:ind w:right="134"/>
              <w:spacing w:after="0"/>
              <w:rPr>
                <w:sz w:val="20"/>
                <w:szCs w:val="20"/>
                <w:color w:val="auto"/>
              </w:rPr>
            </w:pPr>
            <w:r>
              <w:rPr>
                <w:rFonts w:ascii="Arial" w:cs="Arial" w:eastAsia="Arial" w:hAnsi="Arial"/>
                <w:sz w:val="18"/>
                <w:szCs w:val="18"/>
                <w:color w:val="auto"/>
              </w:rPr>
              <w:t>20</w:t>
            </w:r>
          </w:p>
        </w:tc>
        <w:tc>
          <w:tcPr>
            <w:tcW w:w="720" w:type="dxa"/>
            <w:vAlign w:val="bottom"/>
          </w:tcPr>
          <w:p>
            <w:pPr>
              <w:jc w:val="right"/>
              <w:spacing w:after="0"/>
              <w:rPr>
                <w:sz w:val="20"/>
                <w:szCs w:val="20"/>
                <w:color w:val="auto"/>
              </w:rPr>
            </w:pPr>
            <w:r>
              <w:rPr>
                <w:rFonts w:ascii="Arial" w:cs="Arial" w:eastAsia="Arial" w:hAnsi="Arial"/>
                <w:sz w:val="18"/>
                <w:szCs w:val="18"/>
                <w:color w:val="auto"/>
              </w:rPr>
              <w:t>552</w:t>
            </w:r>
          </w:p>
        </w:tc>
        <w:tc>
          <w:tcPr>
            <w:tcW w:w="1000" w:type="dxa"/>
            <w:vAlign w:val="bottom"/>
          </w:tcPr>
          <w:p>
            <w:pPr>
              <w:jc w:val="right"/>
              <w:spacing w:after="0"/>
              <w:rPr>
                <w:sz w:val="20"/>
                <w:szCs w:val="20"/>
                <w:color w:val="auto"/>
              </w:rPr>
            </w:pPr>
            <w:r>
              <w:rPr>
                <w:rFonts w:ascii="Arial" w:cs="Arial" w:eastAsia="Arial" w:hAnsi="Arial"/>
                <w:sz w:val="18"/>
                <w:szCs w:val="18"/>
                <w:color w:val="auto"/>
              </w:rPr>
              <w:t>172</w:t>
            </w:r>
          </w:p>
        </w:tc>
      </w:tr>
      <w:tr>
        <w:trPr>
          <w:trHeight w:val="230"/>
        </w:trPr>
        <w:tc>
          <w:tcPr>
            <w:tcW w:w="3900" w:type="dxa"/>
            <w:vAlign w:val="bottom"/>
          </w:tcPr>
          <w:p>
            <w:pPr>
              <w:ind w:left="560"/>
              <w:spacing w:after="0"/>
              <w:rPr>
                <w:sz w:val="20"/>
                <w:szCs w:val="20"/>
                <w:color w:val="auto"/>
              </w:rPr>
            </w:pPr>
            <w:r>
              <w:rPr>
                <w:rFonts w:ascii="Arial" w:cs="Arial" w:eastAsia="Arial" w:hAnsi="Arial"/>
                <w:sz w:val="18"/>
                <w:szCs w:val="18"/>
                <w:color w:val="auto"/>
              </w:rPr>
              <w:t>Asia</w:t>
            </w:r>
          </w:p>
        </w:tc>
        <w:tc>
          <w:tcPr>
            <w:tcW w:w="1080" w:type="dxa"/>
            <w:vAlign w:val="bottom"/>
            <w:tcBorders>
              <w:bottom w:val="single" w:sz="8" w:color="auto"/>
            </w:tcBorders>
          </w:tcPr>
          <w:p>
            <w:pPr>
              <w:jc w:val="right"/>
              <w:ind w:right="253"/>
              <w:spacing w:after="0"/>
              <w:rPr>
                <w:sz w:val="20"/>
                <w:szCs w:val="20"/>
                <w:color w:val="auto"/>
              </w:rPr>
            </w:pPr>
            <w:r>
              <w:rPr>
                <w:rFonts w:ascii="Arial" w:cs="Arial" w:eastAsia="Arial" w:hAnsi="Arial"/>
                <w:sz w:val="18"/>
                <w:szCs w:val="18"/>
                <w:color w:val="auto"/>
              </w:rPr>
              <w:t>225</w:t>
            </w:r>
          </w:p>
        </w:tc>
        <w:tc>
          <w:tcPr>
            <w:tcW w:w="80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56</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112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35</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114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54</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r>
      <w:tr>
        <w:trPr>
          <w:trHeight w:val="223"/>
        </w:trPr>
        <w:tc>
          <w:tcPr>
            <w:tcW w:w="3900" w:type="dxa"/>
            <w:vAlign w:val="bottom"/>
          </w:tcPr>
          <w:p>
            <w:pPr>
              <w:ind w:left="800"/>
              <w:spacing w:after="0"/>
              <w:rPr>
                <w:sz w:val="20"/>
                <w:szCs w:val="20"/>
                <w:color w:val="auto"/>
              </w:rPr>
            </w:pPr>
            <w:r>
              <w:rPr>
                <w:rFonts w:ascii="Arial" w:cs="Arial" w:eastAsia="Arial" w:hAnsi="Arial"/>
                <w:sz w:val="18"/>
                <w:szCs w:val="18"/>
                <w:color w:val="auto"/>
              </w:rPr>
              <w:t>Total Equity Companies</w:t>
            </w:r>
          </w:p>
        </w:tc>
        <w:tc>
          <w:tcPr>
            <w:tcW w:w="1080" w:type="dxa"/>
            <w:vAlign w:val="bottom"/>
            <w:tcBorders>
              <w:bottom w:val="single" w:sz="8" w:color="auto"/>
            </w:tcBorders>
          </w:tcPr>
          <w:p>
            <w:pPr>
              <w:jc w:val="right"/>
              <w:ind w:right="253"/>
              <w:spacing w:after="0"/>
              <w:rPr>
                <w:sz w:val="20"/>
                <w:szCs w:val="20"/>
                <w:color w:val="auto"/>
              </w:rPr>
            </w:pPr>
            <w:r>
              <w:rPr>
                <w:rFonts w:ascii="Arial" w:cs="Arial" w:eastAsia="Arial" w:hAnsi="Arial"/>
                <w:sz w:val="18"/>
                <w:szCs w:val="18"/>
                <w:color w:val="auto"/>
              </w:rPr>
              <w:t>12,390</w:t>
            </w:r>
          </w:p>
        </w:tc>
        <w:tc>
          <w:tcPr>
            <w:tcW w:w="80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4,869</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4,070</w:t>
            </w:r>
          </w:p>
        </w:tc>
        <w:tc>
          <w:tcPr>
            <w:tcW w:w="112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539</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12,642</w:t>
            </w:r>
          </w:p>
        </w:tc>
        <w:tc>
          <w:tcPr>
            <w:tcW w:w="114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4,925</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4,932</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w:t>
            </w:r>
          </w:p>
        </w:tc>
      </w:tr>
      <w:tr>
        <w:trPr>
          <w:trHeight w:val="223"/>
        </w:trPr>
        <w:tc>
          <w:tcPr>
            <w:tcW w:w="3900" w:type="dxa"/>
            <w:vAlign w:val="bottom"/>
          </w:tcPr>
          <w:p>
            <w:pPr>
              <w:ind w:left="20"/>
              <w:spacing w:after="0"/>
              <w:rPr>
                <w:sz w:val="20"/>
                <w:szCs w:val="20"/>
                <w:color w:val="auto"/>
              </w:rPr>
            </w:pPr>
            <w:r>
              <w:rPr>
                <w:rFonts w:ascii="Arial" w:cs="Arial" w:eastAsia="Arial" w:hAnsi="Arial"/>
                <w:sz w:val="18"/>
                <w:szCs w:val="18"/>
                <w:b w:val="1"/>
                <w:bCs w:val="1"/>
                <w:color w:val="auto"/>
              </w:rPr>
              <w:t>Total gross and net productive wells</w:t>
            </w:r>
          </w:p>
        </w:tc>
        <w:tc>
          <w:tcPr>
            <w:tcW w:w="1080" w:type="dxa"/>
            <w:vAlign w:val="bottom"/>
            <w:tcBorders>
              <w:bottom w:val="single" w:sz="8" w:color="auto"/>
            </w:tcBorders>
          </w:tcPr>
          <w:p>
            <w:pPr>
              <w:jc w:val="right"/>
              <w:ind w:right="253"/>
              <w:spacing w:after="0"/>
              <w:rPr>
                <w:sz w:val="20"/>
                <w:szCs w:val="20"/>
                <w:color w:val="auto"/>
              </w:rPr>
            </w:pPr>
            <w:r>
              <w:rPr>
                <w:rFonts w:ascii="Arial" w:cs="Arial" w:eastAsia="Arial" w:hAnsi="Arial"/>
                <w:sz w:val="18"/>
                <w:szCs w:val="18"/>
                <w:color w:val="auto"/>
              </w:rPr>
              <w:t>39,548</w:t>
            </w:r>
          </w:p>
        </w:tc>
        <w:tc>
          <w:tcPr>
            <w:tcW w:w="80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17,947</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26,645</w:t>
            </w:r>
          </w:p>
        </w:tc>
        <w:tc>
          <w:tcPr>
            <w:tcW w:w="112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12,896</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40,241</w:t>
            </w:r>
          </w:p>
        </w:tc>
        <w:tc>
          <w:tcPr>
            <w:tcW w:w="114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18,417</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29,423</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14,438</w:t>
            </w:r>
          </w:p>
        </w:tc>
      </w:tr>
    </w:tbl>
    <w:p>
      <w:pPr>
        <w:spacing w:after="0" w:line="200" w:lineRule="exact"/>
        <w:rPr>
          <w:sz w:val="20"/>
          <w:szCs w:val="20"/>
          <w:color w:val="auto"/>
        </w:rPr>
      </w:pPr>
    </w:p>
    <w:p>
      <w:pPr>
        <w:spacing w:after="0" w:line="32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23,645 gross and 20,528 net operated wells at year-end 2021 and 25,595 gross and 22,239 net operated wells at year-end 2020. The number of wells with multiple completions was 1,082 gross in 2021 and 1,067 gross in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B. Gross and Net Developed Acreage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4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b w:val="1"/>
                <w:bCs w:val="1"/>
                <w:color w:val="auto"/>
              </w:rPr>
              <w:t>Year-End 2021</w:t>
            </w:r>
          </w:p>
        </w:tc>
        <w:tc>
          <w:tcPr>
            <w:tcW w:w="92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4"/>
                <w:szCs w:val="14"/>
                <w:b w:val="1"/>
                <w:bCs w:val="1"/>
                <w:color w:val="auto"/>
              </w:rPr>
              <w:t>Year-End 2020</w:t>
            </w:r>
          </w:p>
        </w:tc>
        <w:tc>
          <w:tcPr>
            <w:tcW w:w="720" w:type="dxa"/>
            <w:vAlign w:val="bottom"/>
          </w:tcPr>
          <w:p>
            <w:pPr>
              <w:spacing w:after="0"/>
              <w:rPr>
                <w:sz w:val="16"/>
                <w:szCs w:val="16"/>
                <w:color w:val="auto"/>
              </w:rPr>
            </w:pPr>
          </w:p>
        </w:tc>
      </w:tr>
      <w:tr>
        <w:trPr>
          <w:trHeight w:val="39"/>
        </w:trPr>
        <w:tc>
          <w:tcPr>
            <w:tcW w:w="6340" w:type="dxa"/>
            <w:vAlign w:val="bottom"/>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r>
      <w:tr>
        <w:trPr>
          <w:trHeight w:val="184"/>
        </w:trPr>
        <w:tc>
          <w:tcPr>
            <w:tcW w:w="6340" w:type="dxa"/>
            <w:vAlign w:val="bottom"/>
          </w:tcPr>
          <w:p>
            <w:pPr>
              <w:spacing w:after="0"/>
              <w:rPr>
                <w:sz w:val="16"/>
                <w:szCs w:val="16"/>
                <w:color w:val="auto"/>
              </w:rPr>
            </w:pPr>
          </w:p>
        </w:tc>
        <w:tc>
          <w:tcPr>
            <w:tcW w:w="1680" w:type="dxa"/>
            <w:vAlign w:val="bottom"/>
          </w:tcPr>
          <w:p>
            <w:pPr>
              <w:jc w:val="right"/>
              <w:ind w:right="853"/>
              <w:spacing w:after="0"/>
              <w:rPr>
                <w:sz w:val="20"/>
                <w:szCs w:val="20"/>
                <w:color w:val="auto"/>
              </w:rPr>
            </w:pPr>
            <w:r>
              <w:rPr>
                <w:rFonts w:ascii="Arial" w:cs="Arial" w:eastAsia="Arial" w:hAnsi="Arial"/>
                <w:sz w:val="14"/>
                <w:szCs w:val="14"/>
                <w:b w:val="1"/>
                <w:bCs w:val="1"/>
                <w:color w:val="auto"/>
              </w:rPr>
              <w:t>Gross</w:t>
            </w:r>
          </w:p>
        </w:tc>
        <w:tc>
          <w:tcPr>
            <w:tcW w:w="920" w:type="dxa"/>
            <w:vAlign w:val="bottom"/>
          </w:tcPr>
          <w:p>
            <w:pPr>
              <w:jc w:val="right"/>
              <w:ind w:right="592"/>
              <w:spacing w:after="0"/>
              <w:rPr>
                <w:sz w:val="20"/>
                <w:szCs w:val="20"/>
                <w:color w:val="auto"/>
              </w:rPr>
            </w:pPr>
            <w:r>
              <w:rPr>
                <w:rFonts w:ascii="Arial" w:cs="Arial" w:eastAsia="Arial" w:hAnsi="Arial"/>
                <w:sz w:val="14"/>
                <w:szCs w:val="14"/>
                <w:b w:val="1"/>
                <w:bCs w:val="1"/>
                <w:color w:val="auto"/>
                <w:w w:val="97"/>
              </w:rPr>
              <w:t>Net</w:t>
            </w:r>
          </w:p>
        </w:tc>
        <w:tc>
          <w:tcPr>
            <w:tcW w:w="1580" w:type="dxa"/>
            <w:vAlign w:val="bottom"/>
          </w:tcPr>
          <w:p>
            <w:pPr>
              <w:jc w:val="right"/>
              <w:ind w:right="853"/>
              <w:spacing w:after="0"/>
              <w:rPr>
                <w:sz w:val="20"/>
                <w:szCs w:val="20"/>
                <w:color w:val="auto"/>
              </w:rPr>
            </w:pPr>
            <w:r>
              <w:rPr>
                <w:rFonts w:ascii="Arial" w:cs="Arial" w:eastAsia="Arial" w:hAnsi="Arial"/>
                <w:sz w:val="14"/>
                <w:szCs w:val="14"/>
                <w:b w:val="1"/>
                <w:bCs w:val="1"/>
                <w:color w:val="auto"/>
              </w:rPr>
              <w:t>Gross</w:t>
            </w:r>
          </w:p>
        </w:tc>
        <w:tc>
          <w:tcPr>
            <w:tcW w:w="720" w:type="dxa"/>
            <w:vAlign w:val="bottom"/>
          </w:tcPr>
          <w:p>
            <w:pPr>
              <w:jc w:val="right"/>
              <w:ind w:right="371"/>
              <w:spacing w:after="0"/>
              <w:rPr>
                <w:sz w:val="20"/>
                <w:szCs w:val="20"/>
                <w:color w:val="auto"/>
              </w:rPr>
            </w:pPr>
            <w:r>
              <w:rPr>
                <w:rFonts w:ascii="Arial" w:cs="Arial" w:eastAsia="Arial" w:hAnsi="Arial"/>
                <w:sz w:val="14"/>
                <w:szCs w:val="14"/>
                <w:b w:val="1"/>
                <w:bCs w:val="1"/>
                <w:color w:val="auto"/>
              </w:rPr>
              <w:t>Net</w:t>
            </w:r>
          </w:p>
        </w:tc>
      </w:tr>
      <w:tr>
        <w:trPr>
          <w:trHeight w:val="26"/>
        </w:trPr>
        <w:tc>
          <w:tcPr>
            <w:tcW w:w="63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gridSpan w:val="2"/>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04"/>
        </w:trPr>
        <w:tc>
          <w:tcPr>
            <w:tcW w:w="63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500" w:type="dxa"/>
            <w:vAlign w:val="bottom"/>
            <w:gridSpan w:val="2"/>
          </w:tcPr>
          <w:p>
            <w:pPr>
              <w:jc w:val="right"/>
              <w:ind w:right="993"/>
              <w:spacing w:after="0"/>
              <w:rPr>
                <w:sz w:val="20"/>
                <w:szCs w:val="20"/>
                <w:color w:val="auto"/>
              </w:rPr>
            </w:pPr>
            <w:r>
              <w:rPr>
                <w:rFonts w:ascii="Arial" w:cs="Arial" w:eastAsia="Arial" w:hAnsi="Arial"/>
                <w:sz w:val="16"/>
                <w:szCs w:val="16"/>
                <w:i w:val="1"/>
                <w:iCs w:val="1"/>
                <w:color w:val="auto"/>
                <w:w w:val="95"/>
              </w:rPr>
              <w:t>(thousands of acres)</w:t>
            </w:r>
          </w:p>
        </w:tc>
        <w:tc>
          <w:tcPr>
            <w:tcW w:w="720" w:type="dxa"/>
            <w:vAlign w:val="bottom"/>
          </w:tcPr>
          <w:p>
            <w:pPr>
              <w:spacing w:after="0"/>
              <w:rPr>
                <w:sz w:val="17"/>
                <w:szCs w:val="17"/>
                <w:color w:val="auto"/>
              </w:rPr>
            </w:pPr>
          </w:p>
        </w:tc>
      </w:tr>
      <w:tr>
        <w:trPr>
          <w:trHeight w:val="244"/>
        </w:trPr>
        <w:tc>
          <w:tcPr>
            <w:tcW w:w="6340" w:type="dxa"/>
            <w:vAlign w:val="bottom"/>
          </w:tcPr>
          <w:p>
            <w:pPr>
              <w:ind w:left="20"/>
              <w:spacing w:after="0"/>
              <w:rPr>
                <w:sz w:val="20"/>
                <w:szCs w:val="20"/>
                <w:color w:val="auto"/>
              </w:rPr>
            </w:pPr>
            <w:r>
              <w:rPr>
                <w:rFonts w:ascii="Arial" w:cs="Arial" w:eastAsia="Arial" w:hAnsi="Arial"/>
                <w:sz w:val="18"/>
                <w:szCs w:val="18"/>
                <w:b w:val="1"/>
                <w:bCs w:val="1"/>
                <w:color w:val="auto"/>
              </w:rPr>
              <w:t>Gross and Net Developed Acreage</w:t>
            </w:r>
          </w:p>
        </w:tc>
        <w:tc>
          <w:tcPr>
            <w:tcW w:w="16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34"/>
        </w:trPr>
        <w:tc>
          <w:tcPr>
            <w:tcW w:w="6340" w:type="dxa"/>
            <w:vAlign w:val="bottom"/>
          </w:tcPr>
          <w:p>
            <w:pPr>
              <w:ind w:left="220"/>
              <w:spacing w:after="0"/>
              <w:rPr>
                <w:sz w:val="20"/>
                <w:szCs w:val="20"/>
                <w:color w:val="auto"/>
              </w:rPr>
            </w:pPr>
            <w:r>
              <w:rPr>
                <w:rFonts w:ascii="Arial" w:cs="Arial" w:eastAsia="Arial" w:hAnsi="Arial"/>
                <w:sz w:val="18"/>
                <w:szCs w:val="18"/>
                <w:b w:val="1"/>
                <w:bCs w:val="1"/>
                <w:color w:val="auto"/>
              </w:rPr>
              <w:t>Consolidated Subsidiaries</w:t>
            </w:r>
          </w:p>
        </w:tc>
        <w:tc>
          <w:tcPr>
            <w:tcW w:w="16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29"/>
        </w:trPr>
        <w:tc>
          <w:tcPr>
            <w:tcW w:w="6340" w:type="dxa"/>
            <w:vAlign w:val="bottom"/>
          </w:tcPr>
          <w:p>
            <w:pPr>
              <w:ind w:left="680"/>
              <w:spacing w:after="0"/>
              <w:rPr>
                <w:sz w:val="20"/>
                <w:szCs w:val="20"/>
                <w:color w:val="auto"/>
              </w:rPr>
            </w:pPr>
            <w:r>
              <w:rPr>
                <w:rFonts w:ascii="Arial" w:cs="Arial" w:eastAsia="Arial" w:hAnsi="Arial"/>
                <w:sz w:val="18"/>
                <w:szCs w:val="18"/>
                <w:color w:val="auto"/>
              </w:rPr>
              <w:t>United States</w:t>
            </w:r>
          </w:p>
        </w:tc>
        <w:tc>
          <w:tcPr>
            <w:tcW w:w="1680" w:type="dxa"/>
            <w:vAlign w:val="bottom"/>
          </w:tcPr>
          <w:p>
            <w:pPr>
              <w:jc w:val="right"/>
              <w:ind w:right="533"/>
              <w:spacing w:after="0"/>
              <w:rPr>
                <w:sz w:val="20"/>
                <w:szCs w:val="20"/>
                <w:color w:val="auto"/>
              </w:rPr>
            </w:pPr>
            <w:r>
              <w:rPr>
                <w:rFonts w:ascii="Arial" w:cs="Arial" w:eastAsia="Arial" w:hAnsi="Arial"/>
                <w:sz w:val="18"/>
                <w:szCs w:val="18"/>
                <w:color w:val="auto"/>
              </w:rPr>
              <w:t>12,180</w:t>
            </w:r>
          </w:p>
        </w:tc>
        <w:tc>
          <w:tcPr>
            <w:tcW w:w="920" w:type="dxa"/>
            <w:vAlign w:val="bottom"/>
          </w:tcPr>
          <w:p>
            <w:pPr>
              <w:jc w:val="right"/>
              <w:ind w:right="192"/>
              <w:spacing w:after="0"/>
              <w:rPr>
                <w:sz w:val="20"/>
                <w:szCs w:val="20"/>
                <w:color w:val="auto"/>
              </w:rPr>
            </w:pPr>
            <w:r>
              <w:rPr>
                <w:rFonts w:ascii="Arial" w:cs="Arial" w:eastAsia="Arial" w:hAnsi="Arial"/>
                <w:sz w:val="18"/>
                <w:szCs w:val="18"/>
                <w:color w:val="auto"/>
              </w:rPr>
              <w:t>7,503</w:t>
            </w:r>
          </w:p>
        </w:tc>
        <w:tc>
          <w:tcPr>
            <w:tcW w:w="1580" w:type="dxa"/>
            <w:vAlign w:val="bottom"/>
          </w:tcPr>
          <w:p>
            <w:pPr>
              <w:jc w:val="right"/>
              <w:ind w:right="513"/>
              <w:spacing w:after="0"/>
              <w:rPr>
                <w:sz w:val="20"/>
                <w:szCs w:val="20"/>
                <w:color w:val="auto"/>
              </w:rPr>
            </w:pPr>
            <w:r>
              <w:rPr>
                <w:rFonts w:ascii="Arial" w:cs="Arial" w:eastAsia="Arial" w:hAnsi="Arial"/>
                <w:sz w:val="18"/>
                <w:szCs w:val="18"/>
                <w:color w:val="auto"/>
              </w:rPr>
              <w:t>12,834</w:t>
            </w:r>
          </w:p>
        </w:tc>
        <w:tc>
          <w:tcPr>
            <w:tcW w:w="720" w:type="dxa"/>
            <w:vAlign w:val="bottom"/>
          </w:tcPr>
          <w:p>
            <w:pPr>
              <w:jc w:val="right"/>
              <w:spacing w:after="0"/>
              <w:rPr>
                <w:sz w:val="20"/>
                <w:szCs w:val="20"/>
                <w:color w:val="auto"/>
              </w:rPr>
            </w:pPr>
            <w:r>
              <w:rPr>
                <w:rFonts w:ascii="Arial" w:cs="Arial" w:eastAsia="Arial" w:hAnsi="Arial"/>
                <w:sz w:val="18"/>
                <w:szCs w:val="18"/>
                <w:color w:val="auto"/>
              </w:rPr>
              <w:t>7,971</w:t>
            </w:r>
          </w:p>
        </w:tc>
      </w:tr>
      <w:tr>
        <w:trPr>
          <w:trHeight w:val="230"/>
        </w:trPr>
        <w:tc>
          <w:tcPr>
            <w:tcW w:w="6340" w:type="dxa"/>
            <w:vAlign w:val="bottom"/>
          </w:tcPr>
          <w:p>
            <w:pPr>
              <w:ind w:left="680"/>
              <w:spacing w:after="0"/>
              <w:rPr>
                <w:sz w:val="20"/>
                <w:szCs w:val="20"/>
                <w:color w:val="auto"/>
              </w:rPr>
            </w:pPr>
            <w:r>
              <w:rPr>
                <w:rFonts w:ascii="Arial" w:cs="Arial" w:eastAsia="Arial" w:hAnsi="Arial"/>
                <w:sz w:val="18"/>
                <w:szCs w:val="18"/>
                <w:color w:val="auto"/>
              </w:rPr>
              <w:t xml:space="preserve">Canada/Other Americas </w:t>
            </w:r>
            <w:r>
              <w:rPr>
                <w:rFonts w:ascii="Arial" w:cs="Arial" w:eastAsia="Arial" w:hAnsi="Arial"/>
                <w:sz w:val="18"/>
                <w:szCs w:val="18"/>
                <w:i w:val="1"/>
                <w:iCs w:val="1"/>
                <w:color w:val="auto"/>
              </w:rPr>
              <w:t>(1)</w:t>
            </w:r>
          </w:p>
        </w:tc>
        <w:tc>
          <w:tcPr>
            <w:tcW w:w="1680" w:type="dxa"/>
            <w:vAlign w:val="bottom"/>
          </w:tcPr>
          <w:p>
            <w:pPr>
              <w:jc w:val="right"/>
              <w:ind w:right="533"/>
              <w:spacing w:after="0"/>
              <w:rPr>
                <w:sz w:val="20"/>
                <w:szCs w:val="20"/>
                <w:color w:val="auto"/>
              </w:rPr>
            </w:pPr>
            <w:r>
              <w:rPr>
                <w:rFonts w:ascii="Arial" w:cs="Arial" w:eastAsia="Arial" w:hAnsi="Arial"/>
                <w:sz w:val="18"/>
                <w:szCs w:val="18"/>
                <w:color w:val="auto"/>
              </w:rPr>
              <w:t>2,905</w:t>
            </w:r>
          </w:p>
        </w:tc>
        <w:tc>
          <w:tcPr>
            <w:tcW w:w="920" w:type="dxa"/>
            <w:vAlign w:val="bottom"/>
          </w:tcPr>
          <w:p>
            <w:pPr>
              <w:jc w:val="right"/>
              <w:ind w:right="192"/>
              <w:spacing w:after="0"/>
              <w:rPr>
                <w:sz w:val="20"/>
                <w:szCs w:val="20"/>
                <w:color w:val="auto"/>
              </w:rPr>
            </w:pPr>
            <w:r>
              <w:rPr>
                <w:rFonts w:ascii="Arial" w:cs="Arial" w:eastAsia="Arial" w:hAnsi="Arial"/>
                <w:sz w:val="18"/>
                <w:szCs w:val="18"/>
                <w:color w:val="auto"/>
              </w:rPr>
              <w:t>2,075</w:t>
            </w:r>
          </w:p>
        </w:tc>
        <w:tc>
          <w:tcPr>
            <w:tcW w:w="1580" w:type="dxa"/>
            <w:vAlign w:val="bottom"/>
          </w:tcPr>
          <w:p>
            <w:pPr>
              <w:jc w:val="right"/>
              <w:ind w:right="513"/>
              <w:spacing w:after="0"/>
              <w:rPr>
                <w:sz w:val="20"/>
                <w:szCs w:val="20"/>
                <w:color w:val="auto"/>
              </w:rPr>
            </w:pPr>
            <w:r>
              <w:rPr>
                <w:rFonts w:ascii="Arial" w:cs="Arial" w:eastAsia="Arial" w:hAnsi="Arial"/>
                <w:sz w:val="18"/>
                <w:szCs w:val="18"/>
                <w:color w:val="auto"/>
              </w:rPr>
              <w:t>2,944</w:t>
            </w:r>
          </w:p>
        </w:tc>
        <w:tc>
          <w:tcPr>
            <w:tcW w:w="720" w:type="dxa"/>
            <w:vAlign w:val="bottom"/>
          </w:tcPr>
          <w:p>
            <w:pPr>
              <w:jc w:val="right"/>
              <w:spacing w:after="0"/>
              <w:rPr>
                <w:sz w:val="20"/>
                <w:szCs w:val="20"/>
                <w:color w:val="auto"/>
              </w:rPr>
            </w:pPr>
            <w:r>
              <w:rPr>
                <w:rFonts w:ascii="Arial" w:cs="Arial" w:eastAsia="Arial" w:hAnsi="Arial"/>
                <w:sz w:val="18"/>
                <w:szCs w:val="18"/>
                <w:color w:val="auto"/>
              </w:rPr>
              <w:t>2,071</w:t>
            </w:r>
          </w:p>
        </w:tc>
      </w:tr>
      <w:tr>
        <w:trPr>
          <w:trHeight w:val="229"/>
        </w:trPr>
        <w:tc>
          <w:tcPr>
            <w:tcW w:w="6340" w:type="dxa"/>
            <w:vAlign w:val="bottom"/>
          </w:tcPr>
          <w:p>
            <w:pPr>
              <w:ind w:left="680"/>
              <w:spacing w:after="0"/>
              <w:rPr>
                <w:sz w:val="20"/>
                <w:szCs w:val="20"/>
                <w:color w:val="auto"/>
              </w:rPr>
            </w:pPr>
            <w:r>
              <w:rPr>
                <w:rFonts w:ascii="Arial" w:cs="Arial" w:eastAsia="Arial" w:hAnsi="Arial"/>
                <w:sz w:val="18"/>
                <w:szCs w:val="18"/>
                <w:color w:val="auto"/>
              </w:rPr>
              <w:t>Europe</w:t>
            </w:r>
          </w:p>
        </w:tc>
        <w:tc>
          <w:tcPr>
            <w:tcW w:w="1680" w:type="dxa"/>
            <w:vAlign w:val="bottom"/>
          </w:tcPr>
          <w:p>
            <w:pPr>
              <w:jc w:val="right"/>
              <w:ind w:right="533"/>
              <w:spacing w:after="0"/>
              <w:rPr>
                <w:sz w:val="20"/>
                <w:szCs w:val="20"/>
                <w:color w:val="auto"/>
              </w:rPr>
            </w:pPr>
            <w:r>
              <w:rPr>
                <w:rFonts w:ascii="Arial" w:cs="Arial" w:eastAsia="Arial" w:hAnsi="Arial"/>
                <w:sz w:val="18"/>
                <w:szCs w:val="18"/>
                <w:color w:val="auto"/>
              </w:rPr>
              <w:t>1,980</w:t>
            </w:r>
          </w:p>
        </w:tc>
        <w:tc>
          <w:tcPr>
            <w:tcW w:w="920" w:type="dxa"/>
            <w:vAlign w:val="bottom"/>
          </w:tcPr>
          <w:p>
            <w:pPr>
              <w:jc w:val="right"/>
              <w:ind w:right="192"/>
              <w:spacing w:after="0"/>
              <w:rPr>
                <w:sz w:val="20"/>
                <w:szCs w:val="20"/>
                <w:color w:val="auto"/>
              </w:rPr>
            </w:pPr>
            <w:r>
              <w:rPr>
                <w:rFonts w:ascii="Arial" w:cs="Arial" w:eastAsia="Arial" w:hAnsi="Arial"/>
                <w:sz w:val="18"/>
                <w:szCs w:val="18"/>
                <w:color w:val="auto"/>
              </w:rPr>
              <w:t>1,078</w:t>
            </w:r>
          </w:p>
        </w:tc>
        <w:tc>
          <w:tcPr>
            <w:tcW w:w="1580" w:type="dxa"/>
            <w:vAlign w:val="bottom"/>
          </w:tcPr>
          <w:p>
            <w:pPr>
              <w:jc w:val="right"/>
              <w:ind w:right="513"/>
              <w:spacing w:after="0"/>
              <w:rPr>
                <w:sz w:val="20"/>
                <w:szCs w:val="20"/>
                <w:color w:val="auto"/>
              </w:rPr>
            </w:pPr>
            <w:r>
              <w:rPr>
                <w:rFonts w:ascii="Arial" w:cs="Arial" w:eastAsia="Arial" w:hAnsi="Arial"/>
                <w:sz w:val="18"/>
                <w:szCs w:val="18"/>
                <w:color w:val="auto"/>
              </w:rPr>
              <w:t>2,231</w:t>
            </w:r>
          </w:p>
        </w:tc>
        <w:tc>
          <w:tcPr>
            <w:tcW w:w="720" w:type="dxa"/>
            <w:vAlign w:val="bottom"/>
          </w:tcPr>
          <w:p>
            <w:pPr>
              <w:jc w:val="right"/>
              <w:spacing w:after="0"/>
              <w:rPr>
                <w:sz w:val="20"/>
                <w:szCs w:val="20"/>
                <w:color w:val="auto"/>
              </w:rPr>
            </w:pPr>
            <w:r>
              <w:rPr>
                <w:rFonts w:ascii="Arial" w:cs="Arial" w:eastAsia="Arial" w:hAnsi="Arial"/>
                <w:sz w:val="18"/>
                <w:szCs w:val="18"/>
                <w:color w:val="auto"/>
              </w:rPr>
              <w:t>1,189</w:t>
            </w:r>
          </w:p>
        </w:tc>
      </w:tr>
      <w:tr>
        <w:trPr>
          <w:trHeight w:val="229"/>
        </w:trPr>
        <w:tc>
          <w:tcPr>
            <w:tcW w:w="6340" w:type="dxa"/>
            <w:vAlign w:val="bottom"/>
          </w:tcPr>
          <w:p>
            <w:pPr>
              <w:ind w:left="680"/>
              <w:spacing w:after="0"/>
              <w:rPr>
                <w:sz w:val="20"/>
                <w:szCs w:val="20"/>
                <w:color w:val="auto"/>
              </w:rPr>
            </w:pPr>
            <w:r>
              <w:rPr>
                <w:rFonts w:ascii="Arial" w:cs="Arial" w:eastAsia="Arial" w:hAnsi="Arial"/>
                <w:sz w:val="18"/>
                <w:szCs w:val="18"/>
                <w:color w:val="auto"/>
              </w:rPr>
              <w:t>Africa</w:t>
            </w:r>
          </w:p>
        </w:tc>
        <w:tc>
          <w:tcPr>
            <w:tcW w:w="1680" w:type="dxa"/>
            <w:vAlign w:val="bottom"/>
          </w:tcPr>
          <w:p>
            <w:pPr>
              <w:jc w:val="right"/>
              <w:ind w:right="533"/>
              <w:spacing w:after="0"/>
              <w:rPr>
                <w:sz w:val="20"/>
                <w:szCs w:val="20"/>
                <w:color w:val="auto"/>
              </w:rPr>
            </w:pPr>
            <w:r>
              <w:rPr>
                <w:rFonts w:ascii="Arial" w:cs="Arial" w:eastAsia="Arial" w:hAnsi="Arial"/>
                <w:sz w:val="18"/>
                <w:szCs w:val="18"/>
                <w:color w:val="auto"/>
              </w:rPr>
              <w:t>2,409</w:t>
            </w:r>
          </w:p>
        </w:tc>
        <w:tc>
          <w:tcPr>
            <w:tcW w:w="920" w:type="dxa"/>
            <w:vAlign w:val="bottom"/>
          </w:tcPr>
          <w:p>
            <w:pPr>
              <w:jc w:val="right"/>
              <w:ind w:right="192"/>
              <w:spacing w:after="0"/>
              <w:rPr>
                <w:sz w:val="20"/>
                <w:szCs w:val="20"/>
                <w:color w:val="auto"/>
              </w:rPr>
            </w:pPr>
            <w:r>
              <w:rPr>
                <w:rFonts w:ascii="Arial" w:cs="Arial" w:eastAsia="Arial" w:hAnsi="Arial"/>
                <w:sz w:val="18"/>
                <w:szCs w:val="18"/>
                <w:color w:val="auto"/>
              </w:rPr>
              <w:t>818</w:t>
            </w:r>
          </w:p>
        </w:tc>
        <w:tc>
          <w:tcPr>
            <w:tcW w:w="1580" w:type="dxa"/>
            <w:vAlign w:val="bottom"/>
          </w:tcPr>
          <w:p>
            <w:pPr>
              <w:jc w:val="right"/>
              <w:ind w:right="513"/>
              <w:spacing w:after="0"/>
              <w:rPr>
                <w:sz w:val="20"/>
                <w:szCs w:val="20"/>
                <w:color w:val="auto"/>
              </w:rPr>
            </w:pPr>
            <w:r>
              <w:rPr>
                <w:rFonts w:ascii="Arial" w:cs="Arial" w:eastAsia="Arial" w:hAnsi="Arial"/>
                <w:sz w:val="18"/>
                <w:szCs w:val="18"/>
                <w:color w:val="auto"/>
              </w:rPr>
              <w:t>2,409</w:t>
            </w:r>
          </w:p>
        </w:tc>
        <w:tc>
          <w:tcPr>
            <w:tcW w:w="720" w:type="dxa"/>
            <w:vAlign w:val="bottom"/>
          </w:tcPr>
          <w:p>
            <w:pPr>
              <w:jc w:val="right"/>
              <w:spacing w:after="0"/>
              <w:rPr>
                <w:sz w:val="20"/>
                <w:szCs w:val="20"/>
                <w:color w:val="auto"/>
              </w:rPr>
            </w:pPr>
            <w:r>
              <w:rPr>
                <w:rFonts w:ascii="Arial" w:cs="Arial" w:eastAsia="Arial" w:hAnsi="Arial"/>
                <w:sz w:val="18"/>
                <w:szCs w:val="18"/>
                <w:color w:val="auto"/>
              </w:rPr>
              <w:t>818</w:t>
            </w:r>
          </w:p>
        </w:tc>
      </w:tr>
      <w:tr>
        <w:trPr>
          <w:trHeight w:val="230"/>
        </w:trPr>
        <w:tc>
          <w:tcPr>
            <w:tcW w:w="6340" w:type="dxa"/>
            <w:vAlign w:val="bottom"/>
          </w:tcPr>
          <w:p>
            <w:pPr>
              <w:ind w:left="680"/>
              <w:spacing w:after="0"/>
              <w:rPr>
                <w:sz w:val="20"/>
                <w:szCs w:val="20"/>
                <w:color w:val="auto"/>
              </w:rPr>
            </w:pPr>
            <w:r>
              <w:rPr>
                <w:rFonts w:ascii="Arial" w:cs="Arial" w:eastAsia="Arial" w:hAnsi="Arial"/>
                <w:sz w:val="18"/>
                <w:szCs w:val="18"/>
                <w:color w:val="auto"/>
              </w:rPr>
              <w:t>Asia</w:t>
            </w:r>
          </w:p>
        </w:tc>
        <w:tc>
          <w:tcPr>
            <w:tcW w:w="1680" w:type="dxa"/>
            <w:vAlign w:val="bottom"/>
          </w:tcPr>
          <w:p>
            <w:pPr>
              <w:jc w:val="right"/>
              <w:ind w:right="533"/>
              <w:spacing w:after="0"/>
              <w:rPr>
                <w:sz w:val="20"/>
                <w:szCs w:val="20"/>
                <w:color w:val="auto"/>
              </w:rPr>
            </w:pPr>
            <w:r>
              <w:rPr>
                <w:rFonts w:ascii="Arial" w:cs="Arial" w:eastAsia="Arial" w:hAnsi="Arial"/>
                <w:sz w:val="18"/>
                <w:szCs w:val="18"/>
                <w:color w:val="auto"/>
              </w:rPr>
              <w:t>1,929</w:t>
            </w:r>
          </w:p>
        </w:tc>
        <w:tc>
          <w:tcPr>
            <w:tcW w:w="920" w:type="dxa"/>
            <w:vAlign w:val="bottom"/>
          </w:tcPr>
          <w:p>
            <w:pPr>
              <w:jc w:val="right"/>
              <w:ind w:right="192"/>
              <w:spacing w:after="0"/>
              <w:rPr>
                <w:sz w:val="20"/>
                <w:szCs w:val="20"/>
                <w:color w:val="auto"/>
              </w:rPr>
            </w:pPr>
            <w:r>
              <w:rPr>
                <w:rFonts w:ascii="Arial" w:cs="Arial" w:eastAsia="Arial" w:hAnsi="Arial"/>
                <w:sz w:val="18"/>
                <w:szCs w:val="18"/>
                <w:color w:val="auto"/>
              </w:rPr>
              <w:t>557</w:t>
            </w:r>
          </w:p>
        </w:tc>
        <w:tc>
          <w:tcPr>
            <w:tcW w:w="1580" w:type="dxa"/>
            <w:vAlign w:val="bottom"/>
          </w:tcPr>
          <w:p>
            <w:pPr>
              <w:jc w:val="right"/>
              <w:ind w:right="513"/>
              <w:spacing w:after="0"/>
              <w:rPr>
                <w:sz w:val="20"/>
                <w:szCs w:val="20"/>
                <w:color w:val="auto"/>
              </w:rPr>
            </w:pPr>
            <w:r>
              <w:rPr>
                <w:rFonts w:ascii="Arial" w:cs="Arial" w:eastAsia="Arial" w:hAnsi="Arial"/>
                <w:sz w:val="18"/>
                <w:szCs w:val="18"/>
                <w:color w:val="auto"/>
              </w:rPr>
              <w:t>1,938</w:t>
            </w:r>
          </w:p>
        </w:tc>
        <w:tc>
          <w:tcPr>
            <w:tcW w:w="720" w:type="dxa"/>
            <w:vAlign w:val="bottom"/>
          </w:tcPr>
          <w:p>
            <w:pPr>
              <w:jc w:val="right"/>
              <w:spacing w:after="0"/>
              <w:rPr>
                <w:sz w:val="20"/>
                <w:szCs w:val="20"/>
                <w:color w:val="auto"/>
              </w:rPr>
            </w:pPr>
            <w:r>
              <w:rPr>
                <w:rFonts w:ascii="Arial" w:cs="Arial" w:eastAsia="Arial" w:hAnsi="Arial"/>
                <w:sz w:val="18"/>
                <w:szCs w:val="18"/>
                <w:color w:val="auto"/>
              </w:rPr>
              <w:t>561</w:t>
            </w:r>
          </w:p>
        </w:tc>
      </w:tr>
      <w:tr>
        <w:trPr>
          <w:trHeight w:val="230"/>
        </w:trPr>
        <w:tc>
          <w:tcPr>
            <w:tcW w:w="6340" w:type="dxa"/>
            <w:vAlign w:val="bottom"/>
          </w:tcPr>
          <w:p>
            <w:pPr>
              <w:ind w:left="680"/>
              <w:spacing w:after="0"/>
              <w:rPr>
                <w:sz w:val="20"/>
                <w:szCs w:val="20"/>
                <w:color w:val="auto"/>
              </w:rPr>
            </w:pPr>
            <w:r>
              <w:rPr>
                <w:rFonts w:ascii="Arial" w:cs="Arial" w:eastAsia="Arial" w:hAnsi="Arial"/>
                <w:sz w:val="18"/>
                <w:szCs w:val="18"/>
                <w:color w:val="auto"/>
              </w:rPr>
              <w:t>Australia/Oceania</w:t>
            </w:r>
          </w:p>
        </w:tc>
        <w:tc>
          <w:tcPr>
            <w:tcW w:w="1680" w:type="dxa"/>
            <w:vAlign w:val="bottom"/>
            <w:tcBorders>
              <w:bottom w:val="single" w:sz="8" w:color="auto"/>
            </w:tcBorders>
          </w:tcPr>
          <w:p>
            <w:pPr>
              <w:jc w:val="right"/>
              <w:ind w:right="533"/>
              <w:spacing w:after="0"/>
              <w:rPr>
                <w:sz w:val="20"/>
                <w:szCs w:val="20"/>
                <w:color w:val="auto"/>
              </w:rPr>
            </w:pPr>
            <w:r>
              <w:rPr>
                <w:rFonts w:ascii="Arial" w:cs="Arial" w:eastAsia="Arial" w:hAnsi="Arial"/>
                <w:sz w:val="18"/>
                <w:szCs w:val="18"/>
                <w:color w:val="auto"/>
              </w:rPr>
              <w:t>3,242</w:t>
            </w:r>
          </w:p>
        </w:tc>
        <w:tc>
          <w:tcPr>
            <w:tcW w:w="9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1,067</w:t>
            </w:r>
          </w:p>
        </w:tc>
        <w:tc>
          <w:tcPr>
            <w:tcW w:w="1580" w:type="dxa"/>
            <w:vAlign w:val="bottom"/>
            <w:tcBorders>
              <w:bottom w:val="single" w:sz="8" w:color="auto"/>
            </w:tcBorders>
          </w:tcPr>
          <w:p>
            <w:pPr>
              <w:jc w:val="right"/>
              <w:ind w:right="513"/>
              <w:spacing w:after="0"/>
              <w:rPr>
                <w:sz w:val="20"/>
                <w:szCs w:val="20"/>
                <w:color w:val="auto"/>
              </w:rPr>
            </w:pPr>
            <w:r>
              <w:rPr>
                <w:rFonts w:ascii="Arial" w:cs="Arial" w:eastAsia="Arial" w:hAnsi="Arial"/>
                <w:sz w:val="18"/>
                <w:szCs w:val="18"/>
                <w:color w:val="auto"/>
              </w:rPr>
              <w:t>3,262</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1,068</w:t>
            </w:r>
          </w:p>
        </w:tc>
      </w:tr>
      <w:tr>
        <w:trPr>
          <w:trHeight w:val="224"/>
        </w:trPr>
        <w:tc>
          <w:tcPr>
            <w:tcW w:w="6340" w:type="dxa"/>
            <w:vAlign w:val="bottom"/>
          </w:tcPr>
          <w:p>
            <w:pPr>
              <w:ind w:left="1120"/>
              <w:spacing w:after="0"/>
              <w:rPr>
                <w:sz w:val="20"/>
                <w:szCs w:val="20"/>
                <w:color w:val="auto"/>
              </w:rPr>
            </w:pPr>
            <w:r>
              <w:rPr>
                <w:rFonts w:ascii="Arial" w:cs="Arial" w:eastAsia="Arial" w:hAnsi="Arial"/>
                <w:sz w:val="18"/>
                <w:szCs w:val="18"/>
                <w:color w:val="auto"/>
              </w:rPr>
              <w:t>Total Consolidated Subsidiaries</w:t>
            </w:r>
          </w:p>
        </w:tc>
        <w:tc>
          <w:tcPr>
            <w:tcW w:w="1680" w:type="dxa"/>
            <w:vAlign w:val="bottom"/>
          </w:tcPr>
          <w:p>
            <w:pPr>
              <w:jc w:val="right"/>
              <w:ind w:right="533"/>
              <w:spacing w:after="0"/>
              <w:rPr>
                <w:sz w:val="20"/>
                <w:szCs w:val="20"/>
                <w:color w:val="auto"/>
              </w:rPr>
            </w:pPr>
            <w:r>
              <w:rPr>
                <w:rFonts w:ascii="Arial" w:cs="Arial" w:eastAsia="Arial" w:hAnsi="Arial"/>
                <w:sz w:val="18"/>
                <w:szCs w:val="18"/>
                <w:color w:val="auto"/>
              </w:rPr>
              <w:t>24,645</w:t>
            </w:r>
          </w:p>
        </w:tc>
        <w:tc>
          <w:tcPr>
            <w:tcW w:w="920" w:type="dxa"/>
            <w:vAlign w:val="bottom"/>
          </w:tcPr>
          <w:p>
            <w:pPr>
              <w:jc w:val="right"/>
              <w:ind w:right="192"/>
              <w:spacing w:after="0"/>
              <w:rPr>
                <w:sz w:val="20"/>
                <w:szCs w:val="20"/>
                <w:color w:val="auto"/>
              </w:rPr>
            </w:pPr>
            <w:r>
              <w:rPr>
                <w:rFonts w:ascii="Arial" w:cs="Arial" w:eastAsia="Arial" w:hAnsi="Arial"/>
                <w:sz w:val="18"/>
                <w:szCs w:val="18"/>
                <w:color w:val="auto"/>
              </w:rPr>
              <w:t>13,098</w:t>
            </w:r>
          </w:p>
        </w:tc>
        <w:tc>
          <w:tcPr>
            <w:tcW w:w="1580" w:type="dxa"/>
            <w:vAlign w:val="bottom"/>
          </w:tcPr>
          <w:p>
            <w:pPr>
              <w:jc w:val="right"/>
              <w:ind w:right="513"/>
              <w:spacing w:after="0"/>
              <w:rPr>
                <w:sz w:val="20"/>
                <w:szCs w:val="20"/>
                <w:color w:val="auto"/>
              </w:rPr>
            </w:pPr>
            <w:r>
              <w:rPr>
                <w:rFonts w:ascii="Arial" w:cs="Arial" w:eastAsia="Arial" w:hAnsi="Arial"/>
                <w:sz w:val="18"/>
                <w:szCs w:val="18"/>
                <w:color w:val="auto"/>
              </w:rPr>
              <w:t>25,618</w:t>
            </w:r>
          </w:p>
        </w:tc>
        <w:tc>
          <w:tcPr>
            <w:tcW w:w="720" w:type="dxa"/>
            <w:vAlign w:val="bottom"/>
          </w:tcPr>
          <w:p>
            <w:pPr>
              <w:jc w:val="right"/>
              <w:spacing w:after="0"/>
              <w:rPr>
                <w:sz w:val="20"/>
                <w:szCs w:val="20"/>
                <w:color w:val="auto"/>
              </w:rPr>
            </w:pPr>
            <w:r>
              <w:rPr>
                <w:rFonts w:ascii="Arial" w:cs="Arial" w:eastAsia="Arial" w:hAnsi="Arial"/>
                <w:sz w:val="18"/>
                <w:szCs w:val="18"/>
                <w:color w:val="auto"/>
              </w:rPr>
              <w:t>13,678</w:t>
            </w:r>
          </w:p>
        </w:tc>
      </w:tr>
      <w:tr>
        <w:trPr>
          <w:trHeight w:val="484"/>
        </w:trPr>
        <w:tc>
          <w:tcPr>
            <w:tcW w:w="6340" w:type="dxa"/>
            <w:vAlign w:val="bottom"/>
          </w:tcPr>
          <w:p>
            <w:pPr>
              <w:ind w:left="220"/>
              <w:spacing w:after="0"/>
              <w:rPr>
                <w:sz w:val="20"/>
                <w:szCs w:val="20"/>
                <w:color w:val="auto"/>
              </w:rPr>
            </w:pPr>
            <w:r>
              <w:rPr>
                <w:rFonts w:ascii="Arial" w:cs="Arial" w:eastAsia="Arial" w:hAnsi="Arial"/>
                <w:sz w:val="18"/>
                <w:szCs w:val="18"/>
                <w:b w:val="1"/>
                <w:bCs w:val="1"/>
                <w:color w:val="auto"/>
              </w:rPr>
              <w:t>Equity Companies</w:t>
            </w:r>
          </w:p>
        </w:tc>
        <w:tc>
          <w:tcPr>
            <w:tcW w:w="1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29"/>
        </w:trPr>
        <w:tc>
          <w:tcPr>
            <w:tcW w:w="6340" w:type="dxa"/>
            <w:vAlign w:val="bottom"/>
          </w:tcPr>
          <w:p>
            <w:pPr>
              <w:ind w:left="680"/>
              <w:spacing w:after="0"/>
              <w:rPr>
                <w:sz w:val="20"/>
                <w:szCs w:val="20"/>
                <w:color w:val="auto"/>
              </w:rPr>
            </w:pPr>
            <w:r>
              <w:rPr>
                <w:rFonts w:ascii="Arial" w:cs="Arial" w:eastAsia="Arial" w:hAnsi="Arial"/>
                <w:sz w:val="18"/>
                <w:szCs w:val="18"/>
                <w:color w:val="auto"/>
              </w:rPr>
              <w:t>United States</w:t>
            </w:r>
          </w:p>
        </w:tc>
        <w:tc>
          <w:tcPr>
            <w:tcW w:w="1680" w:type="dxa"/>
            <w:vAlign w:val="bottom"/>
          </w:tcPr>
          <w:p>
            <w:pPr>
              <w:jc w:val="right"/>
              <w:ind w:right="533"/>
              <w:spacing w:after="0"/>
              <w:rPr>
                <w:sz w:val="20"/>
                <w:szCs w:val="20"/>
                <w:color w:val="auto"/>
              </w:rPr>
            </w:pPr>
            <w:r>
              <w:rPr>
                <w:rFonts w:ascii="Arial" w:cs="Arial" w:eastAsia="Arial" w:hAnsi="Arial"/>
                <w:sz w:val="18"/>
                <w:szCs w:val="18"/>
                <w:color w:val="auto"/>
              </w:rPr>
              <w:t>687</w:t>
            </w:r>
          </w:p>
        </w:tc>
        <w:tc>
          <w:tcPr>
            <w:tcW w:w="920" w:type="dxa"/>
            <w:vAlign w:val="bottom"/>
          </w:tcPr>
          <w:p>
            <w:pPr>
              <w:jc w:val="right"/>
              <w:ind w:right="192"/>
              <w:spacing w:after="0"/>
              <w:rPr>
                <w:sz w:val="20"/>
                <w:szCs w:val="20"/>
                <w:color w:val="auto"/>
              </w:rPr>
            </w:pPr>
            <w:r>
              <w:rPr>
                <w:rFonts w:ascii="Arial" w:cs="Arial" w:eastAsia="Arial" w:hAnsi="Arial"/>
                <w:sz w:val="18"/>
                <w:szCs w:val="18"/>
                <w:color w:val="auto"/>
              </w:rPr>
              <w:t>163</w:t>
            </w:r>
          </w:p>
        </w:tc>
        <w:tc>
          <w:tcPr>
            <w:tcW w:w="1580" w:type="dxa"/>
            <w:vAlign w:val="bottom"/>
          </w:tcPr>
          <w:p>
            <w:pPr>
              <w:jc w:val="right"/>
              <w:ind w:right="513"/>
              <w:spacing w:after="0"/>
              <w:rPr>
                <w:sz w:val="20"/>
                <w:szCs w:val="20"/>
                <w:color w:val="auto"/>
              </w:rPr>
            </w:pPr>
            <w:r>
              <w:rPr>
                <w:rFonts w:ascii="Arial" w:cs="Arial" w:eastAsia="Arial" w:hAnsi="Arial"/>
                <w:sz w:val="18"/>
                <w:szCs w:val="18"/>
                <w:color w:val="auto"/>
              </w:rPr>
              <w:t>928</w:t>
            </w:r>
          </w:p>
        </w:tc>
        <w:tc>
          <w:tcPr>
            <w:tcW w:w="720" w:type="dxa"/>
            <w:vAlign w:val="bottom"/>
          </w:tcPr>
          <w:p>
            <w:pPr>
              <w:jc w:val="right"/>
              <w:spacing w:after="0"/>
              <w:rPr>
                <w:sz w:val="20"/>
                <w:szCs w:val="20"/>
                <w:color w:val="auto"/>
              </w:rPr>
            </w:pPr>
            <w:r>
              <w:rPr>
                <w:rFonts w:ascii="Arial" w:cs="Arial" w:eastAsia="Arial" w:hAnsi="Arial"/>
                <w:sz w:val="18"/>
                <w:szCs w:val="18"/>
                <w:color w:val="auto"/>
              </w:rPr>
              <w:t>208</w:t>
            </w:r>
          </w:p>
        </w:tc>
      </w:tr>
      <w:tr>
        <w:trPr>
          <w:trHeight w:val="230"/>
        </w:trPr>
        <w:tc>
          <w:tcPr>
            <w:tcW w:w="6340" w:type="dxa"/>
            <w:vAlign w:val="bottom"/>
          </w:tcPr>
          <w:p>
            <w:pPr>
              <w:ind w:left="680"/>
              <w:spacing w:after="0"/>
              <w:rPr>
                <w:sz w:val="20"/>
                <w:szCs w:val="20"/>
                <w:color w:val="auto"/>
              </w:rPr>
            </w:pPr>
            <w:r>
              <w:rPr>
                <w:rFonts w:ascii="Arial" w:cs="Arial" w:eastAsia="Arial" w:hAnsi="Arial"/>
                <w:sz w:val="18"/>
                <w:szCs w:val="18"/>
                <w:color w:val="auto"/>
              </w:rPr>
              <w:t>Europe</w:t>
            </w:r>
          </w:p>
        </w:tc>
        <w:tc>
          <w:tcPr>
            <w:tcW w:w="1680" w:type="dxa"/>
            <w:vAlign w:val="bottom"/>
          </w:tcPr>
          <w:p>
            <w:pPr>
              <w:jc w:val="right"/>
              <w:ind w:right="533"/>
              <w:spacing w:after="0"/>
              <w:rPr>
                <w:sz w:val="20"/>
                <w:szCs w:val="20"/>
                <w:color w:val="auto"/>
              </w:rPr>
            </w:pPr>
            <w:r>
              <w:rPr>
                <w:rFonts w:ascii="Arial" w:cs="Arial" w:eastAsia="Arial" w:hAnsi="Arial"/>
                <w:sz w:val="18"/>
                <w:szCs w:val="18"/>
                <w:color w:val="auto"/>
              </w:rPr>
              <w:t>3,646</w:t>
            </w:r>
          </w:p>
        </w:tc>
        <w:tc>
          <w:tcPr>
            <w:tcW w:w="920" w:type="dxa"/>
            <w:vAlign w:val="bottom"/>
          </w:tcPr>
          <w:p>
            <w:pPr>
              <w:jc w:val="right"/>
              <w:ind w:right="192"/>
              <w:spacing w:after="0"/>
              <w:rPr>
                <w:sz w:val="20"/>
                <w:szCs w:val="20"/>
                <w:color w:val="auto"/>
              </w:rPr>
            </w:pPr>
            <w:r>
              <w:rPr>
                <w:rFonts w:ascii="Arial" w:cs="Arial" w:eastAsia="Arial" w:hAnsi="Arial"/>
                <w:sz w:val="18"/>
                <w:szCs w:val="18"/>
                <w:color w:val="auto"/>
              </w:rPr>
              <w:t>1,116</w:t>
            </w:r>
          </w:p>
        </w:tc>
        <w:tc>
          <w:tcPr>
            <w:tcW w:w="1580" w:type="dxa"/>
            <w:vAlign w:val="bottom"/>
          </w:tcPr>
          <w:p>
            <w:pPr>
              <w:jc w:val="right"/>
              <w:ind w:right="513"/>
              <w:spacing w:after="0"/>
              <w:rPr>
                <w:sz w:val="20"/>
                <w:szCs w:val="20"/>
                <w:color w:val="auto"/>
              </w:rPr>
            </w:pPr>
            <w:r>
              <w:rPr>
                <w:rFonts w:ascii="Arial" w:cs="Arial" w:eastAsia="Arial" w:hAnsi="Arial"/>
                <w:sz w:val="18"/>
                <w:szCs w:val="18"/>
                <w:color w:val="auto"/>
              </w:rPr>
              <w:t>3,667</w:t>
            </w:r>
          </w:p>
        </w:tc>
        <w:tc>
          <w:tcPr>
            <w:tcW w:w="720" w:type="dxa"/>
            <w:vAlign w:val="bottom"/>
          </w:tcPr>
          <w:p>
            <w:pPr>
              <w:jc w:val="right"/>
              <w:spacing w:after="0"/>
              <w:rPr>
                <w:sz w:val="20"/>
                <w:szCs w:val="20"/>
                <w:color w:val="auto"/>
              </w:rPr>
            </w:pPr>
            <w:r>
              <w:rPr>
                <w:rFonts w:ascii="Arial" w:cs="Arial" w:eastAsia="Arial" w:hAnsi="Arial"/>
                <w:sz w:val="18"/>
                <w:szCs w:val="18"/>
                <w:color w:val="auto"/>
              </w:rPr>
              <w:t>1,118</w:t>
            </w:r>
          </w:p>
        </w:tc>
      </w:tr>
      <w:tr>
        <w:trPr>
          <w:trHeight w:val="230"/>
        </w:trPr>
        <w:tc>
          <w:tcPr>
            <w:tcW w:w="6340" w:type="dxa"/>
            <w:vAlign w:val="bottom"/>
          </w:tcPr>
          <w:p>
            <w:pPr>
              <w:ind w:left="680"/>
              <w:spacing w:after="0"/>
              <w:rPr>
                <w:sz w:val="20"/>
                <w:szCs w:val="20"/>
                <w:color w:val="auto"/>
              </w:rPr>
            </w:pPr>
            <w:r>
              <w:rPr>
                <w:rFonts w:ascii="Arial" w:cs="Arial" w:eastAsia="Arial" w:hAnsi="Arial"/>
                <w:sz w:val="18"/>
                <w:szCs w:val="18"/>
                <w:color w:val="auto"/>
              </w:rPr>
              <w:t>Asia</w:t>
            </w:r>
          </w:p>
        </w:tc>
        <w:tc>
          <w:tcPr>
            <w:tcW w:w="1680" w:type="dxa"/>
            <w:vAlign w:val="bottom"/>
            <w:tcBorders>
              <w:bottom w:val="single" w:sz="8" w:color="auto"/>
            </w:tcBorders>
          </w:tcPr>
          <w:p>
            <w:pPr>
              <w:jc w:val="right"/>
              <w:ind w:right="533"/>
              <w:spacing w:after="0"/>
              <w:rPr>
                <w:sz w:val="20"/>
                <w:szCs w:val="20"/>
                <w:color w:val="auto"/>
              </w:rPr>
            </w:pPr>
            <w:r>
              <w:rPr>
                <w:rFonts w:ascii="Arial" w:cs="Arial" w:eastAsia="Arial" w:hAnsi="Arial"/>
                <w:sz w:val="18"/>
                <w:szCs w:val="18"/>
                <w:color w:val="auto"/>
              </w:rPr>
              <w:t>701</w:t>
            </w:r>
          </w:p>
        </w:tc>
        <w:tc>
          <w:tcPr>
            <w:tcW w:w="9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160</w:t>
            </w:r>
          </w:p>
        </w:tc>
        <w:tc>
          <w:tcPr>
            <w:tcW w:w="1580" w:type="dxa"/>
            <w:vAlign w:val="bottom"/>
            <w:tcBorders>
              <w:bottom w:val="single" w:sz="8" w:color="auto"/>
            </w:tcBorders>
          </w:tcPr>
          <w:p>
            <w:pPr>
              <w:jc w:val="right"/>
              <w:ind w:right="513"/>
              <w:spacing w:after="0"/>
              <w:rPr>
                <w:sz w:val="20"/>
                <w:szCs w:val="20"/>
                <w:color w:val="auto"/>
              </w:rPr>
            </w:pPr>
            <w:r>
              <w:rPr>
                <w:rFonts w:ascii="Arial" w:cs="Arial" w:eastAsia="Arial" w:hAnsi="Arial"/>
                <w:sz w:val="18"/>
                <w:szCs w:val="18"/>
                <w:color w:val="auto"/>
              </w:rPr>
              <w:t>701</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r>
      <w:tr>
        <w:trPr>
          <w:trHeight w:val="223"/>
        </w:trPr>
        <w:tc>
          <w:tcPr>
            <w:tcW w:w="6340" w:type="dxa"/>
            <w:vAlign w:val="bottom"/>
          </w:tcPr>
          <w:p>
            <w:pPr>
              <w:ind w:left="1120"/>
              <w:spacing w:after="0"/>
              <w:rPr>
                <w:sz w:val="20"/>
                <w:szCs w:val="20"/>
                <w:color w:val="auto"/>
              </w:rPr>
            </w:pPr>
            <w:r>
              <w:rPr>
                <w:rFonts w:ascii="Arial" w:cs="Arial" w:eastAsia="Arial" w:hAnsi="Arial"/>
                <w:sz w:val="18"/>
                <w:szCs w:val="18"/>
                <w:color w:val="auto"/>
              </w:rPr>
              <w:t>Total Equity Companies</w:t>
            </w:r>
          </w:p>
        </w:tc>
        <w:tc>
          <w:tcPr>
            <w:tcW w:w="1680" w:type="dxa"/>
            <w:vAlign w:val="bottom"/>
            <w:tcBorders>
              <w:bottom w:val="single" w:sz="8" w:color="auto"/>
            </w:tcBorders>
          </w:tcPr>
          <w:p>
            <w:pPr>
              <w:jc w:val="right"/>
              <w:ind w:right="533"/>
              <w:spacing w:after="0"/>
              <w:rPr>
                <w:sz w:val="20"/>
                <w:szCs w:val="20"/>
                <w:color w:val="auto"/>
              </w:rPr>
            </w:pPr>
            <w:r>
              <w:rPr>
                <w:rFonts w:ascii="Arial" w:cs="Arial" w:eastAsia="Arial" w:hAnsi="Arial"/>
                <w:sz w:val="18"/>
                <w:szCs w:val="18"/>
                <w:color w:val="auto"/>
              </w:rPr>
              <w:t>5,034</w:t>
            </w:r>
          </w:p>
        </w:tc>
        <w:tc>
          <w:tcPr>
            <w:tcW w:w="9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1,439</w:t>
            </w:r>
          </w:p>
        </w:tc>
        <w:tc>
          <w:tcPr>
            <w:tcW w:w="1580" w:type="dxa"/>
            <w:vAlign w:val="bottom"/>
            <w:tcBorders>
              <w:bottom w:val="single" w:sz="8" w:color="auto"/>
            </w:tcBorders>
          </w:tcPr>
          <w:p>
            <w:pPr>
              <w:jc w:val="right"/>
              <w:ind w:right="513"/>
              <w:spacing w:after="0"/>
              <w:rPr>
                <w:sz w:val="20"/>
                <w:szCs w:val="20"/>
                <w:color w:val="auto"/>
              </w:rPr>
            </w:pPr>
            <w:r>
              <w:rPr>
                <w:rFonts w:ascii="Arial" w:cs="Arial" w:eastAsia="Arial" w:hAnsi="Arial"/>
                <w:sz w:val="18"/>
                <w:szCs w:val="18"/>
                <w:color w:val="auto"/>
              </w:rPr>
              <w:t>5,296</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1,486</w:t>
            </w:r>
          </w:p>
        </w:tc>
      </w:tr>
      <w:tr>
        <w:trPr>
          <w:trHeight w:val="223"/>
        </w:trPr>
        <w:tc>
          <w:tcPr>
            <w:tcW w:w="6340" w:type="dxa"/>
            <w:vAlign w:val="bottom"/>
          </w:tcPr>
          <w:p>
            <w:pPr>
              <w:ind w:left="20"/>
              <w:spacing w:after="0"/>
              <w:rPr>
                <w:sz w:val="20"/>
                <w:szCs w:val="20"/>
                <w:color w:val="auto"/>
              </w:rPr>
            </w:pPr>
            <w:r>
              <w:rPr>
                <w:rFonts w:ascii="Arial" w:cs="Arial" w:eastAsia="Arial" w:hAnsi="Arial"/>
                <w:sz w:val="18"/>
                <w:szCs w:val="18"/>
                <w:b w:val="1"/>
                <w:bCs w:val="1"/>
                <w:color w:val="auto"/>
              </w:rPr>
              <w:t>Total gross and net developed acreage</w:t>
            </w:r>
          </w:p>
        </w:tc>
        <w:tc>
          <w:tcPr>
            <w:tcW w:w="1680" w:type="dxa"/>
            <w:vAlign w:val="bottom"/>
            <w:tcBorders>
              <w:bottom w:val="single" w:sz="8" w:color="auto"/>
            </w:tcBorders>
          </w:tcPr>
          <w:p>
            <w:pPr>
              <w:jc w:val="right"/>
              <w:ind w:right="533"/>
              <w:spacing w:after="0"/>
              <w:rPr>
                <w:sz w:val="20"/>
                <w:szCs w:val="20"/>
                <w:color w:val="auto"/>
              </w:rPr>
            </w:pPr>
            <w:r>
              <w:rPr>
                <w:rFonts w:ascii="Arial" w:cs="Arial" w:eastAsia="Arial" w:hAnsi="Arial"/>
                <w:sz w:val="18"/>
                <w:szCs w:val="18"/>
                <w:color w:val="auto"/>
              </w:rPr>
              <w:t>29,679</w:t>
            </w:r>
          </w:p>
        </w:tc>
        <w:tc>
          <w:tcPr>
            <w:tcW w:w="9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14,537</w:t>
            </w:r>
          </w:p>
        </w:tc>
        <w:tc>
          <w:tcPr>
            <w:tcW w:w="1580" w:type="dxa"/>
            <w:vAlign w:val="bottom"/>
            <w:tcBorders>
              <w:bottom w:val="single" w:sz="8" w:color="auto"/>
            </w:tcBorders>
          </w:tcPr>
          <w:p>
            <w:pPr>
              <w:jc w:val="right"/>
              <w:ind w:right="513"/>
              <w:spacing w:after="0"/>
              <w:rPr>
                <w:sz w:val="20"/>
                <w:szCs w:val="20"/>
                <w:color w:val="auto"/>
              </w:rPr>
            </w:pPr>
            <w:r>
              <w:rPr>
                <w:rFonts w:ascii="Arial" w:cs="Arial" w:eastAsia="Arial" w:hAnsi="Arial"/>
                <w:sz w:val="18"/>
                <w:szCs w:val="18"/>
                <w:color w:val="auto"/>
              </w:rPr>
              <w:t>30,914</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15,164</w:t>
            </w: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 Includes developed acreage in Other Americas of 490 gross and 311 net thousands of acres for 2021 and 2020.</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Separate acreage data for oil and gas are not maintained because, in many instances, both are produced from the same acreage.</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Gross and Net Undeveloped Acreage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4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b w:val="1"/>
                <w:bCs w:val="1"/>
                <w:color w:val="auto"/>
              </w:rPr>
              <w:t>Year-End 2021</w:t>
            </w:r>
          </w:p>
        </w:tc>
        <w:tc>
          <w:tcPr>
            <w:tcW w:w="92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4"/>
                <w:szCs w:val="14"/>
                <w:b w:val="1"/>
                <w:bCs w:val="1"/>
                <w:color w:val="auto"/>
              </w:rPr>
              <w:t>Year-End 2020</w:t>
            </w:r>
          </w:p>
        </w:tc>
        <w:tc>
          <w:tcPr>
            <w:tcW w:w="720" w:type="dxa"/>
            <w:vAlign w:val="bottom"/>
          </w:tcPr>
          <w:p>
            <w:pPr>
              <w:spacing w:after="0"/>
              <w:rPr>
                <w:sz w:val="16"/>
                <w:szCs w:val="16"/>
                <w:color w:val="auto"/>
              </w:rPr>
            </w:pPr>
          </w:p>
        </w:tc>
      </w:tr>
      <w:tr>
        <w:trPr>
          <w:trHeight w:val="39"/>
        </w:trPr>
        <w:tc>
          <w:tcPr>
            <w:tcW w:w="6340" w:type="dxa"/>
            <w:vAlign w:val="bottom"/>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r>
      <w:tr>
        <w:trPr>
          <w:trHeight w:val="184"/>
        </w:trPr>
        <w:tc>
          <w:tcPr>
            <w:tcW w:w="6340" w:type="dxa"/>
            <w:vAlign w:val="bottom"/>
          </w:tcPr>
          <w:p>
            <w:pPr>
              <w:spacing w:after="0"/>
              <w:rPr>
                <w:sz w:val="16"/>
                <w:szCs w:val="16"/>
                <w:color w:val="auto"/>
              </w:rPr>
            </w:pPr>
          </w:p>
        </w:tc>
        <w:tc>
          <w:tcPr>
            <w:tcW w:w="1680" w:type="dxa"/>
            <w:vAlign w:val="bottom"/>
          </w:tcPr>
          <w:p>
            <w:pPr>
              <w:jc w:val="right"/>
              <w:ind w:right="852"/>
              <w:spacing w:after="0"/>
              <w:rPr>
                <w:sz w:val="20"/>
                <w:szCs w:val="20"/>
                <w:color w:val="auto"/>
              </w:rPr>
            </w:pPr>
            <w:r>
              <w:rPr>
                <w:rFonts w:ascii="Arial" w:cs="Arial" w:eastAsia="Arial" w:hAnsi="Arial"/>
                <w:sz w:val="14"/>
                <w:szCs w:val="14"/>
                <w:b w:val="1"/>
                <w:bCs w:val="1"/>
                <w:color w:val="auto"/>
              </w:rPr>
              <w:t>Gross</w:t>
            </w:r>
          </w:p>
        </w:tc>
        <w:tc>
          <w:tcPr>
            <w:tcW w:w="920" w:type="dxa"/>
            <w:vAlign w:val="bottom"/>
          </w:tcPr>
          <w:p>
            <w:pPr>
              <w:jc w:val="right"/>
              <w:ind w:right="592"/>
              <w:spacing w:after="0"/>
              <w:rPr>
                <w:sz w:val="20"/>
                <w:szCs w:val="20"/>
                <w:color w:val="auto"/>
              </w:rPr>
            </w:pPr>
            <w:r>
              <w:rPr>
                <w:rFonts w:ascii="Arial" w:cs="Arial" w:eastAsia="Arial" w:hAnsi="Arial"/>
                <w:sz w:val="14"/>
                <w:szCs w:val="14"/>
                <w:b w:val="1"/>
                <w:bCs w:val="1"/>
                <w:color w:val="auto"/>
                <w:w w:val="97"/>
              </w:rPr>
              <w:t>Net</w:t>
            </w:r>
          </w:p>
        </w:tc>
        <w:tc>
          <w:tcPr>
            <w:tcW w:w="1580" w:type="dxa"/>
            <w:vAlign w:val="bottom"/>
          </w:tcPr>
          <w:p>
            <w:pPr>
              <w:jc w:val="right"/>
              <w:ind w:right="852"/>
              <w:spacing w:after="0"/>
              <w:rPr>
                <w:sz w:val="20"/>
                <w:szCs w:val="20"/>
                <w:color w:val="auto"/>
              </w:rPr>
            </w:pPr>
            <w:r>
              <w:rPr>
                <w:rFonts w:ascii="Arial" w:cs="Arial" w:eastAsia="Arial" w:hAnsi="Arial"/>
                <w:sz w:val="14"/>
                <w:szCs w:val="14"/>
                <w:b w:val="1"/>
                <w:bCs w:val="1"/>
                <w:color w:val="auto"/>
              </w:rPr>
              <w:t>Gross</w:t>
            </w:r>
          </w:p>
        </w:tc>
        <w:tc>
          <w:tcPr>
            <w:tcW w:w="720" w:type="dxa"/>
            <w:vAlign w:val="bottom"/>
          </w:tcPr>
          <w:p>
            <w:pPr>
              <w:jc w:val="right"/>
              <w:ind w:right="371"/>
              <w:spacing w:after="0"/>
              <w:rPr>
                <w:sz w:val="20"/>
                <w:szCs w:val="20"/>
                <w:color w:val="auto"/>
              </w:rPr>
            </w:pPr>
            <w:r>
              <w:rPr>
                <w:rFonts w:ascii="Arial" w:cs="Arial" w:eastAsia="Arial" w:hAnsi="Arial"/>
                <w:sz w:val="14"/>
                <w:szCs w:val="14"/>
                <w:b w:val="1"/>
                <w:bCs w:val="1"/>
                <w:color w:val="auto"/>
              </w:rPr>
              <w:t>Net</w:t>
            </w:r>
          </w:p>
        </w:tc>
      </w:tr>
      <w:tr>
        <w:trPr>
          <w:trHeight w:val="25"/>
        </w:trPr>
        <w:tc>
          <w:tcPr>
            <w:tcW w:w="63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gridSpan w:val="2"/>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03"/>
        </w:trPr>
        <w:tc>
          <w:tcPr>
            <w:tcW w:w="63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500" w:type="dxa"/>
            <w:vAlign w:val="bottom"/>
            <w:gridSpan w:val="2"/>
          </w:tcPr>
          <w:p>
            <w:pPr>
              <w:jc w:val="right"/>
              <w:ind w:right="992"/>
              <w:spacing w:after="0"/>
              <w:rPr>
                <w:sz w:val="20"/>
                <w:szCs w:val="20"/>
                <w:color w:val="auto"/>
              </w:rPr>
            </w:pPr>
            <w:r>
              <w:rPr>
                <w:rFonts w:ascii="Arial" w:cs="Arial" w:eastAsia="Arial" w:hAnsi="Arial"/>
                <w:sz w:val="16"/>
                <w:szCs w:val="16"/>
                <w:i w:val="1"/>
                <w:iCs w:val="1"/>
                <w:color w:val="auto"/>
                <w:w w:val="95"/>
              </w:rPr>
              <w:t>(thousands of acres)</w:t>
            </w:r>
          </w:p>
        </w:tc>
        <w:tc>
          <w:tcPr>
            <w:tcW w:w="720" w:type="dxa"/>
            <w:vAlign w:val="bottom"/>
          </w:tcPr>
          <w:p>
            <w:pPr>
              <w:spacing w:after="0"/>
              <w:rPr>
                <w:sz w:val="17"/>
                <w:szCs w:val="17"/>
                <w:color w:val="auto"/>
              </w:rPr>
            </w:pPr>
          </w:p>
        </w:tc>
      </w:tr>
      <w:tr>
        <w:trPr>
          <w:trHeight w:val="244"/>
        </w:trPr>
        <w:tc>
          <w:tcPr>
            <w:tcW w:w="6340" w:type="dxa"/>
            <w:vAlign w:val="bottom"/>
          </w:tcPr>
          <w:p>
            <w:pPr>
              <w:ind w:left="20"/>
              <w:spacing w:after="0"/>
              <w:rPr>
                <w:sz w:val="20"/>
                <w:szCs w:val="20"/>
                <w:color w:val="auto"/>
              </w:rPr>
            </w:pPr>
            <w:r>
              <w:rPr>
                <w:rFonts w:ascii="Arial" w:cs="Arial" w:eastAsia="Arial" w:hAnsi="Arial"/>
                <w:sz w:val="18"/>
                <w:szCs w:val="18"/>
                <w:b w:val="1"/>
                <w:bCs w:val="1"/>
                <w:color w:val="auto"/>
              </w:rPr>
              <w:t>Gross and Net Undeveloped Acreage</w:t>
            </w:r>
          </w:p>
        </w:tc>
        <w:tc>
          <w:tcPr>
            <w:tcW w:w="16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34"/>
        </w:trPr>
        <w:tc>
          <w:tcPr>
            <w:tcW w:w="6340" w:type="dxa"/>
            <w:vAlign w:val="bottom"/>
          </w:tcPr>
          <w:p>
            <w:pPr>
              <w:ind w:left="220"/>
              <w:spacing w:after="0"/>
              <w:rPr>
                <w:sz w:val="20"/>
                <w:szCs w:val="20"/>
                <w:color w:val="auto"/>
              </w:rPr>
            </w:pPr>
            <w:r>
              <w:rPr>
                <w:rFonts w:ascii="Arial" w:cs="Arial" w:eastAsia="Arial" w:hAnsi="Arial"/>
                <w:sz w:val="18"/>
                <w:szCs w:val="18"/>
                <w:b w:val="1"/>
                <w:bCs w:val="1"/>
                <w:color w:val="auto"/>
              </w:rPr>
              <w:t>Consolidated Subsidiaries</w:t>
            </w:r>
          </w:p>
        </w:tc>
        <w:tc>
          <w:tcPr>
            <w:tcW w:w="16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30"/>
        </w:trPr>
        <w:tc>
          <w:tcPr>
            <w:tcW w:w="6340" w:type="dxa"/>
            <w:vAlign w:val="bottom"/>
          </w:tcPr>
          <w:p>
            <w:pPr>
              <w:ind w:left="680"/>
              <w:spacing w:after="0"/>
              <w:rPr>
                <w:sz w:val="20"/>
                <w:szCs w:val="20"/>
                <w:color w:val="auto"/>
              </w:rPr>
            </w:pPr>
            <w:r>
              <w:rPr>
                <w:rFonts w:ascii="Arial" w:cs="Arial" w:eastAsia="Arial" w:hAnsi="Arial"/>
                <w:sz w:val="18"/>
                <w:szCs w:val="18"/>
                <w:color w:val="auto"/>
              </w:rPr>
              <w:t>United States</w:t>
            </w:r>
          </w:p>
        </w:tc>
        <w:tc>
          <w:tcPr>
            <w:tcW w:w="1680" w:type="dxa"/>
            <w:vAlign w:val="bottom"/>
          </w:tcPr>
          <w:p>
            <w:pPr>
              <w:jc w:val="right"/>
              <w:ind w:right="532"/>
              <w:spacing w:after="0"/>
              <w:rPr>
                <w:sz w:val="20"/>
                <w:szCs w:val="20"/>
                <w:color w:val="auto"/>
              </w:rPr>
            </w:pPr>
            <w:r>
              <w:rPr>
                <w:rFonts w:ascii="Arial" w:cs="Arial" w:eastAsia="Arial" w:hAnsi="Arial"/>
                <w:sz w:val="18"/>
                <w:szCs w:val="18"/>
                <w:color w:val="auto"/>
              </w:rPr>
              <w:t>6,751</w:t>
            </w:r>
          </w:p>
        </w:tc>
        <w:tc>
          <w:tcPr>
            <w:tcW w:w="920" w:type="dxa"/>
            <w:vAlign w:val="bottom"/>
          </w:tcPr>
          <w:p>
            <w:pPr>
              <w:jc w:val="right"/>
              <w:ind w:right="192"/>
              <w:spacing w:after="0"/>
              <w:rPr>
                <w:sz w:val="20"/>
                <w:szCs w:val="20"/>
                <w:color w:val="auto"/>
              </w:rPr>
            </w:pPr>
            <w:r>
              <w:rPr>
                <w:rFonts w:ascii="Arial" w:cs="Arial" w:eastAsia="Arial" w:hAnsi="Arial"/>
                <w:sz w:val="18"/>
                <w:szCs w:val="18"/>
                <w:color w:val="auto"/>
              </w:rPr>
              <w:t>2,807</w:t>
            </w:r>
          </w:p>
        </w:tc>
        <w:tc>
          <w:tcPr>
            <w:tcW w:w="1580" w:type="dxa"/>
            <w:vAlign w:val="bottom"/>
          </w:tcPr>
          <w:p>
            <w:pPr>
              <w:jc w:val="right"/>
              <w:ind w:right="512"/>
              <w:spacing w:after="0"/>
              <w:rPr>
                <w:sz w:val="20"/>
                <w:szCs w:val="20"/>
                <w:color w:val="auto"/>
              </w:rPr>
            </w:pPr>
            <w:r>
              <w:rPr>
                <w:rFonts w:ascii="Arial" w:cs="Arial" w:eastAsia="Arial" w:hAnsi="Arial"/>
                <w:sz w:val="18"/>
                <w:szCs w:val="18"/>
                <w:color w:val="auto"/>
              </w:rPr>
              <w:t>6,969</w:t>
            </w:r>
          </w:p>
        </w:tc>
        <w:tc>
          <w:tcPr>
            <w:tcW w:w="720" w:type="dxa"/>
            <w:vAlign w:val="bottom"/>
          </w:tcPr>
          <w:p>
            <w:pPr>
              <w:jc w:val="right"/>
              <w:spacing w:after="0"/>
              <w:rPr>
                <w:sz w:val="20"/>
                <w:szCs w:val="20"/>
                <w:color w:val="auto"/>
              </w:rPr>
            </w:pPr>
            <w:r>
              <w:rPr>
                <w:rFonts w:ascii="Arial" w:cs="Arial" w:eastAsia="Arial" w:hAnsi="Arial"/>
                <w:sz w:val="18"/>
                <w:szCs w:val="18"/>
                <w:color w:val="auto"/>
              </w:rPr>
              <w:t>2,967</w:t>
            </w:r>
          </w:p>
        </w:tc>
      </w:tr>
      <w:tr>
        <w:trPr>
          <w:trHeight w:val="229"/>
        </w:trPr>
        <w:tc>
          <w:tcPr>
            <w:tcW w:w="6340" w:type="dxa"/>
            <w:vAlign w:val="bottom"/>
          </w:tcPr>
          <w:p>
            <w:pPr>
              <w:ind w:left="680"/>
              <w:spacing w:after="0"/>
              <w:rPr>
                <w:sz w:val="20"/>
                <w:szCs w:val="20"/>
                <w:color w:val="auto"/>
              </w:rPr>
            </w:pPr>
            <w:r>
              <w:rPr>
                <w:rFonts w:ascii="Arial" w:cs="Arial" w:eastAsia="Arial" w:hAnsi="Arial"/>
                <w:sz w:val="18"/>
                <w:szCs w:val="18"/>
                <w:color w:val="auto"/>
              </w:rPr>
              <w:t xml:space="preserve">Canada/Other Americas </w:t>
            </w:r>
            <w:r>
              <w:rPr>
                <w:rFonts w:ascii="Arial" w:cs="Arial" w:eastAsia="Arial" w:hAnsi="Arial"/>
                <w:sz w:val="18"/>
                <w:szCs w:val="18"/>
                <w:i w:val="1"/>
                <w:iCs w:val="1"/>
                <w:color w:val="auto"/>
              </w:rPr>
              <w:t>(1)</w:t>
            </w:r>
          </w:p>
        </w:tc>
        <w:tc>
          <w:tcPr>
            <w:tcW w:w="1680" w:type="dxa"/>
            <w:vAlign w:val="bottom"/>
          </w:tcPr>
          <w:p>
            <w:pPr>
              <w:jc w:val="right"/>
              <w:ind w:right="532"/>
              <w:spacing w:after="0"/>
              <w:rPr>
                <w:sz w:val="20"/>
                <w:szCs w:val="20"/>
                <w:color w:val="auto"/>
              </w:rPr>
            </w:pPr>
            <w:r>
              <w:rPr>
                <w:rFonts w:ascii="Arial" w:cs="Arial" w:eastAsia="Arial" w:hAnsi="Arial"/>
                <w:sz w:val="18"/>
                <w:szCs w:val="18"/>
                <w:color w:val="auto"/>
              </w:rPr>
              <w:t>36,764</w:t>
            </w:r>
          </w:p>
        </w:tc>
        <w:tc>
          <w:tcPr>
            <w:tcW w:w="920" w:type="dxa"/>
            <w:vAlign w:val="bottom"/>
          </w:tcPr>
          <w:p>
            <w:pPr>
              <w:jc w:val="right"/>
              <w:ind w:right="192"/>
              <w:spacing w:after="0"/>
              <w:rPr>
                <w:sz w:val="20"/>
                <w:szCs w:val="20"/>
                <w:color w:val="auto"/>
              </w:rPr>
            </w:pPr>
            <w:r>
              <w:rPr>
                <w:rFonts w:ascii="Arial" w:cs="Arial" w:eastAsia="Arial" w:hAnsi="Arial"/>
                <w:sz w:val="18"/>
                <w:szCs w:val="18"/>
                <w:color w:val="auto"/>
              </w:rPr>
              <w:t>18,246</w:t>
            </w:r>
          </w:p>
        </w:tc>
        <w:tc>
          <w:tcPr>
            <w:tcW w:w="1580" w:type="dxa"/>
            <w:vAlign w:val="bottom"/>
          </w:tcPr>
          <w:p>
            <w:pPr>
              <w:jc w:val="right"/>
              <w:ind w:right="512"/>
              <w:spacing w:after="0"/>
              <w:rPr>
                <w:sz w:val="20"/>
                <w:szCs w:val="20"/>
                <w:color w:val="auto"/>
              </w:rPr>
            </w:pPr>
            <w:r>
              <w:rPr>
                <w:rFonts w:ascii="Arial" w:cs="Arial" w:eastAsia="Arial" w:hAnsi="Arial"/>
                <w:sz w:val="18"/>
                <w:szCs w:val="18"/>
                <w:color w:val="auto"/>
              </w:rPr>
              <w:t>37,833</w:t>
            </w:r>
          </w:p>
        </w:tc>
        <w:tc>
          <w:tcPr>
            <w:tcW w:w="720" w:type="dxa"/>
            <w:vAlign w:val="bottom"/>
          </w:tcPr>
          <w:p>
            <w:pPr>
              <w:jc w:val="right"/>
              <w:spacing w:after="0"/>
              <w:rPr>
                <w:sz w:val="20"/>
                <w:szCs w:val="20"/>
                <w:color w:val="auto"/>
              </w:rPr>
            </w:pPr>
            <w:r>
              <w:rPr>
                <w:rFonts w:ascii="Arial" w:cs="Arial" w:eastAsia="Arial" w:hAnsi="Arial"/>
                <w:sz w:val="18"/>
                <w:szCs w:val="18"/>
                <w:color w:val="auto"/>
              </w:rPr>
              <w:t>18,985</w:t>
            </w:r>
          </w:p>
        </w:tc>
      </w:tr>
      <w:tr>
        <w:trPr>
          <w:trHeight w:val="230"/>
        </w:trPr>
        <w:tc>
          <w:tcPr>
            <w:tcW w:w="6340" w:type="dxa"/>
            <w:vAlign w:val="bottom"/>
          </w:tcPr>
          <w:p>
            <w:pPr>
              <w:ind w:left="680"/>
              <w:spacing w:after="0"/>
              <w:rPr>
                <w:sz w:val="20"/>
                <w:szCs w:val="20"/>
                <w:color w:val="auto"/>
              </w:rPr>
            </w:pPr>
            <w:r>
              <w:rPr>
                <w:rFonts w:ascii="Arial" w:cs="Arial" w:eastAsia="Arial" w:hAnsi="Arial"/>
                <w:sz w:val="18"/>
                <w:szCs w:val="18"/>
                <w:color w:val="auto"/>
              </w:rPr>
              <w:t>Europe</w:t>
            </w:r>
          </w:p>
        </w:tc>
        <w:tc>
          <w:tcPr>
            <w:tcW w:w="1680" w:type="dxa"/>
            <w:vAlign w:val="bottom"/>
          </w:tcPr>
          <w:p>
            <w:pPr>
              <w:jc w:val="right"/>
              <w:ind w:right="532"/>
              <w:spacing w:after="0"/>
              <w:rPr>
                <w:sz w:val="20"/>
                <w:szCs w:val="20"/>
                <w:color w:val="auto"/>
              </w:rPr>
            </w:pPr>
            <w:r>
              <w:rPr>
                <w:rFonts w:ascii="Arial" w:cs="Arial" w:eastAsia="Arial" w:hAnsi="Arial"/>
                <w:sz w:val="18"/>
                <w:szCs w:val="18"/>
                <w:color w:val="auto"/>
              </w:rPr>
              <w:t>14,458</w:t>
            </w:r>
          </w:p>
        </w:tc>
        <w:tc>
          <w:tcPr>
            <w:tcW w:w="920" w:type="dxa"/>
            <w:vAlign w:val="bottom"/>
          </w:tcPr>
          <w:p>
            <w:pPr>
              <w:jc w:val="right"/>
              <w:ind w:right="192"/>
              <w:spacing w:after="0"/>
              <w:rPr>
                <w:sz w:val="20"/>
                <w:szCs w:val="20"/>
                <w:color w:val="auto"/>
              </w:rPr>
            </w:pPr>
            <w:r>
              <w:rPr>
                <w:rFonts w:ascii="Arial" w:cs="Arial" w:eastAsia="Arial" w:hAnsi="Arial"/>
                <w:sz w:val="18"/>
                <w:szCs w:val="18"/>
                <w:color w:val="auto"/>
              </w:rPr>
              <w:t>5,961</w:t>
            </w:r>
          </w:p>
        </w:tc>
        <w:tc>
          <w:tcPr>
            <w:tcW w:w="1580" w:type="dxa"/>
            <w:vAlign w:val="bottom"/>
          </w:tcPr>
          <w:p>
            <w:pPr>
              <w:jc w:val="right"/>
              <w:ind w:right="512"/>
              <w:spacing w:after="0"/>
              <w:rPr>
                <w:sz w:val="20"/>
                <w:szCs w:val="20"/>
                <w:color w:val="auto"/>
              </w:rPr>
            </w:pPr>
            <w:r>
              <w:rPr>
                <w:rFonts w:ascii="Arial" w:cs="Arial" w:eastAsia="Arial" w:hAnsi="Arial"/>
                <w:sz w:val="18"/>
                <w:szCs w:val="18"/>
                <w:color w:val="auto"/>
              </w:rPr>
              <w:t>14,802</w:t>
            </w:r>
          </w:p>
        </w:tc>
        <w:tc>
          <w:tcPr>
            <w:tcW w:w="720" w:type="dxa"/>
            <w:vAlign w:val="bottom"/>
          </w:tcPr>
          <w:p>
            <w:pPr>
              <w:jc w:val="right"/>
              <w:spacing w:after="0"/>
              <w:rPr>
                <w:sz w:val="20"/>
                <w:szCs w:val="20"/>
                <w:color w:val="auto"/>
              </w:rPr>
            </w:pPr>
            <w:r>
              <w:rPr>
                <w:rFonts w:ascii="Arial" w:cs="Arial" w:eastAsia="Arial" w:hAnsi="Arial"/>
                <w:sz w:val="18"/>
                <w:szCs w:val="18"/>
                <w:color w:val="auto"/>
              </w:rPr>
              <w:t>6,018</w:t>
            </w:r>
          </w:p>
        </w:tc>
      </w:tr>
      <w:tr>
        <w:trPr>
          <w:trHeight w:val="230"/>
        </w:trPr>
        <w:tc>
          <w:tcPr>
            <w:tcW w:w="6340" w:type="dxa"/>
            <w:vAlign w:val="bottom"/>
          </w:tcPr>
          <w:p>
            <w:pPr>
              <w:ind w:left="680"/>
              <w:spacing w:after="0"/>
              <w:rPr>
                <w:sz w:val="20"/>
                <w:szCs w:val="20"/>
                <w:color w:val="auto"/>
              </w:rPr>
            </w:pPr>
            <w:r>
              <w:rPr>
                <w:rFonts w:ascii="Arial" w:cs="Arial" w:eastAsia="Arial" w:hAnsi="Arial"/>
                <w:sz w:val="18"/>
                <w:szCs w:val="18"/>
                <w:color w:val="auto"/>
              </w:rPr>
              <w:t>Africa</w:t>
            </w:r>
          </w:p>
        </w:tc>
        <w:tc>
          <w:tcPr>
            <w:tcW w:w="1680" w:type="dxa"/>
            <w:vAlign w:val="bottom"/>
          </w:tcPr>
          <w:p>
            <w:pPr>
              <w:jc w:val="right"/>
              <w:ind w:right="532"/>
              <w:spacing w:after="0"/>
              <w:rPr>
                <w:sz w:val="20"/>
                <w:szCs w:val="20"/>
                <w:color w:val="auto"/>
              </w:rPr>
            </w:pPr>
            <w:r>
              <w:rPr>
                <w:rFonts w:ascii="Arial" w:cs="Arial" w:eastAsia="Arial" w:hAnsi="Arial"/>
                <w:sz w:val="18"/>
                <w:szCs w:val="18"/>
                <w:color w:val="auto"/>
              </w:rPr>
              <w:t>23,797</w:t>
            </w:r>
          </w:p>
        </w:tc>
        <w:tc>
          <w:tcPr>
            <w:tcW w:w="920" w:type="dxa"/>
            <w:vAlign w:val="bottom"/>
          </w:tcPr>
          <w:p>
            <w:pPr>
              <w:jc w:val="right"/>
              <w:ind w:right="192"/>
              <w:spacing w:after="0"/>
              <w:rPr>
                <w:sz w:val="20"/>
                <w:szCs w:val="20"/>
                <w:color w:val="auto"/>
              </w:rPr>
            </w:pPr>
            <w:r>
              <w:rPr>
                <w:rFonts w:ascii="Arial" w:cs="Arial" w:eastAsia="Arial" w:hAnsi="Arial"/>
                <w:sz w:val="18"/>
                <w:szCs w:val="18"/>
                <w:color w:val="auto"/>
              </w:rPr>
              <w:t>15,186</w:t>
            </w:r>
          </w:p>
        </w:tc>
        <w:tc>
          <w:tcPr>
            <w:tcW w:w="1580" w:type="dxa"/>
            <w:vAlign w:val="bottom"/>
          </w:tcPr>
          <w:p>
            <w:pPr>
              <w:jc w:val="right"/>
              <w:ind w:right="512"/>
              <w:spacing w:after="0"/>
              <w:rPr>
                <w:sz w:val="20"/>
                <w:szCs w:val="20"/>
                <w:color w:val="auto"/>
              </w:rPr>
            </w:pPr>
            <w:r>
              <w:rPr>
                <w:rFonts w:ascii="Arial" w:cs="Arial" w:eastAsia="Arial" w:hAnsi="Arial"/>
                <w:sz w:val="18"/>
                <w:szCs w:val="18"/>
                <w:color w:val="auto"/>
              </w:rPr>
              <w:t>35,956</w:t>
            </w:r>
          </w:p>
        </w:tc>
        <w:tc>
          <w:tcPr>
            <w:tcW w:w="720" w:type="dxa"/>
            <w:vAlign w:val="bottom"/>
          </w:tcPr>
          <w:p>
            <w:pPr>
              <w:jc w:val="right"/>
              <w:spacing w:after="0"/>
              <w:rPr>
                <w:sz w:val="20"/>
                <w:szCs w:val="20"/>
                <w:color w:val="auto"/>
              </w:rPr>
            </w:pPr>
            <w:r>
              <w:rPr>
                <w:rFonts w:ascii="Arial" w:cs="Arial" w:eastAsia="Arial" w:hAnsi="Arial"/>
                <w:sz w:val="18"/>
                <w:szCs w:val="18"/>
                <w:color w:val="auto"/>
              </w:rPr>
              <w:t>24,558</w:t>
            </w:r>
          </w:p>
        </w:tc>
      </w:tr>
      <w:tr>
        <w:trPr>
          <w:trHeight w:val="230"/>
        </w:trPr>
        <w:tc>
          <w:tcPr>
            <w:tcW w:w="6340" w:type="dxa"/>
            <w:vAlign w:val="bottom"/>
          </w:tcPr>
          <w:p>
            <w:pPr>
              <w:ind w:left="680"/>
              <w:spacing w:after="0"/>
              <w:rPr>
                <w:sz w:val="20"/>
                <w:szCs w:val="20"/>
                <w:color w:val="auto"/>
              </w:rPr>
            </w:pPr>
            <w:r>
              <w:rPr>
                <w:rFonts w:ascii="Arial" w:cs="Arial" w:eastAsia="Arial" w:hAnsi="Arial"/>
                <w:sz w:val="18"/>
                <w:szCs w:val="18"/>
                <w:color w:val="auto"/>
              </w:rPr>
              <w:t>Asia</w:t>
            </w:r>
          </w:p>
        </w:tc>
        <w:tc>
          <w:tcPr>
            <w:tcW w:w="1680" w:type="dxa"/>
            <w:vAlign w:val="bottom"/>
          </w:tcPr>
          <w:p>
            <w:pPr>
              <w:jc w:val="right"/>
              <w:ind w:right="532"/>
              <w:spacing w:after="0"/>
              <w:rPr>
                <w:sz w:val="20"/>
                <w:szCs w:val="20"/>
                <w:color w:val="auto"/>
              </w:rPr>
            </w:pPr>
            <w:r>
              <w:rPr>
                <w:rFonts w:ascii="Arial" w:cs="Arial" w:eastAsia="Arial" w:hAnsi="Arial"/>
                <w:sz w:val="18"/>
                <w:szCs w:val="18"/>
                <w:color w:val="auto"/>
              </w:rPr>
              <w:t>766</w:t>
            </w:r>
          </w:p>
        </w:tc>
        <w:tc>
          <w:tcPr>
            <w:tcW w:w="920" w:type="dxa"/>
            <w:vAlign w:val="bottom"/>
          </w:tcPr>
          <w:p>
            <w:pPr>
              <w:jc w:val="right"/>
              <w:ind w:right="192"/>
              <w:spacing w:after="0"/>
              <w:rPr>
                <w:sz w:val="20"/>
                <w:szCs w:val="20"/>
                <w:color w:val="auto"/>
              </w:rPr>
            </w:pPr>
            <w:r>
              <w:rPr>
                <w:rFonts w:ascii="Arial" w:cs="Arial" w:eastAsia="Arial" w:hAnsi="Arial"/>
                <w:sz w:val="18"/>
                <w:szCs w:val="18"/>
                <w:color w:val="auto"/>
              </w:rPr>
              <w:t>227</w:t>
            </w:r>
          </w:p>
        </w:tc>
        <w:tc>
          <w:tcPr>
            <w:tcW w:w="1580" w:type="dxa"/>
            <w:vAlign w:val="bottom"/>
          </w:tcPr>
          <w:p>
            <w:pPr>
              <w:jc w:val="right"/>
              <w:ind w:right="512"/>
              <w:spacing w:after="0"/>
              <w:rPr>
                <w:sz w:val="20"/>
                <w:szCs w:val="20"/>
                <w:color w:val="auto"/>
              </w:rPr>
            </w:pPr>
            <w:r>
              <w:rPr>
                <w:rFonts w:ascii="Arial" w:cs="Arial" w:eastAsia="Arial" w:hAnsi="Arial"/>
                <w:sz w:val="18"/>
                <w:szCs w:val="18"/>
                <w:color w:val="auto"/>
              </w:rPr>
              <w:t>888</w:t>
            </w:r>
          </w:p>
        </w:tc>
        <w:tc>
          <w:tcPr>
            <w:tcW w:w="720" w:type="dxa"/>
            <w:vAlign w:val="bottom"/>
          </w:tcPr>
          <w:p>
            <w:pPr>
              <w:jc w:val="right"/>
              <w:spacing w:after="0"/>
              <w:rPr>
                <w:sz w:val="20"/>
                <w:szCs w:val="20"/>
                <w:color w:val="auto"/>
              </w:rPr>
            </w:pPr>
            <w:r>
              <w:rPr>
                <w:rFonts w:ascii="Arial" w:cs="Arial" w:eastAsia="Arial" w:hAnsi="Arial"/>
                <w:sz w:val="18"/>
                <w:szCs w:val="18"/>
                <w:color w:val="auto"/>
              </w:rPr>
              <w:t>280</w:t>
            </w:r>
          </w:p>
        </w:tc>
      </w:tr>
      <w:tr>
        <w:trPr>
          <w:trHeight w:val="230"/>
        </w:trPr>
        <w:tc>
          <w:tcPr>
            <w:tcW w:w="6340" w:type="dxa"/>
            <w:vAlign w:val="bottom"/>
          </w:tcPr>
          <w:p>
            <w:pPr>
              <w:ind w:left="680"/>
              <w:spacing w:after="0"/>
              <w:rPr>
                <w:sz w:val="20"/>
                <w:szCs w:val="20"/>
                <w:color w:val="auto"/>
              </w:rPr>
            </w:pPr>
            <w:r>
              <w:rPr>
                <w:rFonts w:ascii="Arial" w:cs="Arial" w:eastAsia="Arial" w:hAnsi="Arial"/>
                <w:sz w:val="18"/>
                <w:szCs w:val="18"/>
                <w:color w:val="auto"/>
              </w:rPr>
              <w:t>Australia/Oceania</w:t>
            </w:r>
          </w:p>
        </w:tc>
        <w:tc>
          <w:tcPr>
            <w:tcW w:w="1680" w:type="dxa"/>
            <w:vAlign w:val="bottom"/>
            <w:tcBorders>
              <w:bottom w:val="single" w:sz="8" w:color="auto"/>
            </w:tcBorders>
          </w:tcPr>
          <w:p>
            <w:pPr>
              <w:jc w:val="right"/>
              <w:ind w:right="532"/>
              <w:spacing w:after="0"/>
              <w:rPr>
                <w:sz w:val="20"/>
                <w:szCs w:val="20"/>
                <w:color w:val="auto"/>
              </w:rPr>
            </w:pPr>
            <w:r>
              <w:rPr>
                <w:rFonts w:ascii="Arial" w:cs="Arial" w:eastAsia="Arial" w:hAnsi="Arial"/>
                <w:sz w:val="18"/>
                <w:szCs w:val="18"/>
                <w:color w:val="auto"/>
              </w:rPr>
              <w:t>8,638</w:t>
            </w:r>
          </w:p>
        </w:tc>
        <w:tc>
          <w:tcPr>
            <w:tcW w:w="9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4,112</w:t>
            </w:r>
          </w:p>
        </w:tc>
        <w:tc>
          <w:tcPr>
            <w:tcW w:w="158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color w:val="auto"/>
              </w:rPr>
              <w:t>12,971</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6,265</w:t>
            </w:r>
          </w:p>
        </w:tc>
      </w:tr>
      <w:tr>
        <w:trPr>
          <w:trHeight w:val="224"/>
        </w:trPr>
        <w:tc>
          <w:tcPr>
            <w:tcW w:w="6340" w:type="dxa"/>
            <w:vAlign w:val="bottom"/>
          </w:tcPr>
          <w:p>
            <w:pPr>
              <w:ind w:left="1120"/>
              <w:spacing w:after="0"/>
              <w:rPr>
                <w:sz w:val="20"/>
                <w:szCs w:val="20"/>
                <w:color w:val="auto"/>
              </w:rPr>
            </w:pPr>
            <w:r>
              <w:rPr>
                <w:rFonts w:ascii="Arial" w:cs="Arial" w:eastAsia="Arial" w:hAnsi="Arial"/>
                <w:sz w:val="18"/>
                <w:szCs w:val="18"/>
                <w:color w:val="auto"/>
              </w:rPr>
              <w:t>Total Consolidated Subsidiaries</w:t>
            </w:r>
          </w:p>
        </w:tc>
        <w:tc>
          <w:tcPr>
            <w:tcW w:w="1680" w:type="dxa"/>
            <w:vAlign w:val="bottom"/>
          </w:tcPr>
          <w:p>
            <w:pPr>
              <w:jc w:val="right"/>
              <w:ind w:right="532"/>
              <w:spacing w:after="0"/>
              <w:rPr>
                <w:sz w:val="20"/>
                <w:szCs w:val="20"/>
                <w:color w:val="auto"/>
              </w:rPr>
            </w:pPr>
            <w:r>
              <w:rPr>
                <w:rFonts w:ascii="Arial" w:cs="Arial" w:eastAsia="Arial" w:hAnsi="Arial"/>
                <w:sz w:val="18"/>
                <w:szCs w:val="18"/>
                <w:color w:val="auto"/>
              </w:rPr>
              <w:t>91,174</w:t>
            </w:r>
          </w:p>
        </w:tc>
        <w:tc>
          <w:tcPr>
            <w:tcW w:w="920" w:type="dxa"/>
            <w:vAlign w:val="bottom"/>
          </w:tcPr>
          <w:p>
            <w:pPr>
              <w:jc w:val="right"/>
              <w:ind w:right="192"/>
              <w:spacing w:after="0"/>
              <w:rPr>
                <w:sz w:val="20"/>
                <w:szCs w:val="20"/>
                <w:color w:val="auto"/>
              </w:rPr>
            </w:pPr>
            <w:r>
              <w:rPr>
                <w:rFonts w:ascii="Arial" w:cs="Arial" w:eastAsia="Arial" w:hAnsi="Arial"/>
                <w:sz w:val="18"/>
                <w:szCs w:val="18"/>
                <w:color w:val="auto"/>
              </w:rPr>
              <w:t>46,539</w:t>
            </w:r>
          </w:p>
        </w:tc>
        <w:tc>
          <w:tcPr>
            <w:tcW w:w="1580" w:type="dxa"/>
            <w:vAlign w:val="bottom"/>
          </w:tcPr>
          <w:p>
            <w:pPr>
              <w:jc w:val="right"/>
              <w:ind w:right="512"/>
              <w:spacing w:after="0"/>
              <w:rPr>
                <w:sz w:val="20"/>
                <w:szCs w:val="20"/>
                <w:color w:val="auto"/>
              </w:rPr>
            </w:pPr>
            <w:r>
              <w:rPr>
                <w:rFonts w:ascii="Arial" w:cs="Arial" w:eastAsia="Arial" w:hAnsi="Arial"/>
                <w:sz w:val="18"/>
                <w:szCs w:val="18"/>
                <w:color w:val="auto"/>
              </w:rPr>
              <w:t>109,419</w:t>
            </w:r>
          </w:p>
        </w:tc>
        <w:tc>
          <w:tcPr>
            <w:tcW w:w="720" w:type="dxa"/>
            <w:vAlign w:val="bottom"/>
          </w:tcPr>
          <w:p>
            <w:pPr>
              <w:jc w:val="right"/>
              <w:spacing w:after="0"/>
              <w:rPr>
                <w:sz w:val="20"/>
                <w:szCs w:val="20"/>
                <w:color w:val="auto"/>
              </w:rPr>
            </w:pPr>
            <w:r>
              <w:rPr>
                <w:rFonts w:ascii="Arial" w:cs="Arial" w:eastAsia="Arial" w:hAnsi="Arial"/>
                <w:sz w:val="18"/>
                <w:szCs w:val="18"/>
                <w:color w:val="auto"/>
              </w:rPr>
              <w:t>59,073</w:t>
            </w:r>
          </w:p>
        </w:tc>
      </w:tr>
      <w:tr>
        <w:trPr>
          <w:trHeight w:val="484"/>
        </w:trPr>
        <w:tc>
          <w:tcPr>
            <w:tcW w:w="6340" w:type="dxa"/>
            <w:vAlign w:val="bottom"/>
          </w:tcPr>
          <w:p>
            <w:pPr>
              <w:ind w:left="220"/>
              <w:spacing w:after="0"/>
              <w:rPr>
                <w:sz w:val="20"/>
                <w:szCs w:val="20"/>
                <w:color w:val="auto"/>
              </w:rPr>
            </w:pPr>
            <w:r>
              <w:rPr>
                <w:rFonts w:ascii="Arial" w:cs="Arial" w:eastAsia="Arial" w:hAnsi="Arial"/>
                <w:sz w:val="18"/>
                <w:szCs w:val="18"/>
                <w:b w:val="1"/>
                <w:bCs w:val="1"/>
                <w:color w:val="auto"/>
              </w:rPr>
              <w:t>Equity Companies</w:t>
            </w:r>
          </w:p>
        </w:tc>
        <w:tc>
          <w:tcPr>
            <w:tcW w:w="1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30"/>
        </w:trPr>
        <w:tc>
          <w:tcPr>
            <w:tcW w:w="6340" w:type="dxa"/>
            <w:vAlign w:val="bottom"/>
          </w:tcPr>
          <w:p>
            <w:pPr>
              <w:ind w:left="680"/>
              <w:spacing w:after="0"/>
              <w:rPr>
                <w:sz w:val="20"/>
                <w:szCs w:val="20"/>
                <w:color w:val="auto"/>
              </w:rPr>
            </w:pPr>
            <w:r>
              <w:rPr>
                <w:rFonts w:ascii="Arial" w:cs="Arial" w:eastAsia="Arial" w:hAnsi="Arial"/>
                <w:sz w:val="18"/>
                <w:szCs w:val="18"/>
                <w:color w:val="auto"/>
              </w:rPr>
              <w:t>United States</w:t>
            </w:r>
          </w:p>
        </w:tc>
        <w:tc>
          <w:tcPr>
            <w:tcW w:w="1680" w:type="dxa"/>
            <w:vAlign w:val="bottom"/>
          </w:tcPr>
          <w:p>
            <w:pPr>
              <w:jc w:val="right"/>
              <w:ind w:right="532"/>
              <w:spacing w:after="0"/>
              <w:rPr>
                <w:sz w:val="20"/>
                <w:szCs w:val="20"/>
                <w:color w:val="auto"/>
              </w:rPr>
            </w:pPr>
            <w:r>
              <w:rPr>
                <w:rFonts w:ascii="Arial" w:cs="Arial" w:eastAsia="Arial" w:hAnsi="Arial"/>
                <w:sz w:val="18"/>
                <w:szCs w:val="18"/>
                <w:color w:val="auto"/>
              </w:rPr>
              <w:t>159</w:t>
            </w:r>
          </w:p>
        </w:tc>
        <w:tc>
          <w:tcPr>
            <w:tcW w:w="920" w:type="dxa"/>
            <w:vAlign w:val="bottom"/>
          </w:tcPr>
          <w:p>
            <w:pPr>
              <w:jc w:val="right"/>
              <w:ind w:right="192"/>
              <w:spacing w:after="0"/>
              <w:rPr>
                <w:sz w:val="20"/>
                <w:szCs w:val="20"/>
                <w:color w:val="auto"/>
              </w:rPr>
            </w:pPr>
            <w:r>
              <w:rPr>
                <w:rFonts w:ascii="Arial" w:cs="Arial" w:eastAsia="Arial" w:hAnsi="Arial"/>
                <w:sz w:val="18"/>
                <w:szCs w:val="18"/>
                <w:color w:val="auto"/>
              </w:rPr>
              <w:t>64</w:t>
            </w:r>
          </w:p>
        </w:tc>
        <w:tc>
          <w:tcPr>
            <w:tcW w:w="1580" w:type="dxa"/>
            <w:vAlign w:val="bottom"/>
          </w:tcPr>
          <w:p>
            <w:pPr>
              <w:jc w:val="right"/>
              <w:ind w:right="512"/>
              <w:spacing w:after="0"/>
              <w:rPr>
                <w:sz w:val="20"/>
                <w:szCs w:val="20"/>
                <w:color w:val="auto"/>
              </w:rPr>
            </w:pPr>
            <w:r>
              <w:rPr>
                <w:rFonts w:ascii="Arial" w:cs="Arial" w:eastAsia="Arial" w:hAnsi="Arial"/>
                <w:sz w:val="18"/>
                <w:szCs w:val="18"/>
                <w:color w:val="auto"/>
              </w:rPr>
              <w:t>160</w:t>
            </w:r>
          </w:p>
        </w:tc>
        <w:tc>
          <w:tcPr>
            <w:tcW w:w="7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29"/>
        </w:trPr>
        <w:tc>
          <w:tcPr>
            <w:tcW w:w="6340" w:type="dxa"/>
            <w:vAlign w:val="bottom"/>
          </w:tcPr>
          <w:p>
            <w:pPr>
              <w:ind w:left="680"/>
              <w:spacing w:after="0"/>
              <w:rPr>
                <w:sz w:val="20"/>
                <w:szCs w:val="20"/>
                <w:color w:val="auto"/>
              </w:rPr>
            </w:pPr>
            <w:r>
              <w:rPr>
                <w:rFonts w:ascii="Arial" w:cs="Arial" w:eastAsia="Arial" w:hAnsi="Arial"/>
                <w:sz w:val="18"/>
                <w:szCs w:val="18"/>
                <w:color w:val="auto"/>
              </w:rPr>
              <w:t>Europe</w:t>
            </w:r>
          </w:p>
        </w:tc>
        <w:tc>
          <w:tcPr>
            <w:tcW w:w="1680" w:type="dxa"/>
            <w:vAlign w:val="bottom"/>
          </w:tcPr>
          <w:p>
            <w:pPr>
              <w:jc w:val="right"/>
              <w:ind w:right="532"/>
              <w:spacing w:after="0"/>
              <w:rPr>
                <w:sz w:val="20"/>
                <w:szCs w:val="20"/>
                <w:color w:val="auto"/>
              </w:rPr>
            </w:pPr>
            <w:r>
              <w:rPr>
                <w:rFonts w:ascii="Arial" w:cs="Arial" w:eastAsia="Arial" w:hAnsi="Arial"/>
                <w:sz w:val="18"/>
                <w:szCs w:val="18"/>
                <w:color w:val="auto"/>
              </w:rPr>
              <w:t>596</w:t>
            </w:r>
          </w:p>
        </w:tc>
        <w:tc>
          <w:tcPr>
            <w:tcW w:w="920" w:type="dxa"/>
            <w:vAlign w:val="bottom"/>
          </w:tcPr>
          <w:p>
            <w:pPr>
              <w:jc w:val="right"/>
              <w:ind w:right="192"/>
              <w:spacing w:after="0"/>
              <w:rPr>
                <w:sz w:val="20"/>
                <w:szCs w:val="20"/>
                <w:color w:val="auto"/>
              </w:rPr>
            </w:pPr>
            <w:r>
              <w:rPr>
                <w:rFonts w:ascii="Arial" w:cs="Arial" w:eastAsia="Arial" w:hAnsi="Arial"/>
                <w:sz w:val="18"/>
                <w:szCs w:val="18"/>
                <w:color w:val="auto"/>
              </w:rPr>
              <w:t>139</w:t>
            </w:r>
          </w:p>
        </w:tc>
        <w:tc>
          <w:tcPr>
            <w:tcW w:w="1580" w:type="dxa"/>
            <w:vAlign w:val="bottom"/>
          </w:tcPr>
          <w:p>
            <w:pPr>
              <w:jc w:val="right"/>
              <w:ind w:right="512"/>
              <w:spacing w:after="0"/>
              <w:rPr>
                <w:sz w:val="20"/>
                <w:szCs w:val="20"/>
                <w:color w:val="auto"/>
              </w:rPr>
            </w:pPr>
            <w:r>
              <w:rPr>
                <w:rFonts w:ascii="Arial" w:cs="Arial" w:eastAsia="Arial" w:hAnsi="Arial"/>
                <w:sz w:val="18"/>
                <w:szCs w:val="18"/>
                <w:color w:val="auto"/>
              </w:rPr>
              <w:t>765</w:t>
            </w:r>
          </w:p>
        </w:tc>
        <w:tc>
          <w:tcPr>
            <w:tcW w:w="720" w:type="dxa"/>
            <w:vAlign w:val="bottom"/>
          </w:tcPr>
          <w:p>
            <w:pPr>
              <w:jc w:val="right"/>
              <w:spacing w:after="0"/>
              <w:rPr>
                <w:sz w:val="20"/>
                <w:szCs w:val="20"/>
                <w:color w:val="auto"/>
              </w:rPr>
            </w:pPr>
            <w:r>
              <w:rPr>
                <w:rFonts w:ascii="Arial" w:cs="Arial" w:eastAsia="Arial" w:hAnsi="Arial"/>
                <w:sz w:val="18"/>
                <w:szCs w:val="18"/>
                <w:color w:val="auto"/>
              </w:rPr>
              <w:t>214</w:t>
            </w:r>
          </w:p>
        </w:tc>
      </w:tr>
      <w:tr>
        <w:trPr>
          <w:trHeight w:val="230"/>
        </w:trPr>
        <w:tc>
          <w:tcPr>
            <w:tcW w:w="6340" w:type="dxa"/>
            <w:vAlign w:val="bottom"/>
          </w:tcPr>
          <w:p>
            <w:pPr>
              <w:ind w:left="680"/>
              <w:spacing w:after="0"/>
              <w:rPr>
                <w:sz w:val="20"/>
                <w:szCs w:val="20"/>
                <w:color w:val="auto"/>
              </w:rPr>
            </w:pPr>
            <w:r>
              <w:rPr>
                <w:rFonts w:ascii="Arial" w:cs="Arial" w:eastAsia="Arial" w:hAnsi="Arial"/>
                <w:sz w:val="18"/>
                <w:szCs w:val="18"/>
                <w:color w:val="auto"/>
              </w:rPr>
              <w:t>Africa</w:t>
            </w:r>
          </w:p>
        </w:tc>
        <w:tc>
          <w:tcPr>
            <w:tcW w:w="1680" w:type="dxa"/>
            <w:vAlign w:val="bottom"/>
          </w:tcPr>
          <w:p>
            <w:pPr>
              <w:jc w:val="right"/>
              <w:ind w:right="532"/>
              <w:spacing w:after="0"/>
              <w:rPr>
                <w:sz w:val="20"/>
                <w:szCs w:val="20"/>
                <w:color w:val="auto"/>
              </w:rPr>
            </w:pPr>
            <w:r>
              <w:rPr>
                <w:rFonts w:ascii="Arial" w:cs="Arial" w:eastAsia="Arial" w:hAnsi="Arial"/>
                <w:sz w:val="18"/>
                <w:szCs w:val="18"/>
                <w:color w:val="auto"/>
              </w:rPr>
              <w:t>596</w:t>
            </w:r>
          </w:p>
        </w:tc>
        <w:tc>
          <w:tcPr>
            <w:tcW w:w="920" w:type="dxa"/>
            <w:vAlign w:val="bottom"/>
          </w:tcPr>
          <w:p>
            <w:pPr>
              <w:jc w:val="right"/>
              <w:ind w:right="192"/>
              <w:spacing w:after="0"/>
              <w:rPr>
                <w:sz w:val="20"/>
                <w:szCs w:val="20"/>
                <w:color w:val="auto"/>
              </w:rPr>
            </w:pPr>
            <w:r>
              <w:rPr>
                <w:rFonts w:ascii="Arial" w:cs="Arial" w:eastAsia="Arial" w:hAnsi="Arial"/>
                <w:sz w:val="18"/>
                <w:szCs w:val="18"/>
                <w:color w:val="auto"/>
              </w:rPr>
              <w:t>149</w:t>
            </w:r>
          </w:p>
        </w:tc>
        <w:tc>
          <w:tcPr>
            <w:tcW w:w="1580" w:type="dxa"/>
            <w:vAlign w:val="bottom"/>
          </w:tcPr>
          <w:p>
            <w:pPr>
              <w:jc w:val="right"/>
              <w:ind w:right="512"/>
              <w:spacing w:after="0"/>
              <w:rPr>
                <w:sz w:val="20"/>
                <w:szCs w:val="20"/>
                <w:color w:val="auto"/>
              </w:rPr>
            </w:pPr>
            <w:r>
              <w:rPr>
                <w:rFonts w:ascii="Arial" w:cs="Arial" w:eastAsia="Arial" w:hAnsi="Arial"/>
                <w:sz w:val="18"/>
                <w:szCs w:val="18"/>
                <w:color w:val="auto"/>
              </w:rPr>
              <w:t>596</w:t>
            </w:r>
          </w:p>
        </w:tc>
        <w:tc>
          <w:tcPr>
            <w:tcW w:w="720" w:type="dxa"/>
            <w:vAlign w:val="bottom"/>
          </w:tcPr>
          <w:p>
            <w:pPr>
              <w:jc w:val="right"/>
              <w:spacing w:after="0"/>
              <w:rPr>
                <w:sz w:val="20"/>
                <w:szCs w:val="20"/>
                <w:color w:val="auto"/>
              </w:rPr>
            </w:pPr>
            <w:r>
              <w:rPr>
                <w:rFonts w:ascii="Arial" w:cs="Arial" w:eastAsia="Arial" w:hAnsi="Arial"/>
                <w:sz w:val="18"/>
                <w:szCs w:val="18"/>
                <w:color w:val="auto"/>
              </w:rPr>
              <w:t>149</w:t>
            </w:r>
          </w:p>
        </w:tc>
      </w:tr>
      <w:tr>
        <w:trPr>
          <w:trHeight w:val="230"/>
        </w:trPr>
        <w:tc>
          <w:tcPr>
            <w:tcW w:w="6340" w:type="dxa"/>
            <w:vAlign w:val="bottom"/>
          </w:tcPr>
          <w:p>
            <w:pPr>
              <w:ind w:left="680"/>
              <w:spacing w:after="0"/>
              <w:rPr>
                <w:sz w:val="20"/>
                <w:szCs w:val="20"/>
                <w:color w:val="auto"/>
              </w:rPr>
            </w:pPr>
            <w:r>
              <w:rPr>
                <w:rFonts w:ascii="Arial" w:cs="Arial" w:eastAsia="Arial" w:hAnsi="Arial"/>
                <w:sz w:val="18"/>
                <w:szCs w:val="18"/>
                <w:color w:val="auto"/>
              </w:rPr>
              <w:t>Asia</w:t>
            </w:r>
          </w:p>
        </w:tc>
        <w:tc>
          <w:tcPr>
            <w:tcW w:w="1680" w:type="dxa"/>
            <w:vAlign w:val="bottom"/>
            <w:tcBorders>
              <w:bottom w:val="single" w:sz="8" w:color="auto"/>
            </w:tcBorders>
          </w:tcPr>
          <w:p>
            <w:pPr>
              <w:jc w:val="right"/>
              <w:ind w:right="532"/>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340" w:type="dxa"/>
            <w:vAlign w:val="bottom"/>
          </w:tcPr>
          <w:p>
            <w:pPr>
              <w:ind w:left="1120"/>
              <w:spacing w:after="0"/>
              <w:rPr>
                <w:sz w:val="20"/>
                <w:szCs w:val="20"/>
                <w:color w:val="auto"/>
              </w:rPr>
            </w:pPr>
            <w:r>
              <w:rPr>
                <w:rFonts w:ascii="Arial" w:cs="Arial" w:eastAsia="Arial" w:hAnsi="Arial"/>
                <w:sz w:val="18"/>
                <w:szCs w:val="18"/>
                <w:color w:val="auto"/>
              </w:rPr>
              <w:t>Total Equity Companies</w:t>
            </w:r>
          </w:p>
        </w:tc>
        <w:tc>
          <w:tcPr>
            <w:tcW w:w="1680" w:type="dxa"/>
            <w:vAlign w:val="bottom"/>
            <w:tcBorders>
              <w:bottom w:val="single" w:sz="8" w:color="auto"/>
            </w:tcBorders>
          </w:tcPr>
          <w:p>
            <w:pPr>
              <w:jc w:val="right"/>
              <w:ind w:right="532"/>
              <w:spacing w:after="0"/>
              <w:rPr>
                <w:sz w:val="20"/>
                <w:szCs w:val="20"/>
                <w:color w:val="auto"/>
              </w:rPr>
            </w:pPr>
            <w:r>
              <w:rPr>
                <w:rFonts w:ascii="Arial" w:cs="Arial" w:eastAsia="Arial" w:hAnsi="Arial"/>
                <w:sz w:val="18"/>
                <w:szCs w:val="18"/>
                <w:color w:val="auto"/>
              </w:rPr>
              <w:t>1,351</w:t>
            </w:r>
          </w:p>
        </w:tc>
        <w:tc>
          <w:tcPr>
            <w:tcW w:w="9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352</w:t>
            </w:r>
          </w:p>
        </w:tc>
        <w:tc>
          <w:tcPr>
            <w:tcW w:w="158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color w:val="auto"/>
              </w:rPr>
              <w:t>1,521</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w:t>
            </w:r>
          </w:p>
        </w:tc>
      </w:tr>
      <w:tr>
        <w:trPr>
          <w:trHeight w:val="223"/>
        </w:trPr>
        <w:tc>
          <w:tcPr>
            <w:tcW w:w="6340" w:type="dxa"/>
            <w:vAlign w:val="bottom"/>
          </w:tcPr>
          <w:p>
            <w:pPr>
              <w:ind w:left="20"/>
              <w:spacing w:after="0"/>
              <w:rPr>
                <w:sz w:val="20"/>
                <w:szCs w:val="20"/>
                <w:color w:val="auto"/>
              </w:rPr>
            </w:pPr>
            <w:r>
              <w:rPr>
                <w:rFonts w:ascii="Arial" w:cs="Arial" w:eastAsia="Arial" w:hAnsi="Arial"/>
                <w:sz w:val="18"/>
                <w:szCs w:val="18"/>
                <w:b w:val="1"/>
                <w:bCs w:val="1"/>
                <w:color w:val="auto"/>
              </w:rPr>
              <w:t>Total gross and net undeveloped acreage</w:t>
            </w:r>
          </w:p>
        </w:tc>
        <w:tc>
          <w:tcPr>
            <w:tcW w:w="1680" w:type="dxa"/>
            <w:vAlign w:val="bottom"/>
            <w:tcBorders>
              <w:bottom w:val="single" w:sz="8" w:color="auto"/>
            </w:tcBorders>
          </w:tcPr>
          <w:p>
            <w:pPr>
              <w:jc w:val="right"/>
              <w:ind w:right="532"/>
              <w:spacing w:after="0"/>
              <w:rPr>
                <w:sz w:val="20"/>
                <w:szCs w:val="20"/>
                <w:color w:val="auto"/>
              </w:rPr>
            </w:pPr>
            <w:r>
              <w:rPr>
                <w:rFonts w:ascii="Arial" w:cs="Arial" w:eastAsia="Arial" w:hAnsi="Arial"/>
                <w:sz w:val="18"/>
                <w:szCs w:val="18"/>
                <w:color w:val="auto"/>
              </w:rPr>
              <w:t>92,525</w:t>
            </w:r>
          </w:p>
        </w:tc>
        <w:tc>
          <w:tcPr>
            <w:tcW w:w="9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46,891</w:t>
            </w:r>
          </w:p>
        </w:tc>
        <w:tc>
          <w:tcPr>
            <w:tcW w:w="158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color w:val="auto"/>
              </w:rPr>
              <w:t>110,940</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59,500</w:t>
            </w:r>
          </w:p>
        </w:tc>
      </w:tr>
    </w:tbl>
    <w:p>
      <w:pPr>
        <w:spacing w:after="0" w:line="3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 Includes undeveloped acreage in Other Americas of 26,084 gross and 12,471 net thousands of acres for 2021 and 2020.</w:t>
      </w:r>
    </w:p>
    <w:p>
      <w:pPr>
        <w:sectPr>
          <w:pgSz w:w="11900" w:h="16838" w:orient="portrait"/>
          <w:cols w:equalWidth="0" w:num="1">
            <w:col w:w="11240"/>
          </w:cols>
          <w:pgMar w:left="320" w:top="1080" w:right="339" w:bottom="1440" w:gutter="0" w:footer="0" w:header="0"/>
        </w:sect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type w:val="continuous"/>
        </w:sectPr>
      </w:pPr>
    </w:p>
    <w:bookmarkStart w:id="22" w:name="page23"/>
    <w:bookmarkEnd w:id="22"/>
    <w:p>
      <w:pPr>
        <w:jc w:val="both"/>
        <w:spacing w:after="0" w:line="254" w:lineRule="auto"/>
        <w:rPr>
          <w:sz w:val="20"/>
          <w:szCs w:val="20"/>
          <w:color w:val="auto"/>
        </w:rPr>
      </w:pPr>
      <w:r>
        <w:rPr>
          <w:rFonts w:ascii="Arial" w:cs="Arial" w:eastAsia="Arial" w:hAnsi="Arial"/>
          <w:sz w:val="18"/>
          <w:szCs w:val="18"/>
          <w:color w:val="auto"/>
        </w:rPr>
        <w:t>ExxonMobil’s investment in developed and undeveloped acreage is comprised of numerous concessions, blocks, and leases. The terms and conditions under which the Corporation maintains exploration and/or production rights to the acreage are property-specific, contractually defined, and vary significantly from property to property. Work programs are designed to ensure that the exploration potential of any property is fully evaluated before expiration. In some instances, the Corporation may elect to relinquish acreage in advance of the contractual expiration date if the evaluation process is complete and there is not a business basis for extension. In cases where additional time may be required to fully evaluate acreage, the Corporation has generally been successful in obtaining extensions. The scheduled expiration of leases and concessions for undeveloped acreage over the next three years is not expected to have a material adverse impact on the Corporation.</w:t>
      </w: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Summary of Acreage Terms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STATES</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Oil and gas exploration and production rights are acquired from mineral interest owners through a lease. Mineral interest owners include the Federal and State governments, as well as private mineral interest owners. Leases typically have an exploration period ranging from one to ten years, and a production period that normally remains in effect until production ceases. Under certain circumstances, a lease may be held beyond its exploration term even if production has not commenced. In some instances regarding private property, a “fee interest” is acquired where the underlying mineral interests are owned outright.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CANADA / OTHER AMERICAS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Canada</w:t>
      </w:r>
    </w:p>
    <w:p>
      <w:pPr>
        <w:spacing w:after="0" w:line="10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Exploration licenses or leases in onshore areas are acquired for varying periods of time with renewals or extensions possible. These licenses or leases entitle the holder to continue existing licenses or leases upon completing specified work. In general, these license and lease agreements are held as long as there is proven production capability on the licenses and leases. Exploration licenses in offshore eastern Canada and the Beaufort Sea are held by work commitments of various amounts and rentals. They are valid for a term of nine years. Offshore production licenses are valid for 25 years, with rights of extension for continued production. Significant discovery licenses in the offshore, relating to currently undeveloped discoveries, do not have a definite term.</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Argentina</w:t>
      </w:r>
    </w:p>
    <w:p>
      <w:pPr>
        <w:spacing w:after="0" w:line="10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Federal Hydrocarbon Law was amended in 2014. Pursuant to the amended law, the production term for an onshore unconventional concession is 35 years, and 25 years for a conventional concession, with unlimited 10-year extensions possible, once a field has been developed. In 2019, the government granted three offshore exploration licenses, with terms of eight years, divided into two exploration periods of four years, with an optional extension of five years for each license. Two onshore exploration concessions were initially granted prior to the amendment and are governed under Provincial Law with expiration terms through 2024.</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Brazil</w:t>
      </w:r>
    </w:p>
    <w:p>
      <w:pPr>
        <w:spacing w:after="0" w:line="10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exploration and production of oil and gas are governed by concession contracts and production sharing contracts. Concession contracts provide for an exploration period of up to 8 years and a production period of 27 years. Production sharing contracts provide for an exploration period of up to 7 years and a production period of up to 28 years.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Guyana</w:t>
      </w:r>
    </w:p>
    <w:p>
      <w:pPr>
        <w:spacing w:after="0" w:line="10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Petroleum (Exploration and Production) Act authorizes the government of Guyana to grant petroleum prospecting and production licenses and to enter into petroleum agreements for the exploration and production of hydrocarbons. Petroleum agreements provide for an exploration period of up to 10 years and a production period of 20 years, with a 10-year extension.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Germany</w:t>
      </w:r>
    </w:p>
    <w:p>
      <w:pPr>
        <w:spacing w:after="0" w:line="10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Exploration concessions are granted for an initial maximum period of five years, with an unlimited number of extensions up to three years each. Extensions are subject to specific minimum work commitments. Production licenses are normally granted for 20 to 25 years with multiple possible extensions subject to production on the license.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Netherlands</w:t>
      </w:r>
    </w:p>
    <w:p>
      <w:pPr>
        <w:spacing w:after="0" w:line="10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Under the Mining Law, effective January 1, 2003, exploration and production licenses for both onshore and offshore areas are issued for a period as explicitly defined in the license. The term is based on the period of time necessary to perform the activities for which the license is issued. License conditions are stipulated in the license and are based on the Mining Law.</w:t>
      </w:r>
    </w:p>
    <w:p>
      <w:pPr>
        <w:sectPr>
          <w:pgSz w:w="11900" w:h="16838" w:orient="portrait"/>
          <w:cols w:equalWidth="0" w:num="1">
            <w:col w:w="11240"/>
          </w:cols>
          <w:pgMar w:left="320" w:top="97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type w:val="continuous"/>
        </w:sectPr>
      </w:pPr>
    </w:p>
    <w:bookmarkStart w:id="23" w:name="page24"/>
    <w:bookmarkEnd w:id="23"/>
    <w:p>
      <w:pPr>
        <w:jc w:val="both"/>
        <w:spacing w:after="0" w:line="259" w:lineRule="auto"/>
        <w:rPr>
          <w:sz w:val="20"/>
          <w:szCs w:val="20"/>
          <w:color w:val="auto"/>
        </w:rPr>
      </w:pPr>
      <w:r>
        <w:rPr>
          <w:rFonts w:ascii="Arial" w:cs="Arial" w:eastAsia="Arial" w:hAnsi="Arial"/>
          <w:sz w:val="18"/>
          <w:szCs w:val="18"/>
          <w:color w:val="auto"/>
        </w:rPr>
        <w:t>Production rights granted prior to January 1, 2003, remain subject to their existing terms, and differ slightly for onshore and offshore areas. Onshore production licenses issued prior to 1988 were indefinite; from 1988 they were issued for a period as explicitly defined in the license, ranging from 35 to 45 years. Offshore production licenses issued before 1976 were issued for a fixed period of 40 years; from 1976 they were again issued for a period as explicitly defined in the license, ranging from 15 to 40 years.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United Kingdom</w:t>
      </w:r>
    </w:p>
    <w:p>
      <w:pPr>
        <w:spacing w:after="0" w:line="9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Acreage terms are fixed by the government and are periodically changed. For example, many of the early licenses issued under the first four licensing rounds provided an initial term of six years with relinquishment of at least one-half of the original area at the end of the initial term, subject to extension for a further 40 years. At the end of any such 40-year term, licenses may continue in producing areas until cessation of production; or licenses may continue in development areas for periods agreed on a case-by-case basis until they become producing areas; or licenses terminate in all other areas. The majority of traditional licenses currently issued have an initial exploration term of four years with a second term extension of four years, and a final production term of 18 years, with a mandatory relinquishment of 50 percent of the acreage after the initial term and of all acreage that is not covered by a development plan at the end of the second term.</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AFRICA</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Angola</w:t>
      </w:r>
    </w:p>
    <w:p>
      <w:pPr>
        <w:spacing w:after="0" w:line="10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Exploration and production activities are governed by either production sharing agreements or other contracts with initial exploration terms ranging from three to four years with options to extend from one to five years. The production periods range from 20 to 30 years, and the agreements generally provide for negotiated extensions.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Chad</w:t>
      </w:r>
    </w:p>
    <w:p>
      <w:pPr>
        <w:spacing w:after="0" w:line="10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Exploration permits are issued for a period of five years, and are renewable for one or two further five-year periods. The terms and conditions of the permits, including relinquishment obligations, are specified in a negotiated convention. The production term is 30 years and in 2017 was extended by 20 years to 2050.</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Equatorial Guinea</w:t>
      </w:r>
    </w:p>
    <w:p>
      <w:pPr>
        <w:spacing w:after="0" w:line="10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Exploration, development and production activities are governed by production sharing contracts negotiated with the State Ministry of Mines and Hydrocarbons. The production period for crude oil is 30 years.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Mozambique</w:t>
      </w:r>
    </w:p>
    <w:p>
      <w:pPr>
        <w:spacing w:after="0" w:line="1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Exploration and production activities are generally governed by concession contracts with the Government of the Republic of Mozambique, represented by the Ministry of Mineral Resources and Energy. An interest in Area 4 offshore Mozambique was acquired in 2017. Terms for Area 4 are governed by the Exploration and Production Concession Contract (EPCC) for Area 4 Offshore of the Rovuma Block. The EPCC expires 30 years after an approved plan of development becomes effective for a given discovery area.</w:t>
      </w:r>
    </w:p>
    <w:p>
      <w:pPr>
        <w:spacing w:after="0" w:line="6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2018, an interest was acquired in offshore blocks, A5-B, Z5-C and Z5-D. Terms for the three blocks are governed by their respective EPCCs, with blocks Z5-C and Z5-D having an initial exploration phase that expires in 2022 and block A5-B's initial exploration phase expiring in 2023 after being granted a one-year extension. The EPCCs provide a development and production period that expires 30 years after the approval of a plan of development.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Nigeria</w:t>
      </w:r>
    </w:p>
    <w:p>
      <w:pPr>
        <w:spacing w:after="0" w:line="10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Exploration and production activities in the deepwater offshore areas are typically governed by production sharing contracts (PSCs) with the national oil company, the Nigerian National Petroleum Corporation (NNPC). NNPC typically holds the underlying Oil Prospecting License (OPL) and any resulting Oil Mining Lease (OML). The terms of the PSCs are generally 30 years, including a 10-year exploration period (an initial exploration phase that can be divided into multiple optional periods) covered by an OPL. Upon commercial discovery, an OPL may be converted to an OML. Partial relinquishment is required under the PSC at the end of the 10-year exploration period, and OMLs have a 20-year production period that may be extended, subject to the partial relinquishment provision of the Petroleum Industry Act (PIA) enacted on August 16, 2021.</w:t>
      </w:r>
    </w:p>
    <w:p>
      <w:pPr>
        <w:spacing w:after="0" w:line="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Some exploration activities are carried out in deepwater by joint ventures with local companies holding interests in an OPL. OPLs in deepwater offshore areas are valid for 10 years, while in all other areas the licenses are for five years. Demonstrating a commercial discovery is the basis for conversion of an OPL to an OML.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4" w:name="page25"/>
    <w:bookmarkEnd w:id="24"/>
    <w:p>
      <w:pPr>
        <w:jc w:val="both"/>
        <w:spacing w:after="0" w:line="259" w:lineRule="auto"/>
        <w:rPr>
          <w:sz w:val="20"/>
          <w:szCs w:val="20"/>
          <w:color w:val="auto"/>
        </w:rPr>
      </w:pPr>
      <w:r>
        <w:rPr>
          <w:rFonts w:ascii="Arial" w:cs="Arial" w:eastAsia="Arial" w:hAnsi="Arial"/>
          <w:sz w:val="18"/>
          <w:szCs w:val="18"/>
          <w:color w:val="auto"/>
        </w:rPr>
        <w:t>OMLs granted prior to the 1969 Petroleum Act (i.e., under the Mineral Oils Act 1914, repealed by the 1969 Petroleum Act) were for 30 years onshore and 40 years in offshore areas and have been renewed, effective December 1, 2008, for a further period of 20 years, with a further renewal option of 20 years. Operations under these pre-1969 OMLs are conducted under a joint venture agreement with NNPC rather than a PSC. Commercial terms applicable to the existing joint venture oil production are defined by the Petroleum Profits Tax Act.</w:t>
      </w:r>
    </w:p>
    <w:p>
      <w:pPr>
        <w:spacing w:after="0" w:line="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OMLs granted under the 1969 Petroleum Act, which include all deepwater OMLs, have a maximum term of 20 years without distinction for onshore or offshore location and are renewable, upon 12-months written notice, for another period of 20 years. OMLs not held by NNPC are also subject to a mandatory 50-percent relinquishment after the first 10 years of their duration.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ASIA</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Azerbaijan</w:t>
      </w:r>
    </w:p>
    <w:p>
      <w:pPr>
        <w:spacing w:after="0" w:line="1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production sharing agreement (PSA) for the development of the Azeri-Chirag-Gunashli field was established for an initial period of 30 years starting from the PSA execution date in 1994. The PSA was amended in September 2017 to extend the term by 25 years to 2049.</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Indonesia</w:t>
      </w:r>
    </w:p>
    <w:p>
      <w:pPr>
        <w:spacing w:after="0" w:line="10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Exploration and production activities in Indonesia are generally governed by cooperation contracts, usually in the form of a production sharing contract (PSC), negotiated with BPMIGAS, a government agency established in 2002 to manage upstream oil and gas activities. In 2012, Indonesia’s Constitutional Court ruled certain articles of law relating to BPMIGAS to be unconstitutional, but stated that all existing PSCs signed with BPMIGAS should remain in force until their expiry, and the functions and duties previously performed by BPMIGAS are to be carried out by the relevant Ministry of the Government of Indonesia until the promulgation of a new oil and gas law. By presidential decree, SKKMIGAS became the interim successor to BPMIGAS. The current PSCs have an exploration period of six years, which can be extended once for a period of four years with a total contract period of 30 years including an exploitation period. PSC terms can be extended for a maximum of 20 years for each extension with the approval of the government.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Iraq</w:t>
      </w:r>
    </w:p>
    <w:p>
      <w:pPr>
        <w:spacing w:after="0" w:line="10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Development and production activities in the state-owned oil and gas fields are governed by contracts with regional oil companies of the Iraqi Ministry of Oil. An ExxonMobil affiliate entered into a contract with Basra Oil Company of the Iraqi Ministry of Oil for the rights to participate in the development and production activities of the West Qurna Phase I oil and gas field effective March 1, 2010. The term of the contract is 20 years with the right to extend for five years. The contract provides for cost recovery plus per-barrel fees for incremental production above specified levels.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Kazakhstan</w:t>
      </w:r>
    </w:p>
    <w:p>
      <w:pPr>
        <w:spacing w:after="0" w:line="1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Onshore exploration and production activities are governed by the production license, exploration license, and joint venture agreements negotiated with the Republic of Kazakhstan. Existing production operations have a 40-year production period that commenced in 1993.</w:t>
      </w:r>
    </w:p>
    <w:p>
      <w:pPr>
        <w:spacing w:after="0" w:line="3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Offshore exploration and production activities are governed by a production sharing agreement negotiated with the Republic of Kazakhstan. The exploration period is six years followed by separate appraisal periods for each discovery. The production period for each discovery, which includes development, is 20 years from the date of declaration of commerciality with the possibility of two 10-year extensions.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Malaysia</w:t>
      </w:r>
    </w:p>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Production activities are governed by production sharing contracts (PSCs) negotiated with the national oil company. The PSCs have production terms of 25 years. Extensions are generally subject to the national oil company’s prior written approval.</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Qatar</w:t>
      </w:r>
    </w:p>
    <w:p>
      <w:pPr>
        <w:spacing w:after="0" w:line="9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State of Qatar grants gas production development project rights to develop and supply gas from the offshore North Field to permit the economic development and production of gas reserves sufficient to satisfy the gas and LNG sales obligations of these projects. The initial terms for these rights generally extend for 25 years. Extensions and terms are subject to State of Qatar approval.</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Russia</w:t>
      </w:r>
    </w:p>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Terms for ExxonMobil’s Sakhalin acreage are fixed by the current production sharing agreement between the Russian government and the Sakhalin-1 consortium, of which ExxonMobil is the operator.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color w:val="auto"/>
        </w:rPr>
        <w:t>Thailand</w:t>
      </w:r>
    </w:p>
    <w:p>
      <w:pPr>
        <w:spacing w:after="0" w:line="1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Petroleum Act of 1971 allows production under ExxonMobil’s concessions for 30 years with a 10-year extension at terms generally prevalent at the time. In 2021, one concession was extended to 2031.</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United Arab Emirates</w:t>
      </w:r>
    </w:p>
    <w:p>
      <w:pPr>
        <w:spacing w:after="0" w:line="1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 interest in the development and production activities of the offshore Upper Zakum field was acquired in 2006. In 2017, the governing agreements were extended to 2051.</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AUSTRALIA / OCEANIA</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Australia</w:t>
      </w:r>
    </w:p>
    <w:p>
      <w:pPr>
        <w:spacing w:after="0" w:line="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Exploration and production activities conducted offshore in Commonwealth waters are governed by Federal legislation. Exploration permits are granted for an initial term of six years with two possible five-year renewal periods. Retention leases may be granted for resources that are not commercially viable at the time of application, but are expected to become commercially viable within 15 years. These are granted for periods of five years and renewals may be requested. Prior to July 1998, production licenses were granted initially for 21 years, with a further renewal of 21 years and thereafter indefinitely, i.e., for the life of the field. Effective from July 1998, new production licenses are granted indefinitely. In each case, a production license may be terminated if no production operations have been carried on for five years.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Papua New Guinea</w:t>
      </w:r>
    </w:p>
    <w:p>
      <w:pPr>
        <w:spacing w:after="0" w:line="9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Exploration and production activities are governed by the Oil and Gas Act. Petroleum prospecting licenses are granted for an initial term of six years with a five-year extension possible (an additional extension of three years is possible in certain circumstances). Generally, a 50-percent relinquishment of the license area is required at the end of the initial six-year term, if extended. Petroleum development licenses are granted for an initial 25-year period. An extension for further consecutive period(s) of up to 20 years may be granted at the Minister’s discretion. Petroleum retention licenses may be granted for gas resources that are not commercially viable at the time of application, but may become commercially viable within the maximum possible retention time of 15 years. Petroleum retention licenses are granted for five-year terms, and may be extended, at the Minister’s discretion, twice for the maximum retention time of 15 years. Extensions of petroleum retention licenses may be for periods of less than one year, renewable annually, if the Minister considers at the time of extension that the resources could become commercially viable in less than five years, provided that the total period of all extensions granted does not exceed 10 years.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Information with regard to the Downstream segment follows:</w:t>
      </w:r>
    </w:p>
    <w:p>
      <w:pPr>
        <w:spacing w:after="0" w:line="9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ExxonMobil’s Downstream segment manufactures, trades and sells petroleum products. The refining and supply operations encompass a global network of manufacturing plants, transportation systems, and distribution centers that provide a range of fuels, lubricants and other products and feedstocks to our customers around the world.</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Refining Capacity At Year-End 2021 </w:t>
      </w:r>
      <w:r>
        <w:rPr>
          <w:rFonts w:ascii="Arial" w:cs="Arial" w:eastAsia="Arial" w:hAnsi="Arial"/>
          <w:sz w:val="14"/>
          <w:szCs w:val="14"/>
          <w:i w:val="1"/>
          <w:iCs w:val="1"/>
          <w:color w:val="auto"/>
        </w:rPr>
        <w:t>(1)</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00" w:type="dxa"/>
            <w:vAlign w:val="bottom"/>
          </w:tcPr>
          <w:p>
            <w:pPr>
              <w:spacing w:after="0"/>
              <w:rPr>
                <w:sz w:val="16"/>
                <w:szCs w:val="16"/>
                <w:color w:val="auto"/>
              </w:rPr>
            </w:pPr>
          </w:p>
        </w:tc>
        <w:tc>
          <w:tcPr>
            <w:tcW w:w="5080" w:type="dxa"/>
            <w:vAlign w:val="bottom"/>
          </w:tcPr>
          <w:p>
            <w:pPr>
              <w:spacing w:after="0"/>
              <w:rPr>
                <w:sz w:val="16"/>
                <w:szCs w:val="16"/>
                <w:color w:val="auto"/>
              </w:rPr>
            </w:pPr>
          </w:p>
        </w:tc>
        <w:tc>
          <w:tcPr>
            <w:tcW w:w="1360" w:type="dxa"/>
            <w:vAlign w:val="bottom"/>
          </w:tcPr>
          <w:p>
            <w:pPr>
              <w:jc w:val="right"/>
              <w:ind w:right="211"/>
              <w:spacing w:after="0"/>
              <w:rPr>
                <w:sz w:val="20"/>
                <w:szCs w:val="20"/>
                <w:color w:val="auto"/>
              </w:rPr>
            </w:pPr>
            <w:r>
              <w:rPr>
                <w:rFonts w:ascii="Arial" w:cs="Arial" w:eastAsia="Arial" w:hAnsi="Arial"/>
                <w:sz w:val="14"/>
                <w:szCs w:val="14"/>
                <w:b w:val="1"/>
                <w:bCs w:val="1"/>
                <w:color w:val="auto"/>
              </w:rPr>
              <w:t>ExxonMobil</w:t>
            </w:r>
          </w:p>
        </w:tc>
        <w:tc>
          <w:tcPr>
            <w:tcW w:w="1480" w:type="dxa"/>
            <w:vAlign w:val="bottom"/>
          </w:tcPr>
          <w:p>
            <w:pPr>
              <w:jc w:val="center"/>
              <w:ind w:left="32"/>
              <w:spacing w:after="0"/>
              <w:rPr>
                <w:sz w:val="20"/>
                <w:szCs w:val="20"/>
                <w:color w:val="auto"/>
              </w:rPr>
            </w:pPr>
            <w:r>
              <w:rPr>
                <w:rFonts w:ascii="Arial" w:cs="Arial" w:eastAsia="Arial" w:hAnsi="Arial"/>
                <w:sz w:val="14"/>
                <w:szCs w:val="14"/>
                <w:b w:val="1"/>
                <w:bCs w:val="1"/>
                <w:color w:val="auto"/>
                <w:w w:val="96"/>
              </w:rPr>
              <w:t>ExxonMobil</w:t>
            </w:r>
          </w:p>
        </w:tc>
        <w:tc>
          <w:tcPr>
            <w:tcW w:w="0" w:type="dxa"/>
            <w:vAlign w:val="bottom"/>
          </w:tcPr>
          <w:p>
            <w:pPr>
              <w:spacing w:after="0"/>
              <w:rPr>
                <w:sz w:val="1"/>
                <w:szCs w:val="1"/>
                <w:color w:val="auto"/>
              </w:rPr>
            </w:pPr>
          </w:p>
        </w:tc>
      </w:tr>
      <w:tr>
        <w:trPr>
          <w:trHeight w:val="200"/>
        </w:trPr>
        <w:tc>
          <w:tcPr>
            <w:tcW w:w="3300" w:type="dxa"/>
            <w:vAlign w:val="bottom"/>
          </w:tcPr>
          <w:p>
            <w:pPr>
              <w:spacing w:after="0"/>
              <w:rPr>
                <w:sz w:val="17"/>
                <w:szCs w:val="17"/>
                <w:color w:val="auto"/>
              </w:rPr>
            </w:pPr>
          </w:p>
        </w:tc>
        <w:tc>
          <w:tcPr>
            <w:tcW w:w="5080" w:type="dxa"/>
            <w:vAlign w:val="bottom"/>
          </w:tcPr>
          <w:p>
            <w:pPr>
              <w:spacing w:after="0"/>
              <w:rPr>
                <w:sz w:val="17"/>
                <w:szCs w:val="17"/>
                <w:color w:val="auto"/>
              </w:rPr>
            </w:pPr>
          </w:p>
        </w:tc>
        <w:tc>
          <w:tcPr>
            <w:tcW w:w="1360" w:type="dxa"/>
            <w:vAlign w:val="bottom"/>
          </w:tcPr>
          <w:p>
            <w:pPr>
              <w:jc w:val="right"/>
              <w:ind w:right="131"/>
              <w:spacing w:after="0"/>
              <w:rPr>
                <w:sz w:val="20"/>
                <w:szCs w:val="20"/>
                <w:color w:val="auto"/>
              </w:rPr>
            </w:pPr>
            <w:r>
              <w:rPr>
                <w:rFonts w:ascii="Arial" w:cs="Arial" w:eastAsia="Arial" w:hAnsi="Arial"/>
                <w:sz w:val="14"/>
                <w:szCs w:val="14"/>
                <w:b w:val="1"/>
                <w:bCs w:val="1"/>
                <w:color w:val="auto"/>
              </w:rPr>
              <w:t xml:space="preserve">Share KBD </w:t>
            </w:r>
            <w:r>
              <w:rPr>
                <w:rFonts w:ascii="Arial" w:cs="Arial" w:eastAsia="Arial" w:hAnsi="Arial"/>
                <w:sz w:val="14"/>
                <w:szCs w:val="14"/>
                <w:b w:val="1"/>
                <w:bCs w:val="1"/>
                <w:i w:val="1"/>
                <w:iCs w:val="1"/>
                <w:color w:val="auto"/>
              </w:rPr>
              <w:t>(2)</w:t>
            </w:r>
          </w:p>
        </w:tc>
        <w:tc>
          <w:tcPr>
            <w:tcW w:w="1480" w:type="dxa"/>
            <w:vAlign w:val="bottom"/>
          </w:tcPr>
          <w:p>
            <w:pPr>
              <w:jc w:val="center"/>
              <w:ind w:left="12"/>
              <w:spacing w:after="0"/>
              <w:rPr>
                <w:sz w:val="20"/>
                <w:szCs w:val="20"/>
                <w:color w:val="auto"/>
              </w:rPr>
            </w:pPr>
            <w:r>
              <w:rPr>
                <w:rFonts w:ascii="Arial" w:cs="Arial" w:eastAsia="Arial" w:hAnsi="Arial"/>
                <w:sz w:val="14"/>
                <w:szCs w:val="14"/>
                <w:b w:val="1"/>
                <w:bCs w:val="1"/>
                <w:color w:val="auto"/>
                <w:w w:val="98"/>
              </w:rPr>
              <w:t>Interest %</w:t>
            </w:r>
          </w:p>
        </w:tc>
        <w:tc>
          <w:tcPr>
            <w:tcW w:w="0" w:type="dxa"/>
            <w:vAlign w:val="bottom"/>
          </w:tcPr>
          <w:p>
            <w:pPr>
              <w:spacing w:after="0"/>
              <w:rPr>
                <w:sz w:val="1"/>
                <w:szCs w:val="1"/>
                <w:color w:val="auto"/>
              </w:rPr>
            </w:pPr>
          </w:p>
        </w:tc>
      </w:tr>
      <w:tr>
        <w:trPr>
          <w:trHeight w:val="39"/>
        </w:trPr>
        <w:tc>
          <w:tcPr>
            <w:tcW w:w="3300" w:type="dxa"/>
            <w:vAlign w:val="bottom"/>
            <w:tcBorders>
              <w:bottom w:val="single" w:sz="8" w:color="auto"/>
            </w:tcBorders>
          </w:tcPr>
          <w:p>
            <w:pPr>
              <w:spacing w:after="0"/>
              <w:rPr>
                <w:sz w:val="3"/>
                <w:szCs w:val="3"/>
                <w:color w:val="auto"/>
              </w:rPr>
            </w:pPr>
          </w:p>
        </w:tc>
        <w:tc>
          <w:tcPr>
            <w:tcW w:w="508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2"/>
        </w:trPr>
        <w:tc>
          <w:tcPr>
            <w:tcW w:w="3300" w:type="dxa"/>
            <w:vAlign w:val="bottom"/>
          </w:tcPr>
          <w:p>
            <w:pPr>
              <w:ind w:left="20"/>
              <w:spacing w:after="0"/>
              <w:rPr>
                <w:sz w:val="20"/>
                <w:szCs w:val="20"/>
                <w:color w:val="auto"/>
              </w:rPr>
            </w:pPr>
            <w:r>
              <w:rPr>
                <w:rFonts w:ascii="Arial" w:cs="Arial" w:eastAsia="Arial" w:hAnsi="Arial"/>
                <w:sz w:val="18"/>
                <w:szCs w:val="18"/>
                <w:b w:val="1"/>
                <w:bCs w:val="1"/>
                <w:color w:val="auto"/>
              </w:rPr>
              <w:t>United States</w:t>
            </w:r>
          </w:p>
        </w:tc>
        <w:tc>
          <w:tcPr>
            <w:tcW w:w="50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00" w:type="dxa"/>
            <w:vAlign w:val="bottom"/>
          </w:tcPr>
          <w:p>
            <w:pPr>
              <w:ind w:left="480"/>
              <w:spacing w:after="0"/>
              <w:rPr>
                <w:sz w:val="20"/>
                <w:szCs w:val="20"/>
                <w:color w:val="auto"/>
              </w:rPr>
            </w:pPr>
            <w:r>
              <w:rPr>
                <w:rFonts w:ascii="Arial" w:cs="Arial" w:eastAsia="Arial" w:hAnsi="Arial"/>
                <w:sz w:val="18"/>
                <w:szCs w:val="18"/>
                <w:color w:val="auto"/>
              </w:rPr>
              <w:t>Joliet</w:t>
            </w:r>
          </w:p>
        </w:tc>
        <w:tc>
          <w:tcPr>
            <w:tcW w:w="5080" w:type="dxa"/>
            <w:vAlign w:val="bottom"/>
          </w:tcPr>
          <w:p>
            <w:pPr>
              <w:ind w:left="1040"/>
              <w:spacing w:after="0"/>
              <w:rPr>
                <w:sz w:val="20"/>
                <w:szCs w:val="20"/>
                <w:color w:val="auto"/>
              </w:rPr>
            </w:pPr>
            <w:r>
              <w:rPr>
                <w:rFonts w:ascii="Arial" w:cs="Arial" w:eastAsia="Arial" w:hAnsi="Arial"/>
                <w:sz w:val="18"/>
                <w:szCs w:val="18"/>
                <w:color w:val="auto"/>
              </w:rPr>
              <w:t>Illinois</w:t>
            </w:r>
          </w:p>
        </w:tc>
        <w:tc>
          <w:tcPr>
            <w:tcW w:w="1360" w:type="dxa"/>
            <w:vAlign w:val="bottom"/>
          </w:tcPr>
          <w:p>
            <w:pPr>
              <w:jc w:val="right"/>
              <w:spacing w:after="0"/>
              <w:rPr>
                <w:sz w:val="20"/>
                <w:szCs w:val="20"/>
                <w:color w:val="auto"/>
              </w:rPr>
            </w:pPr>
            <w:r>
              <w:rPr>
                <w:rFonts w:ascii="Arial" w:cs="Arial" w:eastAsia="Arial" w:hAnsi="Arial"/>
                <w:sz w:val="18"/>
                <w:szCs w:val="18"/>
                <w:color w:val="auto"/>
              </w:rPr>
              <w:t>254</w:t>
            </w:r>
          </w:p>
        </w:tc>
        <w:tc>
          <w:tcPr>
            <w:tcW w:w="1480" w:type="dxa"/>
            <w:vAlign w:val="bottom"/>
          </w:tcPr>
          <w:p>
            <w:pPr>
              <w:jc w:val="center"/>
              <w:ind w:left="12"/>
              <w:spacing w:after="0"/>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r>
        <w:trPr>
          <w:trHeight w:val="230"/>
        </w:trPr>
        <w:tc>
          <w:tcPr>
            <w:tcW w:w="3300" w:type="dxa"/>
            <w:vAlign w:val="bottom"/>
          </w:tcPr>
          <w:p>
            <w:pPr>
              <w:ind w:left="480"/>
              <w:spacing w:after="0"/>
              <w:rPr>
                <w:sz w:val="20"/>
                <w:szCs w:val="20"/>
                <w:color w:val="auto"/>
              </w:rPr>
            </w:pPr>
            <w:r>
              <w:rPr>
                <w:rFonts w:ascii="Arial" w:cs="Arial" w:eastAsia="Arial" w:hAnsi="Arial"/>
                <w:sz w:val="18"/>
                <w:szCs w:val="18"/>
                <w:color w:val="auto"/>
              </w:rPr>
              <w:t>Baton Rouge</w:t>
            </w:r>
          </w:p>
        </w:tc>
        <w:tc>
          <w:tcPr>
            <w:tcW w:w="5080" w:type="dxa"/>
            <w:vAlign w:val="bottom"/>
          </w:tcPr>
          <w:p>
            <w:pPr>
              <w:ind w:left="1040"/>
              <w:spacing w:after="0"/>
              <w:rPr>
                <w:sz w:val="20"/>
                <w:szCs w:val="20"/>
                <w:color w:val="auto"/>
              </w:rPr>
            </w:pPr>
            <w:r>
              <w:rPr>
                <w:rFonts w:ascii="Arial" w:cs="Arial" w:eastAsia="Arial" w:hAnsi="Arial"/>
                <w:sz w:val="18"/>
                <w:szCs w:val="18"/>
                <w:color w:val="auto"/>
              </w:rPr>
              <w:t>Louisiana</w:t>
            </w:r>
          </w:p>
        </w:tc>
        <w:tc>
          <w:tcPr>
            <w:tcW w:w="1360" w:type="dxa"/>
            <w:vAlign w:val="bottom"/>
          </w:tcPr>
          <w:p>
            <w:pPr>
              <w:jc w:val="right"/>
              <w:spacing w:after="0"/>
              <w:rPr>
                <w:sz w:val="20"/>
                <w:szCs w:val="20"/>
                <w:color w:val="auto"/>
              </w:rPr>
            </w:pPr>
            <w:r>
              <w:rPr>
                <w:rFonts w:ascii="Arial" w:cs="Arial" w:eastAsia="Arial" w:hAnsi="Arial"/>
                <w:sz w:val="18"/>
                <w:szCs w:val="18"/>
                <w:color w:val="auto"/>
              </w:rPr>
              <w:t>521</w:t>
            </w:r>
          </w:p>
        </w:tc>
        <w:tc>
          <w:tcPr>
            <w:tcW w:w="1480" w:type="dxa"/>
            <w:vAlign w:val="bottom"/>
          </w:tcPr>
          <w:p>
            <w:pPr>
              <w:jc w:val="center"/>
              <w:ind w:left="12"/>
              <w:spacing w:after="0"/>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r>
        <w:trPr>
          <w:trHeight w:val="229"/>
        </w:trPr>
        <w:tc>
          <w:tcPr>
            <w:tcW w:w="3300" w:type="dxa"/>
            <w:vAlign w:val="bottom"/>
          </w:tcPr>
          <w:p>
            <w:pPr>
              <w:ind w:left="480"/>
              <w:spacing w:after="0"/>
              <w:rPr>
                <w:sz w:val="20"/>
                <w:szCs w:val="20"/>
                <w:color w:val="auto"/>
              </w:rPr>
            </w:pPr>
            <w:r>
              <w:rPr>
                <w:rFonts w:ascii="Arial" w:cs="Arial" w:eastAsia="Arial" w:hAnsi="Arial"/>
                <w:sz w:val="18"/>
                <w:szCs w:val="18"/>
                <w:color w:val="auto"/>
              </w:rPr>
              <w:t>Billings</w:t>
            </w:r>
          </w:p>
        </w:tc>
        <w:tc>
          <w:tcPr>
            <w:tcW w:w="5080" w:type="dxa"/>
            <w:vAlign w:val="bottom"/>
          </w:tcPr>
          <w:p>
            <w:pPr>
              <w:ind w:left="1040"/>
              <w:spacing w:after="0"/>
              <w:rPr>
                <w:sz w:val="20"/>
                <w:szCs w:val="20"/>
                <w:color w:val="auto"/>
              </w:rPr>
            </w:pPr>
            <w:r>
              <w:rPr>
                <w:rFonts w:ascii="Arial" w:cs="Arial" w:eastAsia="Arial" w:hAnsi="Arial"/>
                <w:sz w:val="18"/>
                <w:szCs w:val="18"/>
                <w:color w:val="auto"/>
              </w:rPr>
              <w:t>Montana</w:t>
            </w:r>
          </w:p>
        </w:tc>
        <w:tc>
          <w:tcPr>
            <w:tcW w:w="1360" w:type="dxa"/>
            <w:vAlign w:val="bottom"/>
          </w:tcPr>
          <w:p>
            <w:pPr>
              <w:jc w:val="right"/>
              <w:spacing w:after="0"/>
              <w:rPr>
                <w:sz w:val="20"/>
                <w:szCs w:val="20"/>
                <w:color w:val="auto"/>
              </w:rPr>
            </w:pPr>
            <w:r>
              <w:rPr>
                <w:rFonts w:ascii="Arial" w:cs="Arial" w:eastAsia="Arial" w:hAnsi="Arial"/>
                <w:sz w:val="18"/>
                <w:szCs w:val="18"/>
                <w:color w:val="auto"/>
              </w:rPr>
              <w:t>60</w:t>
            </w:r>
          </w:p>
        </w:tc>
        <w:tc>
          <w:tcPr>
            <w:tcW w:w="1480" w:type="dxa"/>
            <w:vAlign w:val="bottom"/>
          </w:tcPr>
          <w:p>
            <w:pPr>
              <w:jc w:val="center"/>
              <w:ind w:left="12"/>
              <w:spacing w:after="0"/>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r>
        <w:trPr>
          <w:trHeight w:val="230"/>
        </w:trPr>
        <w:tc>
          <w:tcPr>
            <w:tcW w:w="3300" w:type="dxa"/>
            <w:vAlign w:val="bottom"/>
          </w:tcPr>
          <w:p>
            <w:pPr>
              <w:ind w:left="480"/>
              <w:spacing w:after="0"/>
              <w:rPr>
                <w:sz w:val="20"/>
                <w:szCs w:val="20"/>
                <w:color w:val="auto"/>
              </w:rPr>
            </w:pPr>
            <w:r>
              <w:rPr>
                <w:rFonts w:ascii="Arial" w:cs="Arial" w:eastAsia="Arial" w:hAnsi="Arial"/>
                <w:sz w:val="18"/>
                <w:szCs w:val="18"/>
                <w:color w:val="auto"/>
              </w:rPr>
              <w:t>Baytown</w:t>
            </w:r>
          </w:p>
        </w:tc>
        <w:tc>
          <w:tcPr>
            <w:tcW w:w="5080" w:type="dxa"/>
            <w:vAlign w:val="bottom"/>
          </w:tcPr>
          <w:p>
            <w:pPr>
              <w:ind w:left="1040"/>
              <w:spacing w:after="0"/>
              <w:rPr>
                <w:sz w:val="20"/>
                <w:szCs w:val="20"/>
                <w:color w:val="auto"/>
              </w:rPr>
            </w:pPr>
            <w:r>
              <w:rPr>
                <w:rFonts w:ascii="Arial" w:cs="Arial" w:eastAsia="Arial" w:hAnsi="Arial"/>
                <w:sz w:val="18"/>
                <w:szCs w:val="18"/>
                <w:color w:val="auto"/>
              </w:rPr>
              <w:t>Texas</w:t>
            </w:r>
          </w:p>
        </w:tc>
        <w:tc>
          <w:tcPr>
            <w:tcW w:w="1360" w:type="dxa"/>
            <w:vAlign w:val="bottom"/>
          </w:tcPr>
          <w:p>
            <w:pPr>
              <w:jc w:val="right"/>
              <w:spacing w:after="0"/>
              <w:rPr>
                <w:sz w:val="20"/>
                <w:szCs w:val="20"/>
                <w:color w:val="auto"/>
              </w:rPr>
            </w:pPr>
            <w:r>
              <w:rPr>
                <w:rFonts w:ascii="Arial" w:cs="Arial" w:eastAsia="Arial" w:hAnsi="Arial"/>
                <w:sz w:val="18"/>
                <w:szCs w:val="18"/>
                <w:color w:val="auto"/>
              </w:rPr>
              <w:t>561</w:t>
            </w:r>
          </w:p>
        </w:tc>
        <w:tc>
          <w:tcPr>
            <w:tcW w:w="1480" w:type="dxa"/>
            <w:vAlign w:val="bottom"/>
          </w:tcPr>
          <w:p>
            <w:pPr>
              <w:jc w:val="center"/>
              <w:ind w:left="12"/>
              <w:spacing w:after="0"/>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r>
        <w:trPr>
          <w:trHeight w:val="230"/>
        </w:trPr>
        <w:tc>
          <w:tcPr>
            <w:tcW w:w="3300" w:type="dxa"/>
            <w:vAlign w:val="bottom"/>
          </w:tcPr>
          <w:p>
            <w:pPr>
              <w:ind w:left="480"/>
              <w:spacing w:after="0"/>
              <w:rPr>
                <w:sz w:val="20"/>
                <w:szCs w:val="20"/>
                <w:color w:val="auto"/>
              </w:rPr>
            </w:pPr>
            <w:r>
              <w:rPr>
                <w:rFonts w:ascii="Arial" w:cs="Arial" w:eastAsia="Arial" w:hAnsi="Arial"/>
                <w:sz w:val="18"/>
                <w:szCs w:val="18"/>
                <w:color w:val="auto"/>
              </w:rPr>
              <w:t>Beaumont</w:t>
            </w:r>
          </w:p>
        </w:tc>
        <w:tc>
          <w:tcPr>
            <w:tcW w:w="5080" w:type="dxa"/>
            <w:vAlign w:val="bottom"/>
          </w:tcPr>
          <w:p>
            <w:pPr>
              <w:ind w:left="1040"/>
              <w:spacing w:after="0"/>
              <w:rPr>
                <w:sz w:val="20"/>
                <w:szCs w:val="20"/>
                <w:color w:val="auto"/>
              </w:rPr>
            </w:pPr>
            <w:r>
              <w:rPr>
                <w:rFonts w:ascii="Arial" w:cs="Arial" w:eastAsia="Arial" w:hAnsi="Arial"/>
                <w:sz w:val="18"/>
                <w:szCs w:val="18"/>
                <w:color w:val="auto"/>
              </w:rPr>
              <w:t>Texas</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w:t>
            </w:r>
          </w:p>
        </w:tc>
        <w:tc>
          <w:tcPr>
            <w:tcW w:w="1480" w:type="dxa"/>
            <w:vAlign w:val="bottom"/>
          </w:tcPr>
          <w:p>
            <w:pPr>
              <w:jc w:val="center"/>
              <w:ind w:left="12"/>
              <w:spacing w:after="0"/>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r>
        <w:trPr>
          <w:trHeight w:val="224"/>
        </w:trPr>
        <w:tc>
          <w:tcPr>
            <w:tcW w:w="3300" w:type="dxa"/>
            <w:vAlign w:val="bottom"/>
          </w:tcPr>
          <w:p>
            <w:pPr>
              <w:ind w:left="880"/>
              <w:spacing w:after="0"/>
              <w:rPr>
                <w:sz w:val="20"/>
                <w:szCs w:val="20"/>
                <w:color w:val="auto"/>
              </w:rPr>
            </w:pPr>
            <w:r>
              <w:rPr>
                <w:rFonts w:ascii="Arial" w:cs="Arial" w:eastAsia="Arial" w:hAnsi="Arial"/>
                <w:sz w:val="18"/>
                <w:szCs w:val="18"/>
                <w:color w:val="auto"/>
              </w:rPr>
              <w:t>Total United States</w:t>
            </w:r>
          </w:p>
        </w:tc>
        <w:tc>
          <w:tcPr>
            <w:tcW w:w="50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1,765</w:t>
            </w: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4"/>
        </w:trPr>
        <w:tc>
          <w:tcPr>
            <w:tcW w:w="3300" w:type="dxa"/>
            <w:vAlign w:val="bottom"/>
          </w:tcPr>
          <w:p>
            <w:pPr>
              <w:ind w:left="20"/>
              <w:spacing w:after="0"/>
              <w:rPr>
                <w:sz w:val="20"/>
                <w:szCs w:val="20"/>
                <w:color w:val="auto"/>
              </w:rPr>
            </w:pPr>
            <w:r>
              <w:rPr>
                <w:rFonts w:ascii="Arial" w:cs="Arial" w:eastAsia="Arial" w:hAnsi="Arial"/>
                <w:sz w:val="18"/>
                <w:szCs w:val="18"/>
                <w:b w:val="1"/>
                <w:bCs w:val="1"/>
                <w:color w:val="auto"/>
              </w:rPr>
              <w:t>Canada</w:t>
            </w:r>
          </w:p>
        </w:tc>
        <w:tc>
          <w:tcPr>
            <w:tcW w:w="50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300" w:type="dxa"/>
            <w:vAlign w:val="bottom"/>
          </w:tcPr>
          <w:p>
            <w:pPr>
              <w:ind w:left="480"/>
              <w:spacing w:after="0"/>
              <w:rPr>
                <w:sz w:val="20"/>
                <w:szCs w:val="20"/>
                <w:color w:val="auto"/>
              </w:rPr>
            </w:pPr>
            <w:r>
              <w:rPr>
                <w:rFonts w:ascii="Arial" w:cs="Arial" w:eastAsia="Arial" w:hAnsi="Arial"/>
                <w:sz w:val="18"/>
                <w:szCs w:val="18"/>
                <w:color w:val="auto"/>
              </w:rPr>
              <w:t>Strathcona</w:t>
            </w:r>
          </w:p>
        </w:tc>
        <w:tc>
          <w:tcPr>
            <w:tcW w:w="5080" w:type="dxa"/>
            <w:vAlign w:val="bottom"/>
          </w:tcPr>
          <w:p>
            <w:pPr>
              <w:ind w:left="1040"/>
              <w:spacing w:after="0"/>
              <w:rPr>
                <w:sz w:val="20"/>
                <w:szCs w:val="20"/>
                <w:color w:val="auto"/>
              </w:rPr>
            </w:pPr>
            <w:r>
              <w:rPr>
                <w:rFonts w:ascii="Arial" w:cs="Arial" w:eastAsia="Arial" w:hAnsi="Arial"/>
                <w:sz w:val="18"/>
                <w:szCs w:val="18"/>
                <w:color w:val="auto"/>
              </w:rPr>
              <w:t>Alberta</w:t>
            </w:r>
          </w:p>
        </w:tc>
        <w:tc>
          <w:tcPr>
            <w:tcW w:w="1360" w:type="dxa"/>
            <w:vAlign w:val="bottom"/>
          </w:tcPr>
          <w:p>
            <w:pPr>
              <w:jc w:val="right"/>
              <w:spacing w:after="0"/>
              <w:rPr>
                <w:sz w:val="20"/>
                <w:szCs w:val="20"/>
                <w:color w:val="auto"/>
              </w:rPr>
            </w:pPr>
            <w:r>
              <w:rPr>
                <w:rFonts w:ascii="Arial" w:cs="Arial" w:eastAsia="Arial" w:hAnsi="Arial"/>
                <w:sz w:val="18"/>
                <w:szCs w:val="18"/>
                <w:color w:val="auto"/>
              </w:rPr>
              <w:t>196</w:t>
            </w:r>
          </w:p>
        </w:tc>
        <w:tc>
          <w:tcPr>
            <w:tcW w:w="1480" w:type="dxa"/>
            <w:vAlign w:val="bottom"/>
          </w:tcPr>
          <w:p>
            <w:pPr>
              <w:jc w:val="center"/>
              <w:ind w:left="12"/>
              <w:spacing w:after="0"/>
              <w:rPr>
                <w:sz w:val="20"/>
                <w:szCs w:val="20"/>
                <w:color w:val="auto"/>
              </w:rPr>
            </w:pPr>
            <w:r>
              <w:rPr>
                <w:rFonts w:ascii="Arial" w:cs="Arial" w:eastAsia="Arial" w:hAnsi="Arial"/>
                <w:sz w:val="18"/>
                <w:szCs w:val="18"/>
                <w:color w:val="auto"/>
                <w:w w:val="85"/>
              </w:rPr>
              <w:t>69.6</w:t>
            </w:r>
          </w:p>
        </w:tc>
        <w:tc>
          <w:tcPr>
            <w:tcW w:w="0" w:type="dxa"/>
            <w:vAlign w:val="bottom"/>
          </w:tcPr>
          <w:p>
            <w:pPr>
              <w:spacing w:after="0"/>
              <w:rPr>
                <w:sz w:val="1"/>
                <w:szCs w:val="1"/>
                <w:color w:val="auto"/>
              </w:rPr>
            </w:pPr>
          </w:p>
        </w:tc>
      </w:tr>
      <w:tr>
        <w:trPr>
          <w:trHeight w:val="230"/>
        </w:trPr>
        <w:tc>
          <w:tcPr>
            <w:tcW w:w="3300" w:type="dxa"/>
            <w:vAlign w:val="bottom"/>
          </w:tcPr>
          <w:p>
            <w:pPr>
              <w:ind w:left="480"/>
              <w:spacing w:after="0"/>
              <w:rPr>
                <w:sz w:val="20"/>
                <w:szCs w:val="20"/>
                <w:color w:val="auto"/>
              </w:rPr>
            </w:pPr>
            <w:r>
              <w:rPr>
                <w:rFonts w:ascii="Arial" w:cs="Arial" w:eastAsia="Arial" w:hAnsi="Arial"/>
                <w:sz w:val="18"/>
                <w:szCs w:val="18"/>
                <w:color w:val="auto"/>
              </w:rPr>
              <w:t>Nanticoke</w:t>
            </w:r>
          </w:p>
        </w:tc>
        <w:tc>
          <w:tcPr>
            <w:tcW w:w="5080" w:type="dxa"/>
            <w:vAlign w:val="bottom"/>
          </w:tcPr>
          <w:p>
            <w:pPr>
              <w:ind w:left="1040"/>
              <w:spacing w:after="0"/>
              <w:rPr>
                <w:sz w:val="20"/>
                <w:szCs w:val="20"/>
                <w:color w:val="auto"/>
              </w:rPr>
            </w:pPr>
            <w:r>
              <w:rPr>
                <w:rFonts w:ascii="Arial" w:cs="Arial" w:eastAsia="Arial" w:hAnsi="Arial"/>
                <w:sz w:val="18"/>
                <w:szCs w:val="18"/>
                <w:color w:val="auto"/>
              </w:rPr>
              <w:t>Ontario</w:t>
            </w:r>
          </w:p>
        </w:tc>
        <w:tc>
          <w:tcPr>
            <w:tcW w:w="1360" w:type="dxa"/>
            <w:vAlign w:val="bottom"/>
          </w:tcPr>
          <w:p>
            <w:pPr>
              <w:jc w:val="right"/>
              <w:spacing w:after="0"/>
              <w:rPr>
                <w:sz w:val="20"/>
                <w:szCs w:val="20"/>
                <w:color w:val="auto"/>
              </w:rPr>
            </w:pPr>
            <w:r>
              <w:rPr>
                <w:rFonts w:ascii="Arial" w:cs="Arial" w:eastAsia="Arial" w:hAnsi="Arial"/>
                <w:sz w:val="18"/>
                <w:szCs w:val="18"/>
                <w:color w:val="auto"/>
              </w:rPr>
              <w:t>113</w:t>
            </w:r>
          </w:p>
        </w:tc>
        <w:tc>
          <w:tcPr>
            <w:tcW w:w="1480" w:type="dxa"/>
            <w:vAlign w:val="bottom"/>
          </w:tcPr>
          <w:p>
            <w:pPr>
              <w:jc w:val="center"/>
              <w:ind w:left="12"/>
              <w:spacing w:after="0"/>
              <w:rPr>
                <w:sz w:val="20"/>
                <w:szCs w:val="20"/>
                <w:color w:val="auto"/>
              </w:rPr>
            </w:pPr>
            <w:r>
              <w:rPr>
                <w:rFonts w:ascii="Arial" w:cs="Arial" w:eastAsia="Arial" w:hAnsi="Arial"/>
                <w:sz w:val="18"/>
                <w:szCs w:val="18"/>
                <w:color w:val="auto"/>
                <w:w w:val="85"/>
              </w:rPr>
              <w:t>69.6</w:t>
            </w:r>
          </w:p>
        </w:tc>
        <w:tc>
          <w:tcPr>
            <w:tcW w:w="0" w:type="dxa"/>
            <w:vAlign w:val="bottom"/>
          </w:tcPr>
          <w:p>
            <w:pPr>
              <w:spacing w:after="0"/>
              <w:rPr>
                <w:sz w:val="1"/>
                <w:szCs w:val="1"/>
                <w:color w:val="auto"/>
              </w:rPr>
            </w:pPr>
          </w:p>
        </w:tc>
      </w:tr>
      <w:tr>
        <w:trPr>
          <w:trHeight w:val="230"/>
        </w:trPr>
        <w:tc>
          <w:tcPr>
            <w:tcW w:w="3300" w:type="dxa"/>
            <w:vAlign w:val="bottom"/>
          </w:tcPr>
          <w:p>
            <w:pPr>
              <w:ind w:left="480"/>
              <w:spacing w:after="0"/>
              <w:rPr>
                <w:sz w:val="20"/>
                <w:szCs w:val="20"/>
                <w:color w:val="auto"/>
              </w:rPr>
            </w:pPr>
            <w:r>
              <w:rPr>
                <w:rFonts w:ascii="Arial" w:cs="Arial" w:eastAsia="Arial" w:hAnsi="Arial"/>
                <w:sz w:val="18"/>
                <w:szCs w:val="18"/>
                <w:color w:val="auto"/>
              </w:rPr>
              <w:t>Sarnia</w:t>
            </w:r>
          </w:p>
        </w:tc>
        <w:tc>
          <w:tcPr>
            <w:tcW w:w="5080" w:type="dxa"/>
            <w:vAlign w:val="bottom"/>
          </w:tcPr>
          <w:p>
            <w:pPr>
              <w:ind w:left="1040"/>
              <w:spacing w:after="0"/>
              <w:rPr>
                <w:sz w:val="20"/>
                <w:szCs w:val="20"/>
                <w:color w:val="auto"/>
              </w:rPr>
            </w:pPr>
            <w:r>
              <w:rPr>
                <w:rFonts w:ascii="Arial" w:cs="Arial" w:eastAsia="Arial" w:hAnsi="Arial"/>
                <w:sz w:val="18"/>
                <w:szCs w:val="18"/>
                <w:color w:val="auto"/>
              </w:rPr>
              <w:t>Ontario</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1480" w:type="dxa"/>
            <w:vAlign w:val="bottom"/>
          </w:tcPr>
          <w:p>
            <w:pPr>
              <w:jc w:val="center"/>
              <w:ind w:left="12"/>
              <w:spacing w:after="0"/>
              <w:rPr>
                <w:sz w:val="20"/>
                <w:szCs w:val="20"/>
                <w:color w:val="auto"/>
              </w:rPr>
            </w:pPr>
            <w:r>
              <w:rPr>
                <w:rFonts w:ascii="Arial" w:cs="Arial" w:eastAsia="Arial" w:hAnsi="Arial"/>
                <w:sz w:val="18"/>
                <w:szCs w:val="18"/>
                <w:color w:val="auto"/>
                <w:w w:val="85"/>
              </w:rPr>
              <w:t>69.6</w:t>
            </w:r>
          </w:p>
        </w:tc>
        <w:tc>
          <w:tcPr>
            <w:tcW w:w="0" w:type="dxa"/>
            <w:vAlign w:val="bottom"/>
          </w:tcPr>
          <w:p>
            <w:pPr>
              <w:spacing w:after="0"/>
              <w:rPr>
                <w:sz w:val="1"/>
                <w:szCs w:val="1"/>
                <w:color w:val="auto"/>
              </w:rPr>
            </w:pPr>
          </w:p>
        </w:tc>
      </w:tr>
      <w:tr>
        <w:trPr>
          <w:trHeight w:val="224"/>
        </w:trPr>
        <w:tc>
          <w:tcPr>
            <w:tcW w:w="3300" w:type="dxa"/>
            <w:vAlign w:val="bottom"/>
          </w:tcPr>
          <w:p>
            <w:pPr>
              <w:ind w:left="880"/>
              <w:spacing w:after="0"/>
              <w:rPr>
                <w:sz w:val="20"/>
                <w:szCs w:val="20"/>
                <w:color w:val="auto"/>
              </w:rPr>
            </w:pPr>
            <w:r>
              <w:rPr>
                <w:rFonts w:ascii="Arial" w:cs="Arial" w:eastAsia="Arial" w:hAnsi="Arial"/>
                <w:sz w:val="18"/>
                <w:szCs w:val="18"/>
                <w:color w:val="auto"/>
              </w:rPr>
              <w:t>Total Canada</w:t>
            </w:r>
          </w:p>
        </w:tc>
        <w:tc>
          <w:tcPr>
            <w:tcW w:w="50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428</w:t>
            </w: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4"/>
        </w:trPr>
        <w:tc>
          <w:tcPr>
            <w:tcW w:w="3300" w:type="dxa"/>
            <w:vAlign w:val="bottom"/>
          </w:tcPr>
          <w:p>
            <w:pPr>
              <w:ind w:left="20"/>
              <w:spacing w:after="0"/>
              <w:rPr>
                <w:sz w:val="20"/>
                <w:szCs w:val="20"/>
                <w:color w:val="auto"/>
              </w:rPr>
            </w:pPr>
            <w:r>
              <w:rPr>
                <w:rFonts w:ascii="Arial" w:cs="Arial" w:eastAsia="Arial" w:hAnsi="Arial"/>
                <w:sz w:val="18"/>
                <w:szCs w:val="18"/>
                <w:b w:val="1"/>
                <w:bCs w:val="1"/>
                <w:color w:val="auto"/>
              </w:rPr>
              <w:t>Europe</w:t>
            </w:r>
          </w:p>
        </w:tc>
        <w:tc>
          <w:tcPr>
            <w:tcW w:w="50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300" w:type="dxa"/>
            <w:vAlign w:val="bottom"/>
          </w:tcPr>
          <w:p>
            <w:pPr>
              <w:ind w:left="480"/>
              <w:spacing w:after="0"/>
              <w:rPr>
                <w:sz w:val="20"/>
                <w:szCs w:val="20"/>
                <w:color w:val="auto"/>
              </w:rPr>
            </w:pPr>
            <w:r>
              <w:rPr>
                <w:rFonts w:ascii="Arial" w:cs="Arial" w:eastAsia="Arial" w:hAnsi="Arial"/>
                <w:sz w:val="18"/>
                <w:szCs w:val="18"/>
                <w:color w:val="auto"/>
              </w:rPr>
              <w:t>Antwerp</w:t>
            </w:r>
          </w:p>
        </w:tc>
        <w:tc>
          <w:tcPr>
            <w:tcW w:w="5080" w:type="dxa"/>
            <w:vAlign w:val="bottom"/>
          </w:tcPr>
          <w:p>
            <w:pPr>
              <w:ind w:left="1040"/>
              <w:spacing w:after="0"/>
              <w:rPr>
                <w:sz w:val="20"/>
                <w:szCs w:val="20"/>
                <w:color w:val="auto"/>
              </w:rPr>
            </w:pPr>
            <w:r>
              <w:rPr>
                <w:rFonts w:ascii="Arial" w:cs="Arial" w:eastAsia="Arial" w:hAnsi="Arial"/>
                <w:sz w:val="18"/>
                <w:szCs w:val="18"/>
                <w:color w:val="auto"/>
              </w:rPr>
              <w:t>Belgium</w:t>
            </w:r>
          </w:p>
        </w:tc>
        <w:tc>
          <w:tcPr>
            <w:tcW w:w="1360" w:type="dxa"/>
            <w:vAlign w:val="bottom"/>
          </w:tcPr>
          <w:p>
            <w:pPr>
              <w:jc w:val="right"/>
              <w:spacing w:after="0"/>
              <w:rPr>
                <w:sz w:val="20"/>
                <w:szCs w:val="20"/>
                <w:color w:val="auto"/>
              </w:rPr>
            </w:pPr>
            <w:r>
              <w:rPr>
                <w:rFonts w:ascii="Arial" w:cs="Arial" w:eastAsia="Arial" w:hAnsi="Arial"/>
                <w:sz w:val="18"/>
                <w:szCs w:val="18"/>
                <w:color w:val="auto"/>
              </w:rPr>
              <w:t>307</w:t>
            </w:r>
          </w:p>
        </w:tc>
        <w:tc>
          <w:tcPr>
            <w:tcW w:w="1480" w:type="dxa"/>
            <w:vAlign w:val="bottom"/>
          </w:tcPr>
          <w:p>
            <w:pPr>
              <w:jc w:val="center"/>
              <w:ind w:left="12"/>
              <w:spacing w:after="0"/>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r>
        <w:trPr>
          <w:trHeight w:val="229"/>
        </w:trPr>
        <w:tc>
          <w:tcPr>
            <w:tcW w:w="3300" w:type="dxa"/>
            <w:vAlign w:val="bottom"/>
          </w:tcPr>
          <w:p>
            <w:pPr>
              <w:ind w:left="480"/>
              <w:spacing w:after="0"/>
              <w:rPr>
                <w:sz w:val="20"/>
                <w:szCs w:val="20"/>
                <w:color w:val="auto"/>
              </w:rPr>
            </w:pPr>
            <w:r>
              <w:rPr>
                <w:rFonts w:ascii="Arial" w:cs="Arial" w:eastAsia="Arial" w:hAnsi="Arial"/>
                <w:sz w:val="18"/>
                <w:szCs w:val="18"/>
                <w:color w:val="auto"/>
              </w:rPr>
              <w:t>Fos-sur-Mer</w:t>
            </w:r>
          </w:p>
        </w:tc>
        <w:tc>
          <w:tcPr>
            <w:tcW w:w="5080" w:type="dxa"/>
            <w:vAlign w:val="bottom"/>
          </w:tcPr>
          <w:p>
            <w:pPr>
              <w:ind w:left="1040"/>
              <w:spacing w:after="0"/>
              <w:rPr>
                <w:sz w:val="20"/>
                <w:szCs w:val="20"/>
                <w:color w:val="auto"/>
              </w:rPr>
            </w:pPr>
            <w:r>
              <w:rPr>
                <w:rFonts w:ascii="Arial" w:cs="Arial" w:eastAsia="Arial" w:hAnsi="Arial"/>
                <w:sz w:val="18"/>
                <w:szCs w:val="18"/>
                <w:color w:val="auto"/>
              </w:rPr>
              <w:t>France</w:t>
            </w:r>
          </w:p>
        </w:tc>
        <w:tc>
          <w:tcPr>
            <w:tcW w:w="1360" w:type="dxa"/>
            <w:vAlign w:val="bottom"/>
          </w:tcPr>
          <w:p>
            <w:pPr>
              <w:jc w:val="right"/>
              <w:spacing w:after="0"/>
              <w:rPr>
                <w:sz w:val="20"/>
                <w:szCs w:val="20"/>
                <w:color w:val="auto"/>
              </w:rPr>
            </w:pPr>
            <w:r>
              <w:rPr>
                <w:rFonts w:ascii="Arial" w:cs="Arial" w:eastAsia="Arial" w:hAnsi="Arial"/>
                <w:sz w:val="18"/>
                <w:szCs w:val="18"/>
                <w:color w:val="auto"/>
              </w:rPr>
              <w:t>133</w:t>
            </w:r>
          </w:p>
        </w:tc>
        <w:tc>
          <w:tcPr>
            <w:tcW w:w="1480" w:type="dxa"/>
            <w:vAlign w:val="bottom"/>
          </w:tcPr>
          <w:p>
            <w:pPr>
              <w:jc w:val="center"/>
              <w:ind w:left="12"/>
              <w:spacing w:after="0"/>
              <w:rPr>
                <w:sz w:val="20"/>
                <w:szCs w:val="20"/>
                <w:color w:val="auto"/>
              </w:rPr>
            </w:pPr>
            <w:r>
              <w:rPr>
                <w:rFonts w:ascii="Arial" w:cs="Arial" w:eastAsia="Arial" w:hAnsi="Arial"/>
                <w:sz w:val="18"/>
                <w:szCs w:val="18"/>
                <w:color w:val="auto"/>
                <w:w w:val="85"/>
              </w:rPr>
              <w:t>82.9</w:t>
            </w:r>
          </w:p>
        </w:tc>
        <w:tc>
          <w:tcPr>
            <w:tcW w:w="0" w:type="dxa"/>
            <w:vAlign w:val="bottom"/>
          </w:tcPr>
          <w:p>
            <w:pPr>
              <w:spacing w:after="0"/>
              <w:rPr>
                <w:sz w:val="1"/>
                <w:szCs w:val="1"/>
                <w:color w:val="auto"/>
              </w:rPr>
            </w:pPr>
          </w:p>
        </w:tc>
      </w:tr>
      <w:tr>
        <w:trPr>
          <w:trHeight w:val="230"/>
        </w:trPr>
        <w:tc>
          <w:tcPr>
            <w:tcW w:w="3300" w:type="dxa"/>
            <w:vAlign w:val="bottom"/>
          </w:tcPr>
          <w:p>
            <w:pPr>
              <w:ind w:left="480"/>
              <w:spacing w:after="0"/>
              <w:rPr>
                <w:sz w:val="20"/>
                <w:szCs w:val="20"/>
                <w:color w:val="auto"/>
              </w:rPr>
            </w:pPr>
            <w:r>
              <w:rPr>
                <w:rFonts w:ascii="Arial" w:cs="Arial" w:eastAsia="Arial" w:hAnsi="Arial"/>
                <w:sz w:val="18"/>
                <w:szCs w:val="18"/>
                <w:color w:val="auto"/>
              </w:rPr>
              <w:t>Gravenchon</w:t>
            </w:r>
          </w:p>
        </w:tc>
        <w:tc>
          <w:tcPr>
            <w:tcW w:w="5080" w:type="dxa"/>
            <w:vAlign w:val="bottom"/>
          </w:tcPr>
          <w:p>
            <w:pPr>
              <w:ind w:left="1040"/>
              <w:spacing w:after="0"/>
              <w:rPr>
                <w:sz w:val="20"/>
                <w:szCs w:val="20"/>
                <w:color w:val="auto"/>
              </w:rPr>
            </w:pPr>
            <w:r>
              <w:rPr>
                <w:rFonts w:ascii="Arial" w:cs="Arial" w:eastAsia="Arial" w:hAnsi="Arial"/>
                <w:sz w:val="18"/>
                <w:szCs w:val="18"/>
                <w:color w:val="auto"/>
              </w:rPr>
              <w:t>France</w:t>
            </w:r>
          </w:p>
        </w:tc>
        <w:tc>
          <w:tcPr>
            <w:tcW w:w="1360" w:type="dxa"/>
            <w:vAlign w:val="bottom"/>
          </w:tcPr>
          <w:p>
            <w:pPr>
              <w:jc w:val="right"/>
              <w:spacing w:after="0"/>
              <w:rPr>
                <w:sz w:val="20"/>
                <w:szCs w:val="20"/>
                <w:color w:val="auto"/>
              </w:rPr>
            </w:pPr>
            <w:r>
              <w:rPr>
                <w:rFonts w:ascii="Arial" w:cs="Arial" w:eastAsia="Arial" w:hAnsi="Arial"/>
                <w:sz w:val="18"/>
                <w:szCs w:val="18"/>
                <w:color w:val="auto"/>
              </w:rPr>
              <w:t>244</w:t>
            </w:r>
          </w:p>
        </w:tc>
        <w:tc>
          <w:tcPr>
            <w:tcW w:w="1480" w:type="dxa"/>
            <w:vAlign w:val="bottom"/>
          </w:tcPr>
          <w:p>
            <w:pPr>
              <w:jc w:val="center"/>
              <w:ind w:left="12"/>
              <w:spacing w:after="0"/>
              <w:rPr>
                <w:sz w:val="20"/>
                <w:szCs w:val="20"/>
                <w:color w:val="auto"/>
              </w:rPr>
            </w:pPr>
            <w:r>
              <w:rPr>
                <w:rFonts w:ascii="Arial" w:cs="Arial" w:eastAsia="Arial" w:hAnsi="Arial"/>
                <w:sz w:val="18"/>
                <w:szCs w:val="18"/>
                <w:color w:val="auto"/>
                <w:w w:val="85"/>
              </w:rPr>
              <w:t>82.9</w:t>
            </w:r>
          </w:p>
        </w:tc>
        <w:tc>
          <w:tcPr>
            <w:tcW w:w="0" w:type="dxa"/>
            <w:vAlign w:val="bottom"/>
          </w:tcPr>
          <w:p>
            <w:pPr>
              <w:spacing w:after="0"/>
              <w:rPr>
                <w:sz w:val="1"/>
                <w:szCs w:val="1"/>
                <w:color w:val="auto"/>
              </w:rPr>
            </w:pPr>
          </w:p>
        </w:tc>
      </w:tr>
      <w:tr>
        <w:trPr>
          <w:trHeight w:val="230"/>
        </w:trPr>
        <w:tc>
          <w:tcPr>
            <w:tcW w:w="3300" w:type="dxa"/>
            <w:vAlign w:val="bottom"/>
          </w:tcPr>
          <w:p>
            <w:pPr>
              <w:ind w:left="480"/>
              <w:spacing w:after="0"/>
              <w:rPr>
                <w:sz w:val="20"/>
                <w:szCs w:val="20"/>
                <w:color w:val="auto"/>
              </w:rPr>
            </w:pPr>
            <w:r>
              <w:rPr>
                <w:rFonts w:ascii="Arial" w:cs="Arial" w:eastAsia="Arial" w:hAnsi="Arial"/>
                <w:sz w:val="18"/>
                <w:szCs w:val="18"/>
                <w:color w:val="auto"/>
              </w:rPr>
              <w:t>Karlsruhe</w:t>
            </w:r>
          </w:p>
        </w:tc>
        <w:tc>
          <w:tcPr>
            <w:tcW w:w="5080" w:type="dxa"/>
            <w:vAlign w:val="bottom"/>
          </w:tcPr>
          <w:p>
            <w:pPr>
              <w:ind w:left="1040"/>
              <w:spacing w:after="0"/>
              <w:rPr>
                <w:sz w:val="20"/>
                <w:szCs w:val="20"/>
                <w:color w:val="auto"/>
              </w:rPr>
            </w:pPr>
            <w:r>
              <w:rPr>
                <w:rFonts w:ascii="Arial" w:cs="Arial" w:eastAsia="Arial" w:hAnsi="Arial"/>
                <w:sz w:val="18"/>
                <w:szCs w:val="18"/>
                <w:color w:val="auto"/>
              </w:rPr>
              <w:t>Germany</w:t>
            </w:r>
          </w:p>
        </w:tc>
        <w:tc>
          <w:tcPr>
            <w:tcW w:w="1360" w:type="dxa"/>
            <w:vAlign w:val="bottom"/>
          </w:tcPr>
          <w:p>
            <w:pPr>
              <w:jc w:val="right"/>
              <w:spacing w:after="0"/>
              <w:rPr>
                <w:sz w:val="20"/>
                <w:szCs w:val="20"/>
                <w:color w:val="auto"/>
              </w:rPr>
            </w:pPr>
            <w:r>
              <w:rPr>
                <w:rFonts w:ascii="Arial" w:cs="Arial" w:eastAsia="Arial" w:hAnsi="Arial"/>
                <w:sz w:val="18"/>
                <w:szCs w:val="18"/>
                <w:color w:val="auto"/>
              </w:rPr>
              <w:t>78</w:t>
            </w:r>
          </w:p>
        </w:tc>
        <w:tc>
          <w:tcPr>
            <w:tcW w:w="1480" w:type="dxa"/>
            <w:vAlign w:val="bottom"/>
          </w:tcPr>
          <w:p>
            <w:pPr>
              <w:jc w:val="center"/>
              <w:ind w:left="12"/>
              <w:spacing w:after="0"/>
              <w:rPr>
                <w:sz w:val="20"/>
                <w:szCs w:val="20"/>
                <w:color w:val="auto"/>
              </w:rPr>
            </w:pPr>
            <w:r>
              <w:rPr>
                <w:rFonts w:ascii="Arial" w:cs="Arial" w:eastAsia="Arial" w:hAnsi="Arial"/>
                <w:sz w:val="18"/>
                <w:szCs w:val="18"/>
                <w:color w:val="auto"/>
                <w:w w:val="89"/>
              </w:rPr>
              <w:t>25</w:t>
            </w:r>
          </w:p>
        </w:tc>
        <w:tc>
          <w:tcPr>
            <w:tcW w:w="0" w:type="dxa"/>
            <w:vAlign w:val="bottom"/>
          </w:tcPr>
          <w:p>
            <w:pPr>
              <w:spacing w:after="0"/>
              <w:rPr>
                <w:sz w:val="1"/>
                <w:szCs w:val="1"/>
                <w:color w:val="auto"/>
              </w:rPr>
            </w:pPr>
          </w:p>
        </w:tc>
      </w:tr>
      <w:tr>
        <w:trPr>
          <w:trHeight w:val="229"/>
        </w:trPr>
        <w:tc>
          <w:tcPr>
            <w:tcW w:w="3300" w:type="dxa"/>
            <w:vAlign w:val="bottom"/>
          </w:tcPr>
          <w:p>
            <w:pPr>
              <w:ind w:left="480"/>
              <w:spacing w:after="0"/>
              <w:rPr>
                <w:sz w:val="20"/>
                <w:szCs w:val="20"/>
                <w:color w:val="auto"/>
              </w:rPr>
            </w:pPr>
            <w:r>
              <w:rPr>
                <w:rFonts w:ascii="Arial" w:cs="Arial" w:eastAsia="Arial" w:hAnsi="Arial"/>
                <w:sz w:val="18"/>
                <w:szCs w:val="18"/>
                <w:color w:val="auto"/>
              </w:rPr>
              <w:t>Trecate</w:t>
            </w:r>
          </w:p>
        </w:tc>
        <w:tc>
          <w:tcPr>
            <w:tcW w:w="5080" w:type="dxa"/>
            <w:vAlign w:val="bottom"/>
          </w:tcPr>
          <w:p>
            <w:pPr>
              <w:ind w:left="1040"/>
              <w:spacing w:after="0"/>
              <w:rPr>
                <w:sz w:val="20"/>
                <w:szCs w:val="20"/>
                <w:color w:val="auto"/>
              </w:rPr>
            </w:pPr>
            <w:r>
              <w:rPr>
                <w:rFonts w:ascii="Arial" w:cs="Arial" w:eastAsia="Arial" w:hAnsi="Arial"/>
                <w:sz w:val="18"/>
                <w:szCs w:val="18"/>
                <w:color w:val="auto"/>
              </w:rPr>
              <w:t>Italy</w:t>
            </w:r>
          </w:p>
        </w:tc>
        <w:tc>
          <w:tcPr>
            <w:tcW w:w="1360" w:type="dxa"/>
            <w:vAlign w:val="bottom"/>
          </w:tcPr>
          <w:p>
            <w:pPr>
              <w:jc w:val="right"/>
              <w:spacing w:after="0"/>
              <w:rPr>
                <w:sz w:val="20"/>
                <w:szCs w:val="20"/>
                <w:color w:val="auto"/>
              </w:rPr>
            </w:pPr>
            <w:r>
              <w:rPr>
                <w:rFonts w:ascii="Arial" w:cs="Arial" w:eastAsia="Arial" w:hAnsi="Arial"/>
                <w:sz w:val="18"/>
                <w:szCs w:val="18"/>
                <w:color w:val="auto"/>
              </w:rPr>
              <w:t>132</w:t>
            </w:r>
          </w:p>
        </w:tc>
        <w:tc>
          <w:tcPr>
            <w:tcW w:w="1480" w:type="dxa"/>
            <w:vAlign w:val="bottom"/>
          </w:tcPr>
          <w:p>
            <w:pPr>
              <w:jc w:val="center"/>
              <w:ind w:left="12"/>
              <w:spacing w:after="0"/>
              <w:rPr>
                <w:sz w:val="20"/>
                <w:szCs w:val="20"/>
                <w:color w:val="auto"/>
              </w:rPr>
            </w:pPr>
            <w:r>
              <w:rPr>
                <w:rFonts w:ascii="Arial" w:cs="Arial" w:eastAsia="Arial" w:hAnsi="Arial"/>
                <w:sz w:val="18"/>
                <w:szCs w:val="18"/>
                <w:color w:val="auto"/>
                <w:w w:val="85"/>
              </w:rPr>
              <w:t>75.2</w:t>
            </w:r>
          </w:p>
        </w:tc>
        <w:tc>
          <w:tcPr>
            <w:tcW w:w="0" w:type="dxa"/>
            <w:vAlign w:val="bottom"/>
          </w:tcPr>
          <w:p>
            <w:pPr>
              <w:spacing w:after="0"/>
              <w:rPr>
                <w:sz w:val="1"/>
                <w:szCs w:val="1"/>
                <w:color w:val="auto"/>
              </w:rPr>
            </w:pPr>
          </w:p>
        </w:tc>
      </w:tr>
      <w:tr>
        <w:trPr>
          <w:trHeight w:val="230"/>
        </w:trPr>
        <w:tc>
          <w:tcPr>
            <w:tcW w:w="3300" w:type="dxa"/>
            <w:vAlign w:val="bottom"/>
          </w:tcPr>
          <w:p>
            <w:pPr>
              <w:ind w:left="480"/>
              <w:spacing w:after="0"/>
              <w:rPr>
                <w:sz w:val="20"/>
                <w:szCs w:val="20"/>
                <w:color w:val="auto"/>
              </w:rPr>
            </w:pPr>
            <w:r>
              <w:rPr>
                <w:rFonts w:ascii="Arial" w:cs="Arial" w:eastAsia="Arial" w:hAnsi="Arial"/>
                <w:sz w:val="18"/>
                <w:szCs w:val="18"/>
                <w:color w:val="auto"/>
              </w:rPr>
              <w:t>Rotterdam</w:t>
            </w:r>
          </w:p>
        </w:tc>
        <w:tc>
          <w:tcPr>
            <w:tcW w:w="5080" w:type="dxa"/>
            <w:vAlign w:val="bottom"/>
          </w:tcPr>
          <w:p>
            <w:pPr>
              <w:ind w:left="1040"/>
              <w:spacing w:after="0"/>
              <w:rPr>
                <w:sz w:val="20"/>
                <w:szCs w:val="20"/>
                <w:color w:val="auto"/>
              </w:rPr>
            </w:pPr>
            <w:r>
              <w:rPr>
                <w:rFonts w:ascii="Arial" w:cs="Arial" w:eastAsia="Arial" w:hAnsi="Arial"/>
                <w:sz w:val="18"/>
                <w:szCs w:val="18"/>
                <w:color w:val="auto"/>
              </w:rPr>
              <w:t>Netherlands</w:t>
            </w:r>
          </w:p>
        </w:tc>
        <w:tc>
          <w:tcPr>
            <w:tcW w:w="1360" w:type="dxa"/>
            <w:vAlign w:val="bottom"/>
          </w:tcPr>
          <w:p>
            <w:pPr>
              <w:jc w:val="right"/>
              <w:spacing w:after="0"/>
              <w:rPr>
                <w:sz w:val="20"/>
                <w:szCs w:val="20"/>
                <w:color w:val="auto"/>
              </w:rPr>
            </w:pPr>
            <w:r>
              <w:rPr>
                <w:rFonts w:ascii="Arial" w:cs="Arial" w:eastAsia="Arial" w:hAnsi="Arial"/>
                <w:sz w:val="18"/>
                <w:szCs w:val="18"/>
                <w:color w:val="auto"/>
              </w:rPr>
              <w:t>192</w:t>
            </w:r>
          </w:p>
        </w:tc>
        <w:tc>
          <w:tcPr>
            <w:tcW w:w="1480" w:type="dxa"/>
            <w:vAlign w:val="bottom"/>
          </w:tcPr>
          <w:p>
            <w:pPr>
              <w:jc w:val="center"/>
              <w:ind w:left="12"/>
              <w:spacing w:after="0"/>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r>
        <w:trPr>
          <w:trHeight w:val="230"/>
        </w:trPr>
        <w:tc>
          <w:tcPr>
            <w:tcW w:w="3300" w:type="dxa"/>
            <w:vAlign w:val="bottom"/>
          </w:tcPr>
          <w:p>
            <w:pPr>
              <w:ind w:left="480"/>
              <w:spacing w:after="0"/>
              <w:rPr>
                <w:sz w:val="20"/>
                <w:szCs w:val="20"/>
                <w:color w:val="auto"/>
              </w:rPr>
            </w:pPr>
            <w:r>
              <w:rPr>
                <w:rFonts w:ascii="Arial" w:cs="Arial" w:eastAsia="Arial" w:hAnsi="Arial"/>
                <w:sz w:val="18"/>
                <w:szCs w:val="18"/>
                <w:color w:val="auto"/>
              </w:rPr>
              <w:t>Fawley</w:t>
            </w:r>
          </w:p>
        </w:tc>
        <w:tc>
          <w:tcPr>
            <w:tcW w:w="5080" w:type="dxa"/>
            <w:vAlign w:val="bottom"/>
          </w:tcPr>
          <w:p>
            <w:pPr>
              <w:ind w:left="1040"/>
              <w:spacing w:after="0"/>
              <w:rPr>
                <w:sz w:val="20"/>
                <w:szCs w:val="20"/>
                <w:color w:val="auto"/>
              </w:rPr>
            </w:pPr>
            <w:r>
              <w:rPr>
                <w:rFonts w:ascii="Arial" w:cs="Arial" w:eastAsia="Arial" w:hAnsi="Arial"/>
                <w:sz w:val="18"/>
                <w:szCs w:val="18"/>
                <w:color w:val="auto"/>
              </w:rPr>
              <w:t>United Kingdom</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1480" w:type="dxa"/>
            <w:vAlign w:val="bottom"/>
          </w:tcPr>
          <w:p>
            <w:pPr>
              <w:jc w:val="center"/>
              <w:ind w:left="12"/>
              <w:spacing w:after="0"/>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r>
        <w:trPr>
          <w:trHeight w:val="224"/>
        </w:trPr>
        <w:tc>
          <w:tcPr>
            <w:tcW w:w="3300" w:type="dxa"/>
            <w:vAlign w:val="bottom"/>
          </w:tcPr>
          <w:p>
            <w:pPr>
              <w:ind w:left="880"/>
              <w:spacing w:after="0"/>
              <w:rPr>
                <w:sz w:val="20"/>
                <w:szCs w:val="20"/>
                <w:color w:val="auto"/>
              </w:rPr>
            </w:pPr>
            <w:r>
              <w:rPr>
                <w:rFonts w:ascii="Arial" w:cs="Arial" w:eastAsia="Arial" w:hAnsi="Arial"/>
                <w:sz w:val="18"/>
                <w:szCs w:val="18"/>
                <w:color w:val="auto"/>
              </w:rPr>
              <w:t>Total Europe</w:t>
            </w:r>
          </w:p>
        </w:tc>
        <w:tc>
          <w:tcPr>
            <w:tcW w:w="50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1,348</w:t>
            </w: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4"/>
        </w:trPr>
        <w:tc>
          <w:tcPr>
            <w:tcW w:w="3300" w:type="dxa"/>
            <w:vAlign w:val="bottom"/>
          </w:tcPr>
          <w:p>
            <w:pPr>
              <w:ind w:left="20"/>
              <w:spacing w:after="0"/>
              <w:rPr>
                <w:sz w:val="20"/>
                <w:szCs w:val="20"/>
                <w:color w:val="auto"/>
              </w:rPr>
            </w:pPr>
            <w:r>
              <w:rPr>
                <w:rFonts w:ascii="Arial" w:cs="Arial" w:eastAsia="Arial" w:hAnsi="Arial"/>
                <w:sz w:val="18"/>
                <w:szCs w:val="18"/>
                <w:b w:val="1"/>
                <w:bCs w:val="1"/>
                <w:color w:val="auto"/>
              </w:rPr>
              <w:t>Asia Pacific</w:t>
            </w:r>
          </w:p>
        </w:tc>
        <w:tc>
          <w:tcPr>
            <w:tcW w:w="50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300" w:type="dxa"/>
            <w:vAlign w:val="bottom"/>
          </w:tcPr>
          <w:p>
            <w:pPr>
              <w:ind w:left="480"/>
              <w:spacing w:after="0"/>
              <w:rPr>
                <w:sz w:val="20"/>
                <w:szCs w:val="20"/>
                <w:color w:val="auto"/>
              </w:rPr>
            </w:pPr>
            <w:r>
              <w:rPr>
                <w:rFonts w:ascii="Arial" w:cs="Arial" w:eastAsia="Arial" w:hAnsi="Arial"/>
                <w:sz w:val="18"/>
                <w:szCs w:val="18"/>
                <w:color w:val="auto"/>
              </w:rPr>
              <w:t>Fujian</w:t>
            </w:r>
          </w:p>
        </w:tc>
        <w:tc>
          <w:tcPr>
            <w:tcW w:w="5080" w:type="dxa"/>
            <w:vAlign w:val="bottom"/>
          </w:tcPr>
          <w:p>
            <w:pPr>
              <w:ind w:left="1040"/>
              <w:spacing w:after="0"/>
              <w:rPr>
                <w:sz w:val="20"/>
                <w:szCs w:val="20"/>
                <w:color w:val="auto"/>
              </w:rPr>
            </w:pPr>
            <w:r>
              <w:rPr>
                <w:rFonts w:ascii="Arial" w:cs="Arial" w:eastAsia="Arial" w:hAnsi="Arial"/>
                <w:sz w:val="18"/>
                <w:szCs w:val="18"/>
                <w:color w:val="auto"/>
              </w:rPr>
              <w:t>China</w:t>
            </w:r>
          </w:p>
        </w:tc>
        <w:tc>
          <w:tcPr>
            <w:tcW w:w="1360" w:type="dxa"/>
            <w:vAlign w:val="bottom"/>
          </w:tcPr>
          <w:p>
            <w:pPr>
              <w:jc w:val="right"/>
              <w:spacing w:after="0"/>
              <w:rPr>
                <w:sz w:val="20"/>
                <w:szCs w:val="20"/>
                <w:color w:val="auto"/>
              </w:rPr>
            </w:pPr>
            <w:r>
              <w:rPr>
                <w:rFonts w:ascii="Arial" w:cs="Arial" w:eastAsia="Arial" w:hAnsi="Arial"/>
                <w:sz w:val="18"/>
                <w:szCs w:val="18"/>
                <w:color w:val="auto"/>
              </w:rPr>
              <w:t>67</w:t>
            </w:r>
          </w:p>
        </w:tc>
        <w:tc>
          <w:tcPr>
            <w:tcW w:w="1480" w:type="dxa"/>
            <w:vAlign w:val="bottom"/>
          </w:tcPr>
          <w:p>
            <w:pPr>
              <w:jc w:val="center"/>
              <w:ind w:left="12"/>
              <w:spacing w:after="0"/>
              <w:rPr>
                <w:sz w:val="20"/>
                <w:szCs w:val="20"/>
                <w:color w:val="auto"/>
              </w:rPr>
            </w:pPr>
            <w:r>
              <w:rPr>
                <w:rFonts w:ascii="Arial" w:cs="Arial" w:eastAsia="Arial" w:hAnsi="Arial"/>
                <w:sz w:val="18"/>
                <w:szCs w:val="18"/>
                <w:color w:val="auto"/>
                <w:w w:val="89"/>
              </w:rPr>
              <w:t>25</w:t>
            </w:r>
          </w:p>
        </w:tc>
        <w:tc>
          <w:tcPr>
            <w:tcW w:w="0" w:type="dxa"/>
            <w:vAlign w:val="bottom"/>
          </w:tcPr>
          <w:p>
            <w:pPr>
              <w:spacing w:after="0"/>
              <w:rPr>
                <w:sz w:val="1"/>
                <w:szCs w:val="1"/>
                <w:color w:val="auto"/>
              </w:rPr>
            </w:pPr>
          </w:p>
        </w:tc>
      </w:tr>
      <w:tr>
        <w:trPr>
          <w:trHeight w:val="230"/>
        </w:trPr>
        <w:tc>
          <w:tcPr>
            <w:tcW w:w="3300" w:type="dxa"/>
            <w:vAlign w:val="bottom"/>
          </w:tcPr>
          <w:p>
            <w:pPr>
              <w:ind w:left="480"/>
              <w:spacing w:after="0"/>
              <w:rPr>
                <w:sz w:val="20"/>
                <w:szCs w:val="20"/>
                <w:color w:val="auto"/>
              </w:rPr>
            </w:pPr>
            <w:r>
              <w:rPr>
                <w:rFonts w:ascii="Arial" w:cs="Arial" w:eastAsia="Arial" w:hAnsi="Arial"/>
                <w:sz w:val="18"/>
                <w:szCs w:val="18"/>
                <w:color w:val="auto"/>
              </w:rPr>
              <w:t>Jurong/PAC</w:t>
            </w:r>
          </w:p>
        </w:tc>
        <w:tc>
          <w:tcPr>
            <w:tcW w:w="5080" w:type="dxa"/>
            <w:vAlign w:val="bottom"/>
          </w:tcPr>
          <w:p>
            <w:pPr>
              <w:ind w:left="1040"/>
              <w:spacing w:after="0"/>
              <w:rPr>
                <w:sz w:val="20"/>
                <w:szCs w:val="20"/>
                <w:color w:val="auto"/>
              </w:rPr>
            </w:pPr>
            <w:r>
              <w:rPr>
                <w:rFonts w:ascii="Arial" w:cs="Arial" w:eastAsia="Arial" w:hAnsi="Arial"/>
                <w:sz w:val="18"/>
                <w:szCs w:val="18"/>
                <w:color w:val="auto"/>
              </w:rPr>
              <w:t>Singapore</w:t>
            </w:r>
          </w:p>
        </w:tc>
        <w:tc>
          <w:tcPr>
            <w:tcW w:w="1360" w:type="dxa"/>
            <w:vAlign w:val="bottom"/>
          </w:tcPr>
          <w:p>
            <w:pPr>
              <w:jc w:val="right"/>
              <w:spacing w:after="0"/>
              <w:rPr>
                <w:sz w:val="20"/>
                <w:szCs w:val="20"/>
                <w:color w:val="auto"/>
              </w:rPr>
            </w:pPr>
            <w:r>
              <w:rPr>
                <w:rFonts w:ascii="Arial" w:cs="Arial" w:eastAsia="Arial" w:hAnsi="Arial"/>
                <w:sz w:val="18"/>
                <w:szCs w:val="18"/>
                <w:color w:val="auto"/>
              </w:rPr>
              <w:t>592</w:t>
            </w:r>
          </w:p>
        </w:tc>
        <w:tc>
          <w:tcPr>
            <w:tcW w:w="1480" w:type="dxa"/>
            <w:vAlign w:val="bottom"/>
          </w:tcPr>
          <w:p>
            <w:pPr>
              <w:jc w:val="center"/>
              <w:ind w:left="12"/>
              <w:spacing w:after="0"/>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r>
        <w:trPr>
          <w:trHeight w:val="230"/>
        </w:trPr>
        <w:tc>
          <w:tcPr>
            <w:tcW w:w="3300" w:type="dxa"/>
            <w:vAlign w:val="bottom"/>
          </w:tcPr>
          <w:p>
            <w:pPr>
              <w:ind w:left="480"/>
              <w:spacing w:after="0"/>
              <w:rPr>
                <w:sz w:val="20"/>
                <w:szCs w:val="20"/>
                <w:color w:val="auto"/>
              </w:rPr>
            </w:pPr>
            <w:r>
              <w:rPr>
                <w:rFonts w:ascii="Arial" w:cs="Arial" w:eastAsia="Arial" w:hAnsi="Arial"/>
                <w:sz w:val="18"/>
                <w:szCs w:val="18"/>
                <w:color w:val="auto"/>
              </w:rPr>
              <w:t>Sriracha</w:t>
            </w:r>
          </w:p>
        </w:tc>
        <w:tc>
          <w:tcPr>
            <w:tcW w:w="5080" w:type="dxa"/>
            <w:vAlign w:val="bottom"/>
          </w:tcPr>
          <w:p>
            <w:pPr>
              <w:ind w:left="1040"/>
              <w:spacing w:after="0"/>
              <w:rPr>
                <w:sz w:val="20"/>
                <w:szCs w:val="20"/>
                <w:color w:val="auto"/>
              </w:rPr>
            </w:pPr>
            <w:r>
              <w:rPr>
                <w:rFonts w:ascii="Arial" w:cs="Arial" w:eastAsia="Arial" w:hAnsi="Arial"/>
                <w:sz w:val="18"/>
                <w:szCs w:val="18"/>
                <w:color w:val="auto"/>
              </w:rPr>
              <w:t>Thailand</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1480" w:type="dxa"/>
            <w:vAlign w:val="bottom"/>
          </w:tcPr>
          <w:p>
            <w:pPr>
              <w:jc w:val="center"/>
              <w:ind w:left="12"/>
              <w:spacing w:after="0"/>
              <w:rPr>
                <w:sz w:val="20"/>
                <w:szCs w:val="20"/>
                <w:color w:val="auto"/>
              </w:rPr>
            </w:pPr>
            <w:r>
              <w:rPr>
                <w:rFonts w:ascii="Arial" w:cs="Arial" w:eastAsia="Arial" w:hAnsi="Arial"/>
                <w:sz w:val="18"/>
                <w:szCs w:val="18"/>
                <w:color w:val="auto"/>
                <w:w w:val="89"/>
              </w:rPr>
              <w:t>66</w:t>
            </w:r>
          </w:p>
        </w:tc>
        <w:tc>
          <w:tcPr>
            <w:tcW w:w="0" w:type="dxa"/>
            <w:vAlign w:val="bottom"/>
          </w:tcPr>
          <w:p>
            <w:pPr>
              <w:spacing w:after="0"/>
              <w:rPr>
                <w:sz w:val="1"/>
                <w:szCs w:val="1"/>
                <w:color w:val="auto"/>
              </w:rPr>
            </w:pPr>
          </w:p>
        </w:tc>
      </w:tr>
      <w:tr>
        <w:trPr>
          <w:trHeight w:val="224"/>
        </w:trPr>
        <w:tc>
          <w:tcPr>
            <w:tcW w:w="3300" w:type="dxa"/>
            <w:vAlign w:val="bottom"/>
          </w:tcPr>
          <w:p>
            <w:pPr>
              <w:ind w:left="880"/>
              <w:spacing w:after="0"/>
              <w:rPr>
                <w:sz w:val="20"/>
                <w:szCs w:val="20"/>
                <w:color w:val="auto"/>
              </w:rPr>
            </w:pPr>
            <w:r>
              <w:rPr>
                <w:rFonts w:ascii="Arial" w:cs="Arial" w:eastAsia="Arial" w:hAnsi="Arial"/>
                <w:sz w:val="18"/>
                <w:szCs w:val="18"/>
                <w:color w:val="auto"/>
              </w:rPr>
              <w:t>Total Asia Pacific</w:t>
            </w:r>
          </w:p>
        </w:tc>
        <w:tc>
          <w:tcPr>
            <w:tcW w:w="50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826</w:t>
            </w: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4"/>
        </w:trPr>
        <w:tc>
          <w:tcPr>
            <w:tcW w:w="3300" w:type="dxa"/>
            <w:vAlign w:val="bottom"/>
          </w:tcPr>
          <w:p>
            <w:pPr>
              <w:ind w:left="20"/>
              <w:spacing w:after="0"/>
              <w:rPr>
                <w:sz w:val="20"/>
                <w:szCs w:val="20"/>
                <w:color w:val="auto"/>
              </w:rPr>
            </w:pPr>
            <w:r>
              <w:rPr>
                <w:rFonts w:ascii="Arial" w:cs="Arial" w:eastAsia="Arial" w:hAnsi="Arial"/>
                <w:sz w:val="18"/>
                <w:szCs w:val="18"/>
                <w:b w:val="1"/>
                <w:bCs w:val="1"/>
                <w:color w:val="auto"/>
              </w:rPr>
              <w:t>Middle East</w:t>
            </w:r>
          </w:p>
        </w:tc>
        <w:tc>
          <w:tcPr>
            <w:tcW w:w="50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300" w:type="dxa"/>
            <w:vAlign w:val="bottom"/>
          </w:tcPr>
          <w:p>
            <w:pPr>
              <w:ind w:left="480"/>
              <w:spacing w:after="0"/>
              <w:rPr>
                <w:sz w:val="20"/>
                <w:szCs w:val="20"/>
                <w:color w:val="auto"/>
              </w:rPr>
            </w:pPr>
            <w:r>
              <w:rPr>
                <w:rFonts w:ascii="Arial" w:cs="Arial" w:eastAsia="Arial" w:hAnsi="Arial"/>
                <w:sz w:val="18"/>
                <w:szCs w:val="18"/>
                <w:color w:val="auto"/>
              </w:rPr>
              <w:t>Yanbu</w:t>
            </w:r>
          </w:p>
        </w:tc>
        <w:tc>
          <w:tcPr>
            <w:tcW w:w="5080" w:type="dxa"/>
            <w:vAlign w:val="bottom"/>
          </w:tcPr>
          <w:p>
            <w:pPr>
              <w:ind w:left="1040"/>
              <w:spacing w:after="0"/>
              <w:rPr>
                <w:sz w:val="20"/>
                <w:szCs w:val="20"/>
                <w:color w:val="auto"/>
              </w:rPr>
            </w:pPr>
            <w:r>
              <w:rPr>
                <w:rFonts w:ascii="Arial" w:cs="Arial" w:eastAsia="Arial" w:hAnsi="Arial"/>
                <w:sz w:val="18"/>
                <w:szCs w:val="18"/>
                <w:color w:val="auto"/>
              </w:rPr>
              <w:t>Saudi Arabia</w:t>
            </w:r>
          </w:p>
        </w:tc>
        <w:tc>
          <w:tcPr>
            <w:tcW w:w="1360" w:type="dxa"/>
            <w:vAlign w:val="bottom"/>
          </w:tcPr>
          <w:p>
            <w:pPr>
              <w:jc w:val="right"/>
              <w:spacing w:after="0"/>
              <w:rPr>
                <w:sz w:val="20"/>
                <w:szCs w:val="20"/>
                <w:color w:val="auto"/>
              </w:rPr>
            </w:pPr>
            <w:r>
              <w:rPr>
                <w:rFonts w:ascii="Arial" w:cs="Arial" w:eastAsia="Arial" w:hAnsi="Arial"/>
                <w:sz w:val="18"/>
                <w:szCs w:val="18"/>
                <w:color w:val="auto"/>
              </w:rPr>
              <w:t>200</w:t>
            </w:r>
          </w:p>
        </w:tc>
        <w:tc>
          <w:tcPr>
            <w:tcW w:w="1480" w:type="dxa"/>
            <w:vAlign w:val="bottom"/>
          </w:tcPr>
          <w:p>
            <w:pPr>
              <w:jc w:val="center"/>
              <w:ind w:left="12"/>
              <w:spacing w:after="0"/>
              <w:rPr>
                <w:sz w:val="20"/>
                <w:szCs w:val="20"/>
                <w:color w:val="auto"/>
              </w:rPr>
            </w:pPr>
            <w:r>
              <w:rPr>
                <w:rFonts w:ascii="Arial" w:cs="Arial" w:eastAsia="Arial" w:hAnsi="Arial"/>
                <w:sz w:val="18"/>
                <w:szCs w:val="18"/>
                <w:color w:val="auto"/>
                <w:w w:val="89"/>
              </w:rPr>
              <w:t>50</w:t>
            </w:r>
          </w:p>
        </w:tc>
        <w:tc>
          <w:tcPr>
            <w:tcW w:w="0" w:type="dxa"/>
            <w:vAlign w:val="bottom"/>
          </w:tcPr>
          <w:p>
            <w:pPr>
              <w:spacing w:after="0"/>
              <w:rPr>
                <w:sz w:val="1"/>
                <w:szCs w:val="1"/>
                <w:color w:val="auto"/>
              </w:rPr>
            </w:pPr>
          </w:p>
        </w:tc>
      </w:tr>
      <w:tr>
        <w:trPr>
          <w:trHeight w:val="216"/>
        </w:trPr>
        <w:tc>
          <w:tcPr>
            <w:tcW w:w="33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Total Worldwide</w:t>
            </w:r>
          </w:p>
        </w:tc>
        <w:tc>
          <w:tcPr>
            <w:tcW w:w="5080" w:type="dxa"/>
            <w:vAlign w:val="bottom"/>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00" w:type="dxa"/>
            <w:vAlign w:val="bottom"/>
            <w:vMerge w:val="continue"/>
          </w:tcPr>
          <w:p>
            <w:pPr>
              <w:spacing w:after="0"/>
              <w:rPr>
                <w:sz w:val="19"/>
                <w:szCs w:val="19"/>
                <w:color w:val="auto"/>
              </w:rPr>
            </w:pPr>
          </w:p>
        </w:tc>
        <w:tc>
          <w:tcPr>
            <w:tcW w:w="508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4,567</w:t>
            </w: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77" w:lineRule="exact"/>
        <w:rPr>
          <w:sz w:val="20"/>
          <w:szCs w:val="20"/>
          <w:color w:val="auto"/>
        </w:rPr>
      </w:pPr>
    </w:p>
    <w:p>
      <w:pPr>
        <w:jc w:val="both"/>
        <w:ind w:left="340" w:hanging="332"/>
        <w:spacing w:after="0" w:line="305" w:lineRule="auto"/>
        <w:tabs>
          <w:tab w:leader="none" w:pos="334" w:val="left"/>
        </w:tabs>
        <w:numPr>
          <w:ilvl w:val="0"/>
          <w:numId w:val="9"/>
        </w:numPr>
        <w:rPr>
          <w:rFonts w:ascii="Arial" w:cs="Arial" w:eastAsia="Arial" w:hAnsi="Arial"/>
          <w:sz w:val="16"/>
          <w:szCs w:val="16"/>
          <w:i w:val="1"/>
          <w:iCs w:val="1"/>
          <w:color w:val="auto"/>
        </w:rPr>
      </w:pPr>
      <w:r>
        <w:rPr>
          <w:rFonts w:ascii="Arial" w:cs="Arial" w:eastAsia="Arial" w:hAnsi="Arial"/>
          <w:sz w:val="16"/>
          <w:szCs w:val="16"/>
          <w:i w:val="1"/>
          <w:iCs w:val="1"/>
          <w:color w:val="auto"/>
        </w:rPr>
        <w:t>Capacity data is based on 100 percent of rated refinery process unit stream-day capacities under normal operating conditions, less the impact of shutdowns for regular repair and maintenance activities, averaged over an extended period of time. The listing excludes refining capacity for a minor interest held through equity securities in New Zealand, and the Laffan Refinery in Qatar for which results are reported in the Upstream segment.</w:t>
      </w:r>
    </w:p>
    <w:p>
      <w:pPr>
        <w:jc w:val="both"/>
        <w:ind w:left="340" w:hanging="332"/>
        <w:spacing w:after="0" w:line="263" w:lineRule="auto"/>
        <w:tabs>
          <w:tab w:leader="none" w:pos="334"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Thousands of barrels per day (KBD). ExxonMobil share reflects 100 percent of atmospheric distillation capacity in operations of ExxonMobil and majority-owned subsidiaries. For companies owned 50 percent or less, ExxonMobil share is the greater of ExxonMobil’s interest or that portion of distillation capacity normally available to ExxonMobil.</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 xml:space="preserve">The marketing operations sell products and services throughout the world through our </w:t>
      </w:r>
      <w:r>
        <w:rPr>
          <w:rFonts w:ascii="Arial" w:cs="Arial" w:eastAsia="Arial" w:hAnsi="Arial"/>
          <w:sz w:val="18"/>
          <w:szCs w:val="18"/>
          <w:i w:val="1"/>
          <w:iCs w:val="1"/>
          <w:color w:val="auto"/>
        </w:rPr>
        <w:t>Exxon</w:t>
      </w:r>
      <w:r>
        <w:rPr>
          <w:rFonts w:ascii="Arial" w:cs="Arial" w:eastAsia="Arial" w:hAnsi="Arial"/>
          <w:sz w:val="18"/>
          <w:szCs w:val="18"/>
          <w:color w:val="auto"/>
        </w:rPr>
        <w:t xml:space="preserve">, </w:t>
      </w:r>
      <w:r>
        <w:rPr>
          <w:rFonts w:ascii="Arial" w:cs="Arial" w:eastAsia="Arial" w:hAnsi="Arial"/>
          <w:sz w:val="18"/>
          <w:szCs w:val="18"/>
          <w:i w:val="1"/>
          <w:iCs w:val="1"/>
          <w:color w:val="auto"/>
        </w:rPr>
        <w:t>Esso</w:t>
      </w:r>
      <w:r>
        <w:rPr>
          <w:rFonts w:ascii="Arial" w:cs="Arial" w:eastAsia="Arial" w:hAnsi="Arial"/>
          <w:sz w:val="18"/>
          <w:szCs w:val="18"/>
          <w:color w:val="auto"/>
        </w:rPr>
        <w:t xml:space="preserve"> and </w:t>
      </w:r>
      <w:r>
        <w:rPr>
          <w:rFonts w:ascii="Arial" w:cs="Arial" w:eastAsia="Arial" w:hAnsi="Arial"/>
          <w:sz w:val="18"/>
          <w:szCs w:val="18"/>
          <w:i w:val="1"/>
          <w:iCs w:val="1"/>
          <w:color w:val="auto"/>
        </w:rPr>
        <w:t>Mobil</w:t>
      </w:r>
      <w:r>
        <w:rPr>
          <w:rFonts w:ascii="Arial" w:cs="Arial" w:eastAsia="Arial" w:hAnsi="Arial"/>
          <w:sz w:val="18"/>
          <w:szCs w:val="18"/>
          <w:color w:val="auto"/>
        </w:rPr>
        <w:t xml:space="preserve"> brands.</w:t>
      </w:r>
    </w:p>
    <w:p>
      <w:pPr>
        <w:spacing w:after="0" w:line="248" w:lineRule="exact"/>
        <w:rPr>
          <w:sz w:val="20"/>
          <w:szCs w:val="20"/>
          <w:color w:val="auto"/>
        </w:rPr>
      </w:pPr>
    </w:p>
    <w:tbl>
      <w:tblPr>
        <w:tblLayout w:type="fixed"/>
        <w:tblInd w:w="1440" w:type="dxa"/>
        <w:tblCellMar>
          <w:top w:w="0" w:type="dxa"/>
          <w:left w:w="0" w:type="dxa"/>
          <w:bottom w:w="0" w:type="dxa"/>
          <w:right w:w="0" w:type="dxa"/>
        </w:tblCellMar>
      </w:tblPr>
      <w:tr>
        <w:trPr>
          <w:trHeight w:val="234"/>
        </w:trPr>
        <w:tc>
          <w:tcPr>
            <w:tcW w:w="2840" w:type="dxa"/>
            <w:vAlign w:val="bottom"/>
          </w:tcPr>
          <w:p>
            <w:pPr>
              <w:spacing w:after="0"/>
              <w:rPr>
                <w:sz w:val="20"/>
                <w:szCs w:val="20"/>
                <w:color w:val="auto"/>
              </w:rPr>
            </w:pPr>
          </w:p>
        </w:tc>
        <w:tc>
          <w:tcPr>
            <w:tcW w:w="6400" w:type="dxa"/>
            <w:vAlign w:val="bottom"/>
            <w:gridSpan w:val="2"/>
          </w:tcPr>
          <w:p>
            <w:pPr>
              <w:jc w:val="right"/>
              <w:ind w:right="3830"/>
              <w:spacing w:after="0"/>
              <w:rPr>
                <w:sz w:val="20"/>
                <w:szCs w:val="20"/>
                <w:color w:val="auto"/>
              </w:rPr>
            </w:pPr>
            <w:r>
              <w:rPr>
                <w:rFonts w:ascii="Arial" w:cs="Arial" w:eastAsia="Arial" w:hAnsi="Arial"/>
                <w:sz w:val="18"/>
                <w:szCs w:val="18"/>
                <w:b w:val="1"/>
                <w:bCs w:val="1"/>
                <w:color w:val="auto"/>
                <w:w w:val="98"/>
              </w:rPr>
              <w:t>Retail Sites At Year-End 2021</w:t>
            </w:r>
          </w:p>
        </w:tc>
      </w:tr>
      <w:tr>
        <w:trPr>
          <w:trHeight w:val="337"/>
        </w:trPr>
        <w:tc>
          <w:tcPr>
            <w:tcW w:w="2840" w:type="dxa"/>
            <w:vAlign w:val="bottom"/>
          </w:tcPr>
          <w:p>
            <w:pPr>
              <w:spacing w:after="0"/>
              <w:rPr>
                <w:sz w:val="20"/>
                <w:szCs w:val="20"/>
                <w:color w:val="auto"/>
              </w:rPr>
            </w:pPr>
            <w:r>
              <w:rPr>
                <w:rFonts w:ascii="Arial" w:cs="Arial" w:eastAsia="Arial" w:hAnsi="Arial"/>
                <w:sz w:val="18"/>
                <w:szCs w:val="18"/>
                <w:b w:val="1"/>
                <w:bCs w:val="1"/>
                <w:color w:val="auto"/>
              </w:rPr>
              <w:t>United States</w:t>
            </w:r>
          </w:p>
        </w:tc>
        <w:tc>
          <w:tcPr>
            <w:tcW w:w="432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229"/>
        </w:trPr>
        <w:tc>
          <w:tcPr>
            <w:tcW w:w="2840" w:type="dxa"/>
            <w:vAlign w:val="bottom"/>
          </w:tcPr>
          <w:p>
            <w:pPr>
              <w:ind w:left="440"/>
              <w:spacing w:after="0"/>
              <w:rPr>
                <w:sz w:val="20"/>
                <w:szCs w:val="20"/>
                <w:color w:val="auto"/>
              </w:rPr>
            </w:pPr>
            <w:r>
              <w:rPr>
                <w:rFonts w:ascii="Arial" w:cs="Arial" w:eastAsia="Arial" w:hAnsi="Arial"/>
                <w:sz w:val="18"/>
                <w:szCs w:val="18"/>
                <w:color w:val="auto"/>
              </w:rPr>
              <w:t>Owned/leased</w:t>
            </w:r>
          </w:p>
        </w:tc>
        <w:tc>
          <w:tcPr>
            <w:tcW w:w="432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840" w:type="dxa"/>
            <w:vAlign w:val="bottom"/>
          </w:tcPr>
          <w:p>
            <w:pPr>
              <w:ind w:left="440"/>
              <w:spacing w:after="0"/>
              <w:rPr>
                <w:sz w:val="20"/>
                <w:szCs w:val="20"/>
                <w:color w:val="auto"/>
              </w:rPr>
            </w:pPr>
            <w:r>
              <w:rPr>
                <w:rFonts w:ascii="Arial" w:cs="Arial" w:eastAsia="Arial" w:hAnsi="Arial"/>
                <w:sz w:val="18"/>
                <w:szCs w:val="18"/>
                <w:color w:val="auto"/>
              </w:rPr>
              <w:t>Distributors/resellers</w:t>
            </w:r>
          </w:p>
        </w:tc>
        <w:tc>
          <w:tcPr>
            <w:tcW w:w="6400" w:type="dxa"/>
            <w:vAlign w:val="bottom"/>
            <w:gridSpan w:val="2"/>
          </w:tcPr>
          <w:p>
            <w:pPr>
              <w:jc w:val="right"/>
              <w:spacing w:after="0"/>
              <w:rPr>
                <w:sz w:val="20"/>
                <w:szCs w:val="20"/>
                <w:color w:val="auto"/>
              </w:rPr>
            </w:pPr>
            <w:r>
              <w:rPr>
                <w:rFonts w:ascii="Arial" w:cs="Arial" w:eastAsia="Arial" w:hAnsi="Arial"/>
                <w:sz w:val="18"/>
                <w:szCs w:val="18"/>
                <w:color w:val="auto"/>
              </w:rPr>
              <w:t>11,315</w:t>
            </w:r>
          </w:p>
        </w:tc>
      </w:tr>
      <w:tr>
        <w:trPr>
          <w:trHeight w:val="224"/>
        </w:trPr>
        <w:tc>
          <w:tcPr>
            <w:tcW w:w="2840" w:type="dxa"/>
            <w:vAlign w:val="bottom"/>
          </w:tcPr>
          <w:p>
            <w:pPr>
              <w:ind w:left="840"/>
              <w:spacing w:after="0"/>
              <w:rPr>
                <w:sz w:val="20"/>
                <w:szCs w:val="20"/>
                <w:color w:val="auto"/>
              </w:rPr>
            </w:pPr>
            <w:r>
              <w:rPr>
                <w:rFonts w:ascii="Arial" w:cs="Arial" w:eastAsia="Arial" w:hAnsi="Arial"/>
                <w:sz w:val="18"/>
                <w:szCs w:val="18"/>
                <w:color w:val="auto"/>
              </w:rPr>
              <w:t>Total United States</w:t>
            </w:r>
          </w:p>
        </w:tc>
        <w:tc>
          <w:tcPr>
            <w:tcW w:w="4320" w:type="dxa"/>
            <w:vAlign w:val="bottom"/>
          </w:tcPr>
          <w:p>
            <w:pPr>
              <w:spacing w:after="0"/>
              <w:rPr>
                <w:sz w:val="19"/>
                <w:szCs w:val="19"/>
                <w:color w:val="auto"/>
              </w:rPr>
            </w:pPr>
          </w:p>
        </w:tc>
        <w:tc>
          <w:tcPr>
            <w:tcW w:w="2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11,315</w:t>
            </w:r>
          </w:p>
        </w:tc>
      </w:tr>
      <w:tr>
        <w:trPr>
          <w:trHeight w:val="444"/>
        </w:trPr>
        <w:tc>
          <w:tcPr>
            <w:tcW w:w="2840" w:type="dxa"/>
            <w:vAlign w:val="bottom"/>
          </w:tcPr>
          <w:p>
            <w:pPr>
              <w:spacing w:after="0"/>
              <w:rPr>
                <w:sz w:val="20"/>
                <w:szCs w:val="20"/>
                <w:color w:val="auto"/>
              </w:rPr>
            </w:pPr>
            <w:r>
              <w:rPr>
                <w:rFonts w:ascii="Arial" w:cs="Arial" w:eastAsia="Arial" w:hAnsi="Arial"/>
                <w:sz w:val="18"/>
                <w:szCs w:val="18"/>
                <w:b w:val="1"/>
                <w:bCs w:val="1"/>
                <w:color w:val="auto"/>
              </w:rPr>
              <w:t>Canada</w:t>
            </w:r>
          </w:p>
        </w:tc>
        <w:tc>
          <w:tcPr>
            <w:tcW w:w="432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230"/>
        </w:trPr>
        <w:tc>
          <w:tcPr>
            <w:tcW w:w="2840" w:type="dxa"/>
            <w:vAlign w:val="bottom"/>
          </w:tcPr>
          <w:p>
            <w:pPr>
              <w:ind w:left="440"/>
              <w:spacing w:after="0"/>
              <w:rPr>
                <w:sz w:val="20"/>
                <w:szCs w:val="20"/>
                <w:color w:val="auto"/>
              </w:rPr>
            </w:pPr>
            <w:r>
              <w:rPr>
                <w:rFonts w:ascii="Arial" w:cs="Arial" w:eastAsia="Arial" w:hAnsi="Arial"/>
                <w:sz w:val="18"/>
                <w:szCs w:val="18"/>
                <w:color w:val="auto"/>
              </w:rPr>
              <w:t>Owned/leased</w:t>
            </w:r>
          </w:p>
        </w:tc>
        <w:tc>
          <w:tcPr>
            <w:tcW w:w="432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840" w:type="dxa"/>
            <w:vAlign w:val="bottom"/>
          </w:tcPr>
          <w:p>
            <w:pPr>
              <w:ind w:left="440"/>
              <w:spacing w:after="0"/>
              <w:rPr>
                <w:sz w:val="20"/>
                <w:szCs w:val="20"/>
                <w:color w:val="auto"/>
              </w:rPr>
            </w:pPr>
            <w:r>
              <w:rPr>
                <w:rFonts w:ascii="Arial" w:cs="Arial" w:eastAsia="Arial" w:hAnsi="Arial"/>
                <w:sz w:val="18"/>
                <w:szCs w:val="18"/>
                <w:color w:val="auto"/>
              </w:rPr>
              <w:t>Distributors/resellers</w:t>
            </w:r>
          </w:p>
        </w:tc>
        <w:tc>
          <w:tcPr>
            <w:tcW w:w="6400" w:type="dxa"/>
            <w:vAlign w:val="bottom"/>
            <w:gridSpan w:val="2"/>
          </w:tcPr>
          <w:p>
            <w:pPr>
              <w:jc w:val="right"/>
              <w:spacing w:after="0"/>
              <w:rPr>
                <w:sz w:val="20"/>
                <w:szCs w:val="20"/>
                <w:color w:val="auto"/>
              </w:rPr>
            </w:pPr>
            <w:r>
              <w:rPr>
                <w:rFonts w:ascii="Arial" w:cs="Arial" w:eastAsia="Arial" w:hAnsi="Arial"/>
                <w:sz w:val="18"/>
                <w:szCs w:val="18"/>
                <w:color w:val="auto"/>
              </w:rPr>
              <w:t>2,389</w:t>
            </w:r>
          </w:p>
        </w:tc>
      </w:tr>
      <w:tr>
        <w:trPr>
          <w:trHeight w:val="224"/>
        </w:trPr>
        <w:tc>
          <w:tcPr>
            <w:tcW w:w="2840" w:type="dxa"/>
            <w:vAlign w:val="bottom"/>
          </w:tcPr>
          <w:p>
            <w:pPr>
              <w:ind w:left="840"/>
              <w:spacing w:after="0"/>
              <w:rPr>
                <w:sz w:val="20"/>
                <w:szCs w:val="20"/>
                <w:color w:val="auto"/>
              </w:rPr>
            </w:pPr>
            <w:r>
              <w:rPr>
                <w:rFonts w:ascii="Arial" w:cs="Arial" w:eastAsia="Arial" w:hAnsi="Arial"/>
                <w:sz w:val="18"/>
                <w:szCs w:val="18"/>
                <w:color w:val="auto"/>
              </w:rPr>
              <w:t>Total Canada</w:t>
            </w:r>
          </w:p>
        </w:tc>
        <w:tc>
          <w:tcPr>
            <w:tcW w:w="4320" w:type="dxa"/>
            <w:vAlign w:val="bottom"/>
          </w:tcPr>
          <w:p>
            <w:pPr>
              <w:spacing w:after="0"/>
              <w:rPr>
                <w:sz w:val="19"/>
                <w:szCs w:val="19"/>
                <w:color w:val="auto"/>
              </w:rPr>
            </w:pPr>
          </w:p>
        </w:tc>
        <w:tc>
          <w:tcPr>
            <w:tcW w:w="2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2,389</w:t>
            </w:r>
          </w:p>
        </w:tc>
      </w:tr>
      <w:tr>
        <w:trPr>
          <w:trHeight w:val="444"/>
        </w:trPr>
        <w:tc>
          <w:tcPr>
            <w:tcW w:w="2840" w:type="dxa"/>
            <w:vAlign w:val="bottom"/>
          </w:tcPr>
          <w:p>
            <w:pPr>
              <w:spacing w:after="0"/>
              <w:rPr>
                <w:sz w:val="20"/>
                <w:szCs w:val="20"/>
                <w:color w:val="auto"/>
              </w:rPr>
            </w:pPr>
            <w:r>
              <w:rPr>
                <w:rFonts w:ascii="Arial" w:cs="Arial" w:eastAsia="Arial" w:hAnsi="Arial"/>
                <w:sz w:val="18"/>
                <w:szCs w:val="18"/>
                <w:b w:val="1"/>
                <w:bCs w:val="1"/>
                <w:color w:val="auto"/>
              </w:rPr>
              <w:t>Europe</w:t>
            </w:r>
          </w:p>
        </w:tc>
        <w:tc>
          <w:tcPr>
            <w:tcW w:w="432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230"/>
        </w:trPr>
        <w:tc>
          <w:tcPr>
            <w:tcW w:w="2840" w:type="dxa"/>
            <w:vAlign w:val="bottom"/>
          </w:tcPr>
          <w:p>
            <w:pPr>
              <w:ind w:left="440"/>
              <w:spacing w:after="0"/>
              <w:rPr>
                <w:sz w:val="20"/>
                <w:szCs w:val="20"/>
                <w:color w:val="auto"/>
              </w:rPr>
            </w:pPr>
            <w:r>
              <w:rPr>
                <w:rFonts w:ascii="Arial" w:cs="Arial" w:eastAsia="Arial" w:hAnsi="Arial"/>
                <w:sz w:val="18"/>
                <w:szCs w:val="18"/>
                <w:color w:val="auto"/>
              </w:rPr>
              <w:t>Owned/leased</w:t>
            </w:r>
          </w:p>
        </w:tc>
        <w:tc>
          <w:tcPr>
            <w:tcW w:w="6400" w:type="dxa"/>
            <w:vAlign w:val="bottom"/>
            <w:gridSpan w:val="2"/>
          </w:tcPr>
          <w:p>
            <w:pPr>
              <w:jc w:val="right"/>
              <w:spacing w:after="0"/>
              <w:rPr>
                <w:sz w:val="20"/>
                <w:szCs w:val="20"/>
                <w:color w:val="auto"/>
              </w:rPr>
            </w:pPr>
            <w:r>
              <w:rPr>
                <w:rFonts w:ascii="Arial" w:cs="Arial" w:eastAsia="Arial" w:hAnsi="Arial"/>
                <w:sz w:val="18"/>
                <w:szCs w:val="18"/>
                <w:color w:val="auto"/>
              </w:rPr>
              <w:t>197</w:t>
            </w:r>
          </w:p>
        </w:tc>
      </w:tr>
      <w:tr>
        <w:trPr>
          <w:trHeight w:val="230"/>
        </w:trPr>
        <w:tc>
          <w:tcPr>
            <w:tcW w:w="2840" w:type="dxa"/>
            <w:vAlign w:val="bottom"/>
          </w:tcPr>
          <w:p>
            <w:pPr>
              <w:ind w:left="440"/>
              <w:spacing w:after="0"/>
              <w:rPr>
                <w:sz w:val="20"/>
                <w:szCs w:val="20"/>
                <w:color w:val="auto"/>
              </w:rPr>
            </w:pPr>
            <w:r>
              <w:rPr>
                <w:rFonts w:ascii="Arial" w:cs="Arial" w:eastAsia="Arial" w:hAnsi="Arial"/>
                <w:sz w:val="18"/>
                <w:szCs w:val="18"/>
                <w:color w:val="auto"/>
              </w:rPr>
              <w:t>Distributors/resellers</w:t>
            </w:r>
          </w:p>
        </w:tc>
        <w:tc>
          <w:tcPr>
            <w:tcW w:w="6400" w:type="dxa"/>
            <w:vAlign w:val="bottom"/>
            <w:gridSpan w:val="2"/>
          </w:tcPr>
          <w:p>
            <w:pPr>
              <w:jc w:val="right"/>
              <w:spacing w:after="0"/>
              <w:rPr>
                <w:sz w:val="20"/>
                <w:szCs w:val="20"/>
                <w:color w:val="auto"/>
              </w:rPr>
            </w:pPr>
            <w:r>
              <w:rPr>
                <w:rFonts w:ascii="Arial" w:cs="Arial" w:eastAsia="Arial" w:hAnsi="Arial"/>
                <w:sz w:val="18"/>
                <w:szCs w:val="18"/>
                <w:color w:val="auto"/>
              </w:rPr>
              <w:t>5,834</w:t>
            </w:r>
          </w:p>
        </w:tc>
      </w:tr>
      <w:tr>
        <w:trPr>
          <w:trHeight w:val="224"/>
        </w:trPr>
        <w:tc>
          <w:tcPr>
            <w:tcW w:w="2840" w:type="dxa"/>
            <w:vAlign w:val="bottom"/>
          </w:tcPr>
          <w:p>
            <w:pPr>
              <w:ind w:left="840"/>
              <w:spacing w:after="0"/>
              <w:rPr>
                <w:sz w:val="20"/>
                <w:szCs w:val="20"/>
                <w:color w:val="auto"/>
              </w:rPr>
            </w:pPr>
            <w:r>
              <w:rPr>
                <w:rFonts w:ascii="Arial" w:cs="Arial" w:eastAsia="Arial" w:hAnsi="Arial"/>
                <w:sz w:val="18"/>
                <w:szCs w:val="18"/>
                <w:color w:val="auto"/>
              </w:rPr>
              <w:t>Total Europe</w:t>
            </w:r>
          </w:p>
        </w:tc>
        <w:tc>
          <w:tcPr>
            <w:tcW w:w="4320" w:type="dxa"/>
            <w:vAlign w:val="bottom"/>
          </w:tcPr>
          <w:p>
            <w:pPr>
              <w:spacing w:after="0"/>
              <w:rPr>
                <w:sz w:val="19"/>
                <w:szCs w:val="19"/>
                <w:color w:val="auto"/>
              </w:rPr>
            </w:pPr>
          </w:p>
        </w:tc>
        <w:tc>
          <w:tcPr>
            <w:tcW w:w="2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6,031</w:t>
            </w:r>
          </w:p>
        </w:tc>
      </w:tr>
      <w:tr>
        <w:trPr>
          <w:trHeight w:val="444"/>
        </w:trPr>
        <w:tc>
          <w:tcPr>
            <w:tcW w:w="2840" w:type="dxa"/>
            <w:vAlign w:val="bottom"/>
          </w:tcPr>
          <w:p>
            <w:pPr>
              <w:spacing w:after="0"/>
              <w:rPr>
                <w:sz w:val="20"/>
                <w:szCs w:val="20"/>
                <w:color w:val="auto"/>
              </w:rPr>
            </w:pPr>
            <w:r>
              <w:rPr>
                <w:rFonts w:ascii="Arial" w:cs="Arial" w:eastAsia="Arial" w:hAnsi="Arial"/>
                <w:sz w:val="18"/>
                <w:szCs w:val="18"/>
                <w:b w:val="1"/>
                <w:bCs w:val="1"/>
                <w:color w:val="auto"/>
              </w:rPr>
              <w:t>Asia Pacific</w:t>
            </w:r>
          </w:p>
        </w:tc>
        <w:tc>
          <w:tcPr>
            <w:tcW w:w="432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230"/>
        </w:trPr>
        <w:tc>
          <w:tcPr>
            <w:tcW w:w="2840" w:type="dxa"/>
            <w:vAlign w:val="bottom"/>
          </w:tcPr>
          <w:p>
            <w:pPr>
              <w:ind w:left="440"/>
              <w:spacing w:after="0"/>
              <w:rPr>
                <w:sz w:val="20"/>
                <w:szCs w:val="20"/>
                <w:color w:val="auto"/>
              </w:rPr>
            </w:pPr>
            <w:r>
              <w:rPr>
                <w:rFonts w:ascii="Arial" w:cs="Arial" w:eastAsia="Arial" w:hAnsi="Arial"/>
                <w:sz w:val="18"/>
                <w:szCs w:val="18"/>
                <w:color w:val="auto"/>
              </w:rPr>
              <w:t>Owned/leased</w:t>
            </w:r>
          </w:p>
        </w:tc>
        <w:tc>
          <w:tcPr>
            <w:tcW w:w="6400" w:type="dxa"/>
            <w:vAlign w:val="bottom"/>
            <w:gridSpan w:val="2"/>
          </w:tcPr>
          <w:p>
            <w:pPr>
              <w:jc w:val="right"/>
              <w:spacing w:after="0"/>
              <w:rPr>
                <w:sz w:val="20"/>
                <w:szCs w:val="20"/>
                <w:color w:val="auto"/>
              </w:rPr>
            </w:pPr>
            <w:r>
              <w:rPr>
                <w:rFonts w:ascii="Arial" w:cs="Arial" w:eastAsia="Arial" w:hAnsi="Arial"/>
                <w:sz w:val="18"/>
                <w:szCs w:val="18"/>
                <w:color w:val="auto"/>
              </w:rPr>
              <w:t>566</w:t>
            </w:r>
          </w:p>
        </w:tc>
      </w:tr>
      <w:tr>
        <w:trPr>
          <w:trHeight w:val="230"/>
        </w:trPr>
        <w:tc>
          <w:tcPr>
            <w:tcW w:w="2840" w:type="dxa"/>
            <w:vAlign w:val="bottom"/>
          </w:tcPr>
          <w:p>
            <w:pPr>
              <w:ind w:left="440"/>
              <w:spacing w:after="0"/>
              <w:rPr>
                <w:sz w:val="20"/>
                <w:szCs w:val="20"/>
                <w:color w:val="auto"/>
              </w:rPr>
            </w:pPr>
            <w:r>
              <w:rPr>
                <w:rFonts w:ascii="Arial" w:cs="Arial" w:eastAsia="Arial" w:hAnsi="Arial"/>
                <w:sz w:val="18"/>
                <w:szCs w:val="18"/>
                <w:color w:val="auto"/>
              </w:rPr>
              <w:t>Distributors/resellers</w:t>
            </w:r>
          </w:p>
        </w:tc>
        <w:tc>
          <w:tcPr>
            <w:tcW w:w="6400" w:type="dxa"/>
            <w:vAlign w:val="bottom"/>
            <w:gridSpan w:val="2"/>
          </w:tcPr>
          <w:p>
            <w:pPr>
              <w:jc w:val="right"/>
              <w:spacing w:after="0"/>
              <w:rPr>
                <w:sz w:val="20"/>
                <w:szCs w:val="20"/>
                <w:color w:val="auto"/>
              </w:rPr>
            </w:pPr>
            <w:r>
              <w:rPr>
                <w:rFonts w:ascii="Arial" w:cs="Arial" w:eastAsia="Arial" w:hAnsi="Arial"/>
                <w:sz w:val="18"/>
                <w:szCs w:val="18"/>
                <w:color w:val="auto"/>
              </w:rPr>
              <w:t>1,327</w:t>
            </w:r>
          </w:p>
        </w:tc>
      </w:tr>
      <w:tr>
        <w:trPr>
          <w:trHeight w:val="224"/>
        </w:trPr>
        <w:tc>
          <w:tcPr>
            <w:tcW w:w="2840" w:type="dxa"/>
            <w:vAlign w:val="bottom"/>
          </w:tcPr>
          <w:p>
            <w:pPr>
              <w:ind w:left="840"/>
              <w:spacing w:after="0"/>
              <w:rPr>
                <w:sz w:val="20"/>
                <w:szCs w:val="20"/>
                <w:color w:val="auto"/>
              </w:rPr>
            </w:pPr>
            <w:r>
              <w:rPr>
                <w:rFonts w:ascii="Arial" w:cs="Arial" w:eastAsia="Arial" w:hAnsi="Arial"/>
                <w:sz w:val="18"/>
                <w:szCs w:val="18"/>
                <w:color w:val="auto"/>
              </w:rPr>
              <w:t>Total Asia Pacific</w:t>
            </w:r>
          </w:p>
        </w:tc>
        <w:tc>
          <w:tcPr>
            <w:tcW w:w="4320" w:type="dxa"/>
            <w:vAlign w:val="bottom"/>
          </w:tcPr>
          <w:p>
            <w:pPr>
              <w:spacing w:after="0"/>
              <w:rPr>
                <w:sz w:val="19"/>
                <w:szCs w:val="19"/>
                <w:color w:val="auto"/>
              </w:rPr>
            </w:pPr>
          </w:p>
        </w:tc>
        <w:tc>
          <w:tcPr>
            <w:tcW w:w="2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1,893</w:t>
            </w:r>
          </w:p>
        </w:tc>
      </w:tr>
      <w:tr>
        <w:trPr>
          <w:trHeight w:val="444"/>
        </w:trPr>
        <w:tc>
          <w:tcPr>
            <w:tcW w:w="2840" w:type="dxa"/>
            <w:vAlign w:val="bottom"/>
          </w:tcPr>
          <w:p>
            <w:pPr>
              <w:spacing w:after="0"/>
              <w:rPr>
                <w:sz w:val="20"/>
                <w:szCs w:val="20"/>
                <w:color w:val="auto"/>
              </w:rPr>
            </w:pPr>
            <w:r>
              <w:rPr>
                <w:rFonts w:ascii="Arial" w:cs="Arial" w:eastAsia="Arial" w:hAnsi="Arial"/>
                <w:sz w:val="18"/>
                <w:szCs w:val="18"/>
                <w:b w:val="1"/>
                <w:bCs w:val="1"/>
                <w:color w:val="auto"/>
              </w:rPr>
              <w:t>Latin America</w:t>
            </w:r>
          </w:p>
        </w:tc>
        <w:tc>
          <w:tcPr>
            <w:tcW w:w="432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230"/>
        </w:trPr>
        <w:tc>
          <w:tcPr>
            <w:tcW w:w="2840" w:type="dxa"/>
            <w:vAlign w:val="bottom"/>
          </w:tcPr>
          <w:p>
            <w:pPr>
              <w:ind w:left="440"/>
              <w:spacing w:after="0"/>
              <w:rPr>
                <w:sz w:val="20"/>
                <w:szCs w:val="20"/>
                <w:color w:val="auto"/>
              </w:rPr>
            </w:pPr>
            <w:r>
              <w:rPr>
                <w:rFonts w:ascii="Arial" w:cs="Arial" w:eastAsia="Arial" w:hAnsi="Arial"/>
                <w:sz w:val="18"/>
                <w:szCs w:val="18"/>
                <w:color w:val="auto"/>
              </w:rPr>
              <w:t>Owned/leased</w:t>
            </w:r>
          </w:p>
        </w:tc>
        <w:tc>
          <w:tcPr>
            <w:tcW w:w="432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840" w:type="dxa"/>
            <w:vAlign w:val="bottom"/>
          </w:tcPr>
          <w:p>
            <w:pPr>
              <w:ind w:left="440"/>
              <w:spacing w:after="0"/>
              <w:rPr>
                <w:sz w:val="20"/>
                <w:szCs w:val="20"/>
                <w:color w:val="auto"/>
              </w:rPr>
            </w:pPr>
            <w:r>
              <w:rPr>
                <w:rFonts w:ascii="Arial" w:cs="Arial" w:eastAsia="Arial" w:hAnsi="Arial"/>
                <w:sz w:val="18"/>
                <w:szCs w:val="18"/>
                <w:color w:val="auto"/>
              </w:rPr>
              <w:t>Distributors/resellers</w:t>
            </w:r>
          </w:p>
        </w:tc>
        <w:tc>
          <w:tcPr>
            <w:tcW w:w="6400" w:type="dxa"/>
            <w:vAlign w:val="bottom"/>
            <w:gridSpan w:val="2"/>
          </w:tcPr>
          <w:p>
            <w:pPr>
              <w:jc w:val="right"/>
              <w:spacing w:after="0"/>
              <w:rPr>
                <w:sz w:val="20"/>
                <w:szCs w:val="20"/>
                <w:color w:val="auto"/>
              </w:rPr>
            </w:pPr>
            <w:r>
              <w:rPr>
                <w:rFonts w:ascii="Arial" w:cs="Arial" w:eastAsia="Arial" w:hAnsi="Arial"/>
                <w:sz w:val="18"/>
                <w:szCs w:val="18"/>
                <w:color w:val="auto"/>
              </w:rPr>
              <w:t>489</w:t>
            </w:r>
          </w:p>
        </w:tc>
      </w:tr>
      <w:tr>
        <w:trPr>
          <w:trHeight w:val="224"/>
        </w:trPr>
        <w:tc>
          <w:tcPr>
            <w:tcW w:w="2840" w:type="dxa"/>
            <w:vAlign w:val="bottom"/>
          </w:tcPr>
          <w:p>
            <w:pPr>
              <w:ind w:left="840"/>
              <w:spacing w:after="0"/>
              <w:rPr>
                <w:sz w:val="20"/>
                <w:szCs w:val="20"/>
                <w:color w:val="auto"/>
              </w:rPr>
            </w:pPr>
            <w:r>
              <w:rPr>
                <w:rFonts w:ascii="Arial" w:cs="Arial" w:eastAsia="Arial" w:hAnsi="Arial"/>
                <w:sz w:val="18"/>
                <w:szCs w:val="18"/>
                <w:color w:val="auto"/>
              </w:rPr>
              <w:t>Total Latin America</w:t>
            </w:r>
          </w:p>
        </w:tc>
        <w:tc>
          <w:tcPr>
            <w:tcW w:w="4320" w:type="dxa"/>
            <w:vAlign w:val="bottom"/>
          </w:tcPr>
          <w:p>
            <w:pPr>
              <w:spacing w:after="0"/>
              <w:rPr>
                <w:sz w:val="19"/>
                <w:szCs w:val="19"/>
                <w:color w:val="auto"/>
              </w:rPr>
            </w:pPr>
          </w:p>
        </w:tc>
        <w:tc>
          <w:tcPr>
            <w:tcW w:w="2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489</w:t>
            </w:r>
          </w:p>
        </w:tc>
      </w:tr>
      <w:tr>
        <w:trPr>
          <w:trHeight w:val="444"/>
        </w:trPr>
        <w:tc>
          <w:tcPr>
            <w:tcW w:w="2840" w:type="dxa"/>
            <w:vAlign w:val="bottom"/>
          </w:tcPr>
          <w:p>
            <w:pPr>
              <w:spacing w:after="0"/>
              <w:rPr>
                <w:sz w:val="20"/>
                <w:szCs w:val="20"/>
                <w:color w:val="auto"/>
              </w:rPr>
            </w:pPr>
            <w:r>
              <w:rPr>
                <w:rFonts w:ascii="Arial" w:cs="Arial" w:eastAsia="Arial" w:hAnsi="Arial"/>
                <w:sz w:val="18"/>
                <w:szCs w:val="18"/>
                <w:b w:val="1"/>
                <w:bCs w:val="1"/>
                <w:color w:val="auto"/>
              </w:rPr>
              <w:t>Middle East/Africa</w:t>
            </w:r>
          </w:p>
        </w:tc>
        <w:tc>
          <w:tcPr>
            <w:tcW w:w="432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230"/>
        </w:trPr>
        <w:tc>
          <w:tcPr>
            <w:tcW w:w="2840" w:type="dxa"/>
            <w:vAlign w:val="bottom"/>
          </w:tcPr>
          <w:p>
            <w:pPr>
              <w:ind w:left="440"/>
              <w:spacing w:after="0"/>
              <w:rPr>
                <w:sz w:val="20"/>
                <w:szCs w:val="20"/>
                <w:color w:val="auto"/>
              </w:rPr>
            </w:pPr>
            <w:r>
              <w:rPr>
                <w:rFonts w:ascii="Arial" w:cs="Arial" w:eastAsia="Arial" w:hAnsi="Arial"/>
                <w:sz w:val="18"/>
                <w:szCs w:val="18"/>
                <w:color w:val="auto"/>
              </w:rPr>
              <w:t>Owned/leased</w:t>
            </w:r>
          </w:p>
        </w:tc>
        <w:tc>
          <w:tcPr>
            <w:tcW w:w="6400" w:type="dxa"/>
            <w:vAlign w:val="bottom"/>
            <w:gridSpan w:val="2"/>
          </w:tcPr>
          <w:p>
            <w:pPr>
              <w:jc w:val="right"/>
              <w:spacing w:after="0"/>
              <w:rPr>
                <w:sz w:val="20"/>
                <w:szCs w:val="20"/>
                <w:color w:val="auto"/>
              </w:rPr>
            </w:pPr>
            <w:r>
              <w:rPr>
                <w:rFonts w:ascii="Arial" w:cs="Arial" w:eastAsia="Arial" w:hAnsi="Arial"/>
                <w:sz w:val="18"/>
                <w:szCs w:val="18"/>
                <w:color w:val="auto"/>
              </w:rPr>
              <w:t>223</w:t>
            </w:r>
          </w:p>
        </w:tc>
      </w:tr>
      <w:tr>
        <w:trPr>
          <w:trHeight w:val="230"/>
        </w:trPr>
        <w:tc>
          <w:tcPr>
            <w:tcW w:w="2840" w:type="dxa"/>
            <w:vAlign w:val="bottom"/>
          </w:tcPr>
          <w:p>
            <w:pPr>
              <w:ind w:left="440"/>
              <w:spacing w:after="0"/>
              <w:rPr>
                <w:sz w:val="20"/>
                <w:szCs w:val="20"/>
                <w:color w:val="auto"/>
              </w:rPr>
            </w:pPr>
            <w:r>
              <w:rPr>
                <w:rFonts w:ascii="Arial" w:cs="Arial" w:eastAsia="Arial" w:hAnsi="Arial"/>
                <w:sz w:val="18"/>
                <w:szCs w:val="18"/>
                <w:color w:val="auto"/>
              </w:rPr>
              <w:t>Distributors/resellers</w:t>
            </w:r>
          </w:p>
        </w:tc>
        <w:tc>
          <w:tcPr>
            <w:tcW w:w="6400" w:type="dxa"/>
            <w:vAlign w:val="bottom"/>
            <w:gridSpan w:val="2"/>
          </w:tcPr>
          <w:p>
            <w:pPr>
              <w:jc w:val="right"/>
              <w:spacing w:after="0"/>
              <w:rPr>
                <w:sz w:val="20"/>
                <w:szCs w:val="20"/>
                <w:color w:val="auto"/>
              </w:rPr>
            </w:pPr>
            <w:r>
              <w:rPr>
                <w:rFonts w:ascii="Arial" w:cs="Arial" w:eastAsia="Arial" w:hAnsi="Arial"/>
                <w:sz w:val="18"/>
                <w:szCs w:val="18"/>
                <w:color w:val="auto"/>
              </w:rPr>
              <w:t>205</w:t>
            </w:r>
          </w:p>
        </w:tc>
      </w:tr>
      <w:tr>
        <w:trPr>
          <w:trHeight w:val="224"/>
        </w:trPr>
        <w:tc>
          <w:tcPr>
            <w:tcW w:w="2840" w:type="dxa"/>
            <w:vAlign w:val="bottom"/>
          </w:tcPr>
          <w:p>
            <w:pPr>
              <w:ind w:left="840"/>
              <w:spacing w:after="0"/>
              <w:rPr>
                <w:sz w:val="20"/>
                <w:szCs w:val="20"/>
                <w:color w:val="auto"/>
              </w:rPr>
            </w:pPr>
            <w:r>
              <w:rPr>
                <w:rFonts w:ascii="Arial" w:cs="Arial" w:eastAsia="Arial" w:hAnsi="Arial"/>
                <w:sz w:val="18"/>
                <w:szCs w:val="18"/>
                <w:color w:val="auto"/>
              </w:rPr>
              <w:t>Total Middle East/Africa</w:t>
            </w:r>
          </w:p>
        </w:tc>
        <w:tc>
          <w:tcPr>
            <w:tcW w:w="4320" w:type="dxa"/>
            <w:vAlign w:val="bottom"/>
          </w:tcPr>
          <w:p>
            <w:pPr>
              <w:spacing w:after="0"/>
              <w:rPr>
                <w:sz w:val="19"/>
                <w:szCs w:val="19"/>
                <w:color w:val="auto"/>
              </w:rPr>
            </w:pPr>
          </w:p>
        </w:tc>
        <w:tc>
          <w:tcPr>
            <w:tcW w:w="2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428</w:t>
            </w:r>
          </w:p>
        </w:tc>
      </w:tr>
      <w:tr>
        <w:trPr>
          <w:trHeight w:val="444"/>
        </w:trPr>
        <w:tc>
          <w:tcPr>
            <w:tcW w:w="2840" w:type="dxa"/>
            <w:vAlign w:val="bottom"/>
          </w:tcPr>
          <w:p>
            <w:pPr>
              <w:spacing w:after="0"/>
              <w:rPr>
                <w:sz w:val="20"/>
                <w:szCs w:val="20"/>
                <w:color w:val="auto"/>
              </w:rPr>
            </w:pPr>
            <w:r>
              <w:rPr>
                <w:rFonts w:ascii="Arial" w:cs="Arial" w:eastAsia="Arial" w:hAnsi="Arial"/>
                <w:sz w:val="18"/>
                <w:szCs w:val="18"/>
                <w:b w:val="1"/>
                <w:bCs w:val="1"/>
                <w:color w:val="auto"/>
              </w:rPr>
              <w:t>Worldwide</w:t>
            </w:r>
          </w:p>
        </w:tc>
        <w:tc>
          <w:tcPr>
            <w:tcW w:w="432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230"/>
        </w:trPr>
        <w:tc>
          <w:tcPr>
            <w:tcW w:w="2840" w:type="dxa"/>
            <w:vAlign w:val="bottom"/>
          </w:tcPr>
          <w:p>
            <w:pPr>
              <w:ind w:left="440"/>
              <w:spacing w:after="0"/>
              <w:rPr>
                <w:sz w:val="20"/>
                <w:szCs w:val="20"/>
                <w:color w:val="auto"/>
              </w:rPr>
            </w:pPr>
            <w:r>
              <w:rPr>
                <w:rFonts w:ascii="Arial" w:cs="Arial" w:eastAsia="Arial" w:hAnsi="Arial"/>
                <w:sz w:val="18"/>
                <w:szCs w:val="18"/>
                <w:color w:val="auto"/>
              </w:rPr>
              <w:t>Owned/leased</w:t>
            </w:r>
          </w:p>
        </w:tc>
        <w:tc>
          <w:tcPr>
            <w:tcW w:w="6400" w:type="dxa"/>
            <w:vAlign w:val="bottom"/>
            <w:gridSpan w:val="2"/>
          </w:tcPr>
          <w:p>
            <w:pPr>
              <w:jc w:val="right"/>
              <w:spacing w:after="0"/>
              <w:rPr>
                <w:sz w:val="20"/>
                <w:szCs w:val="20"/>
                <w:color w:val="auto"/>
              </w:rPr>
            </w:pPr>
            <w:r>
              <w:rPr>
                <w:rFonts w:ascii="Arial" w:cs="Arial" w:eastAsia="Arial" w:hAnsi="Arial"/>
                <w:sz w:val="18"/>
                <w:szCs w:val="18"/>
                <w:color w:val="auto"/>
              </w:rPr>
              <w:t>986</w:t>
            </w:r>
          </w:p>
        </w:tc>
      </w:tr>
      <w:tr>
        <w:trPr>
          <w:trHeight w:val="230"/>
        </w:trPr>
        <w:tc>
          <w:tcPr>
            <w:tcW w:w="2840" w:type="dxa"/>
            <w:vAlign w:val="bottom"/>
          </w:tcPr>
          <w:p>
            <w:pPr>
              <w:ind w:left="440"/>
              <w:spacing w:after="0"/>
              <w:rPr>
                <w:sz w:val="20"/>
                <w:szCs w:val="20"/>
                <w:color w:val="auto"/>
              </w:rPr>
            </w:pPr>
            <w:r>
              <w:rPr>
                <w:rFonts w:ascii="Arial" w:cs="Arial" w:eastAsia="Arial" w:hAnsi="Arial"/>
                <w:sz w:val="18"/>
                <w:szCs w:val="18"/>
                <w:color w:val="auto"/>
              </w:rPr>
              <w:t>Distributors/resellers</w:t>
            </w:r>
          </w:p>
        </w:tc>
        <w:tc>
          <w:tcPr>
            <w:tcW w:w="6400" w:type="dxa"/>
            <w:vAlign w:val="bottom"/>
            <w:gridSpan w:val="2"/>
          </w:tcPr>
          <w:p>
            <w:pPr>
              <w:jc w:val="right"/>
              <w:spacing w:after="0"/>
              <w:rPr>
                <w:sz w:val="20"/>
                <w:szCs w:val="20"/>
                <w:color w:val="auto"/>
              </w:rPr>
            </w:pPr>
            <w:r>
              <w:rPr>
                <w:rFonts w:ascii="Arial" w:cs="Arial" w:eastAsia="Arial" w:hAnsi="Arial"/>
                <w:sz w:val="18"/>
                <w:szCs w:val="18"/>
                <w:color w:val="auto"/>
              </w:rPr>
              <w:t>21,559</w:t>
            </w:r>
          </w:p>
        </w:tc>
      </w:tr>
      <w:tr>
        <w:trPr>
          <w:trHeight w:val="223"/>
        </w:trPr>
        <w:tc>
          <w:tcPr>
            <w:tcW w:w="2840" w:type="dxa"/>
            <w:vAlign w:val="bottom"/>
          </w:tcPr>
          <w:p>
            <w:pPr>
              <w:ind w:left="840"/>
              <w:spacing w:after="0"/>
              <w:rPr>
                <w:sz w:val="20"/>
                <w:szCs w:val="20"/>
                <w:color w:val="auto"/>
              </w:rPr>
            </w:pPr>
            <w:r>
              <w:rPr>
                <w:rFonts w:ascii="Arial" w:cs="Arial" w:eastAsia="Arial" w:hAnsi="Arial"/>
                <w:sz w:val="18"/>
                <w:szCs w:val="18"/>
                <w:color w:val="auto"/>
              </w:rPr>
              <w:t>Total Worldwide</w:t>
            </w:r>
          </w:p>
        </w:tc>
        <w:tc>
          <w:tcPr>
            <w:tcW w:w="4320" w:type="dxa"/>
            <w:vAlign w:val="bottom"/>
          </w:tcPr>
          <w:p>
            <w:pPr>
              <w:spacing w:after="0"/>
              <w:rPr>
                <w:sz w:val="19"/>
                <w:szCs w:val="19"/>
                <w:color w:val="auto"/>
              </w:rPr>
            </w:pPr>
          </w:p>
        </w:tc>
        <w:tc>
          <w:tcPr>
            <w:tcW w:w="2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22,545</w:t>
            </w: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976" w:right="89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Information with regard to the Chemical segment follows:</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ExxonMobil’s Chemical segment manufactures and sells petrochemicals. The Chemical business supplies olefins, polyolefins, aromatics, and a wide variety of other petrochemicals.</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Chemical Complex Capacity At Year-End 2021 </w:t>
      </w:r>
      <w:r>
        <w:rPr>
          <w:rFonts w:ascii="Arial" w:cs="Arial" w:eastAsia="Arial" w:hAnsi="Arial"/>
          <w:sz w:val="14"/>
          <w:szCs w:val="14"/>
          <w:i w:val="1"/>
          <w:iCs w:val="1"/>
          <w:color w:val="auto"/>
        </w:rPr>
        <w:t>(1)</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94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rPr>
              <w:t>Ethylene</w:t>
            </w:r>
          </w:p>
        </w:tc>
        <w:tc>
          <w:tcPr>
            <w:tcW w:w="116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Polyethylene</w:t>
            </w:r>
          </w:p>
        </w:tc>
        <w:tc>
          <w:tcPr>
            <w:tcW w:w="126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rPr>
              <w:t>Polypropylene</w:t>
            </w:r>
          </w:p>
        </w:tc>
        <w:tc>
          <w:tcPr>
            <w:tcW w:w="96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rPr>
              <w:t>Paraxylene</w:t>
            </w:r>
          </w:p>
        </w:tc>
        <w:tc>
          <w:tcPr>
            <w:tcW w:w="1100" w:type="dxa"/>
            <w:vAlign w:val="bottom"/>
          </w:tcPr>
          <w:p>
            <w:pPr>
              <w:jc w:val="right"/>
              <w:ind w:right="32"/>
              <w:spacing w:after="0"/>
              <w:rPr>
                <w:sz w:val="20"/>
                <w:szCs w:val="20"/>
                <w:color w:val="auto"/>
              </w:rPr>
            </w:pPr>
            <w:r>
              <w:rPr>
                <w:rFonts w:ascii="Arial" w:cs="Arial" w:eastAsia="Arial" w:hAnsi="Arial"/>
                <w:sz w:val="14"/>
                <w:szCs w:val="14"/>
                <w:b w:val="1"/>
                <w:bCs w:val="1"/>
                <w:color w:val="auto"/>
              </w:rPr>
              <w:t>ExxonMobil</w:t>
            </w:r>
          </w:p>
        </w:tc>
        <w:tc>
          <w:tcPr>
            <w:tcW w:w="0" w:type="dxa"/>
            <w:vAlign w:val="bottom"/>
          </w:tcPr>
          <w:p>
            <w:pPr>
              <w:spacing w:after="0"/>
              <w:rPr>
                <w:sz w:val="1"/>
                <w:szCs w:val="1"/>
                <w:color w:val="auto"/>
              </w:rPr>
            </w:pPr>
          </w:p>
        </w:tc>
      </w:tr>
      <w:tr>
        <w:trPr>
          <w:trHeight w:val="105"/>
        </w:trPr>
        <w:tc>
          <w:tcPr>
            <w:tcW w:w="3040" w:type="dxa"/>
            <w:vAlign w:val="bottom"/>
          </w:tcPr>
          <w:p>
            <w:pPr>
              <w:spacing w:after="0"/>
              <w:rPr>
                <w:sz w:val="9"/>
                <w:szCs w:val="9"/>
                <w:color w:val="auto"/>
              </w:rPr>
            </w:pPr>
          </w:p>
        </w:tc>
        <w:tc>
          <w:tcPr>
            <w:tcW w:w="278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110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rPr>
              <w:t>Interest %</w:t>
            </w:r>
          </w:p>
        </w:tc>
        <w:tc>
          <w:tcPr>
            <w:tcW w:w="0" w:type="dxa"/>
            <w:vAlign w:val="bottom"/>
          </w:tcPr>
          <w:p>
            <w:pPr>
              <w:spacing w:after="0"/>
              <w:rPr>
                <w:sz w:val="1"/>
                <w:szCs w:val="1"/>
                <w:color w:val="auto"/>
              </w:rPr>
            </w:pPr>
          </w:p>
        </w:tc>
      </w:tr>
      <w:tr>
        <w:trPr>
          <w:trHeight w:val="81"/>
        </w:trPr>
        <w:tc>
          <w:tcPr>
            <w:tcW w:w="3040" w:type="dxa"/>
            <w:vAlign w:val="bottom"/>
          </w:tcPr>
          <w:p>
            <w:pPr>
              <w:spacing w:after="0"/>
              <w:rPr>
                <w:sz w:val="7"/>
                <w:szCs w:val="7"/>
                <w:color w:val="auto"/>
              </w:rPr>
            </w:pPr>
          </w:p>
        </w:tc>
        <w:tc>
          <w:tcPr>
            <w:tcW w:w="27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60" w:type="dxa"/>
            <w:vAlign w:val="bottom"/>
          </w:tcPr>
          <w:p>
            <w:pPr>
              <w:spacing w:after="0"/>
              <w:rPr>
                <w:sz w:val="7"/>
                <w:szCs w:val="7"/>
                <w:color w:val="auto"/>
              </w:rPr>
            </w:pPr>
          </w:p>
        </w:tc>
        <w:tc>
          <w:tcPr>
            <w:tcW w:w="96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6"/>
        </w:trPr>
        <w:tc>
          <w:tcPr>
            <w:tcW w:w="304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04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20" w:type="dxa"/>
            <w:vAlign w:val="bottom"/>
            <w:gridSpan w:val="2"/>
          </w:tcPr>
          <w:p>
            <w:pPr>
              <w:jc w:val="right"/>
              <w:ind w:right="151"/>
              <w:spacing w:after="0"/>
              <w:rPr>
                <w:sz w:val="20"/>
                <w:szCs w:val="20"/>
                <w:color w:val="auto"/>
              </w:rPr>
            </w:pPr>
            <w:r>
              <w:rPr>
                <w:rFonts w:ascii="Arial" w:cs="Arial" w:eastAsia="Arial" w:hAnsi="Arial"/>
                <w:sz w:val="14"/>
                <w:szCs w:val="14"/>
                <w:i w:val="1"/>
                <w:iCs w:val="1"/>
                <w:color w:val="auto"/>
              </w:rPr>
              <w:t>(millions of metric tons per year)</w:t>
            </w:r>
          </w:p>
        </w:tc>
        <w:tc>
          <w:tcPr>
            <w:tcW w:w="9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3040" w:type="dxa"/>
            <w:vAlign w:val="bottom"/>
          </w:tcPr>
          <w:p>
            <w:pPr>
              <w:ind w:left="20"/>
              <w:spacing w:after="0"/>
              <w:rPr>
                <w:sz w:val="20"/>
                <w:szCs w:val="20"/>
                <w:color w:val="auto"/>
              </w:rPr>
            </w:pPr>
            <w:r>
              <w:rPr>
                <w:rFonts w:ascii="Arial" w:cs="Arial" w:eastAsia="Arial" w:hAnsi="Arial"/>
                <w:sz w:val="18"/>
                <w:szCs w:val="18"/>
                <w:b w:val="1"/>
                <w:bCs w:val="1"/>
                <w:color w:val="auto"/>
              </w:rPr>
              <w:t>North America</w:t>
            </w:r>
          </w:p>
        </w:tc>
        <w:tc>
          <w:tcPr>
            <w:tcW w:w="27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040" w:type="dxa"/>
            <w:vAlign w:val="bottom"/>
          </w:tcPr>
          <w:p>
            <w:pPr>
              <w:ind w:left="480"/>
              <w:spacing w:after="0"/>
              <w:rPr>
                <w:sz w:val="20"/>
                <w:szCs w:val="20"/>
                <w:color w:val="auto"/>
              </w:rPr>
            </w:pPr>
            <w:r>
              <w:rPr>
                <w:rFonts w:ascii="Arial" w:cs="Arial" w:eastAsia="Arial" w:hAnsi="Arial"/>
                <w:sz w:val="18"/>
                <w:szCs w:val="18"/>
                <w:color w:val="auto"/>
              </w:rPr>
              <w:t>Baton Rouge</w:t>
            </w:r>
          </w:p>
        </w:tc>
        <w:tc>
          <w:tcPr>
            <w:tcW w:w="2780" w:type="dxa"/>
            <w:vAlign w:val="bottom"/>
          </w:tcPr>
          <w:p>
            <w:pPr>
              <w:ind w:left="680"/>
              <w:spacing w:after="0"/>
              <w:rPr>
                <w:sz w:val="20"/>
                <w:szCs w:val="20"/>
                <w:color w:val="auto"/>
              </w:rPr>
            </w:pPr>
            <w:r>
              <w:rPr>
                <w:rFonts w:ascii="Arial" w:cs="Arial" w:eastAsia="Arial" w:hAnsi="Arial"/>
                <w:sz w:val="18"/>
                <w:szCs w:val="18"/>
                <w:color w:val="auto"/>
              </w:rPr>
              <w:t>Louisiana</w:t>
            </w:r>
          </w:p>
        </w:tc>
        <w:tc>
          <w:tcPr>
            <w:tcW w:w="940" w:type="dxa"/>
            <w:vAlign w:val="bottom"/>
          </w:tcPr>
          <w:p>
            <w:pPr>
              <w:jc w:val="right"/>
              <w:ind w:right="71"/>
              <w:spacing w:after="0"/>
              <w:rPr>
                <w:sz w:val="20"/>
                <w:szCs w:val="20"/>
                <w:color w:val="auto"/>
              </w:rPr>
            </w:pPr>
            <w:r>
              <w:rPr>
                <w:rFonts w:ascii="Arial" w:cs="Arial" w:eastAsia="Arial" w:hAnsi="Arial"/>
                <w:sz w:val="18"/>
                <w:szCs w:val="18"/>
                <w:color w:val="242424"/>
              </w:rPr>
              <w:t>1.1</w:t>
            </w:r>
          </w:p>
        </w:tc>
        <w:tc>
          <w:tcPr>
            <w:tcW w:w="1160" w:type="dxa"/>
            <w:vAlign w:val="bottom"/>
          </w:tcPr>
          <w:p>
            <w:pPr>
              <w:jc w:val="right"/>
              <w:ind w:right="72"/>
              <w:spacing w:after="0"/>
              <w:rPr>
                <w:sz w:val="20"/>
                <w:szCs w:val="20"/>
                <w:color w:val="auto"/>
              </w:rPr>
            </w:pPr>
            <w:r>
              <w:rPr>
                <w:rFonts w:ascii="Arial" w:cs="Arial" w:eastAsia="Arial" w:hAnsi="Arial"/>
                <w:sz w:val="18"/>
                <w:szCs w:val="18"/>
                <w:color w:val="242424"/>
              </w:rPr>
              <w:t>1.3</w:t>
            </w:r>
          </w:p>
        </w:tc>
        <w:tc>
          <w:tcPr>
            <w:tcW w:w="1260" w:type="dxa"/>
            <w:vAlign w:val="bottom"/>
          </w:tcPr>
          <w:p>
            <w:pPr>
              <w:jc w:val="right"/>
              <w:ind w:right="71"/>
              <w:spacing w:after="0"/>
              <w:rPr>
                <w:sz w:val="20"/>
                <w:szCs w:val="20"/>
                <w:color w:val="auto"/>
              </w:rPr>
            </w:pPr>
            <w:r>
              <w:rPr>
                <w:rFonts w:ascii="Arial" w:cs="Arial" w:eastAsia="Arial" w:hAnsi="Arial"/>
                <w:sz w:val="18"/>
                <w:szCs w:val="18"/>
                <w:color w:val="242424"/>
              </w:rPr>
              <w:t>0.5</w:t>
            </w:r>
          </w:p>
        </w:tc>
        <w:tc>
          <w:tcPr>
            <w:tcW w:w="960" w:type="dxa"/>
            <w:vAlign w:val="bottom"/>
          </w:tcPr>
          <w:p>
            <w:pPr>
              <w:jc w:val="right"/>
              <w:spacing w:after="0"/>
              <w:rPr>
                <w:sz w:val="20"/>
                <w:szCs w:val="20"/>
                <w:color w:val="auto"/>
              </w:rPr>
            </w:pPr>
            <w:r>
              <w:rPr>
                <w:rFonts w:ascii="Arial" w:cs="Arial" w:eastAsia="Arial" w:hAnsi="Arial"/>
                <w:sz w:val="18"/>
                <w:szCs w:val="18"/>
                <w:color w:val="242424"/>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9"/>
        </w:trPr>
        <w:tc>
          <w:tcPr>
            <w:tcW w:w="3040" w:type="dxa"/>
            <w:vAlign w:val="bottom"/>
          </w:tcPr>
          <w:p>
            <w:pPr>
              <w:ind w:left="480"/>
              <w:spacing w:after="0"/>
              <w:rPr>
                <w:sz w:val="20"/>
                <w:szCs w:val="20"/>
                <w:color w:val="auto"/>
              </w:rPr>
            </w:pPr>
            <w:r>
              <w:rPr>
                <w:rFonts w:ascii="Arial" w:cs="Arial" w:eastAsia="Arial" w:hAnsi="Arial"/>
                <w:sz w:val="18"/>
                <w:szCs w:val="18"/>
                <w:color w:val="auto"/>
              </w:rPr>
              <w:t>Baytown</w:t>
            </w:r>
          </w:p>
        </w:tc>
        <w:tc>
          <w:tcPr>
            <w:tcW w:w="2780" w:type="dxa"/>
            <w:vAlign w:val="bottom"/>
          </w:tcPr>
          <w:p>
            <w:pPr>
              <w:ind w:left="680"/>
              <w:spacing w:after="0"/>
              <w:rPr>
                <w:sz w:val="20"/>
                <w:szCs w:val="20"/>
                <w:color w:val="auto"/>
              </w:rPr>
            </w:pPr>
            <w:r>
              <w:rPr>
                <w:rFonts w:ascii="Arial" w:cs="Arial" w:eastAsia="Arial" w:hAnsi="Arial"/>
                <w:sz w:val="18"/>
                <w:szCs w:val="18"/>
                <w:color w:val="auto"/>
              </w:rPr>
              <w:t>Texas</w:t>
            </w:r>
          </w:p>
        </w:tc>
        <w:tc>
          <w:tcPr>
            <w:tcW w:w="940" w:type="dxa"/>
            <w:vAlign w:val="bottom"/>
          </w:tcPr>
          <w:p>
            <w:pPr>
              <w:jc w:val="right"/>
              <w:ind w:right="71"/>
              <w:spacing w:after="0"/>
              <w:rPr>
                <w:sz w:val="20"/>
                <w:szCs w:val="20"/>
                <w:color w:val="auto"/>
              </w:rPr>
            </w:pPr>
            <w:r>
              <w:rPr>
                <w:rFonts w:ascii="Arial" w:cs="Arial" w:eastAsia="Arial" w:hAnsi="Arial"/>
                <w:sz w:val="18"/>
                <w:szCs w:val="18"/>
                <w:color w:val="242424"/>
              </w:rPr>
              <w:t>4.0</w:t>
            </w:r>
          </w:p>
        </w:tc>
        <w:tc>
          <w:tcPr>
            <w:tcW w:w="1160" w:type="dxa"/>
            <w:vAlign w:val="bottom"/>
          </w:tcPr>
          <w:p>
            <w:pPr>
              <w:jc w:val="right"/>
              <w:ind w:right="72"/>
              <w:spacing w:after="0"/>
              <w:rPr>
                <w:sz w:val="20"/>
                <w:szCs w:val="20"/>
                <w:color w:val="auto"/>
              </w:rPr>
            </w:pPr>
            <w:r>
              <w:rPr>
                <w:rFonts w:ascii="Arial" w:cs="Arial" w:eastAsia="Arial" w:hAnsi="Arial"/>
                <w:sz w:val="18"/>
                <w:szCs w:val="18"/>
                <w:color w:val="242424"/>
              </w:rPr>
              <w:t>—</w:t>
            </w:r>
          </w:p>
        </w:tc>
        <w:tc>
          <w:tcPr>
            <w:tcW w:w="1260" w:type="dxa"/>
            <w:vAlign w:val="bottom"/>
          </w:tcPr>
          <w:p>
            <w:pPr>
              <w:jc w:val="right"/>
              <w:ind w:right="71"/>
              <w:spacing w:after="0"/>
              <w:rPr>
                <w:sz w:val="20"/>
                <w:szCs w:val="20"/>
                <w:color w:val="auto"/>
              </w:rPr>
            </w:pPr>
            <w:r>
              <w:rPr>
                <w:rFonts w:ascii="Arial" w:cs="Arial" w:eastAsia="Arial" w:hAnsi="Arial"/>
                <w:sz w:val="18"/>
                <w:szCs w:val="18"/>
                <w:color w:val="242424"/>
              </w:rPr>
              <w:t>0.7</w:t>
            </w:r>
          </w:p>
        </w:tc>
        <w:tc>
          <w:tcPr>
            <w:tcW w:w="960" w:type="dxa"/>
            <w:vAlign w:val="bottom"/>
          </w:tcPr>
          <w:p>
            <w:pPr>
              <w:jc w:val="right"/>
              <w:spacing w:after="0"/>
              <w:rPr>
                <w:sz w:val="20"/>
                <w:szCs w:val="20"/>
                <w:color w:val="auto"/>
              </w:rPr>
            </w:pPr>
            <w:r>
              <w:rPr>
                <w:rFonts w:ascii="Arial" w:cs="Arial" w:eastAsia="Arial" w:hAnsi="Arial"/>
                <w:sz w:val="18"/>
                <w:szCs w:val="18"/>
                <w:color w:val="242424"/>
              </w:rPr>
              <w:t>0.6</w:t>
            </w:r>
          </w:p>
        </w:tc>
        <w:tc>
          <w:tcPr>
            <w:tcW w:w="110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9"/>
        </w:trPr>
        <w:tc>
          <w:tcPr>
            <w:tcW w:w="3040" w:type="dxa"/>
            <w:vAlign w:val="bottom"/>
          </w:tcPr>
          <w:p>
            <w:pPr>
              <w:ind w:left="480"/>
              <w:spacing w:after="0"/>
              <w:rPr>
                <w:sz w:val="20"/>
                <w:szCs w:val="20"/>
                <w:color w:val="auto"/>
              </w:rPr>
            </w:pPr>
            <w:r>
              <w:rPr>
                <w:rFonts w:ascii="Arial" w:cs="Arial" w:eastAsia="Arial" w:hAnsi="Arial"/>
                <w:sz w:val="18"/>
                <w:szCs w:val="18"/>
                <w:color w:val="auto"/>
              </w:rPr>
              <w:t>Beaumont</w:t>
            </w:r>
          </w:p>
        </w:tc>
        <w:tc>
          <w:tcPr>
            <w:tcW w:w="2780" w:type="dxa"/>
            <w:vAlign w:val="bottom"/>
          </w:tcPr>
          <w:p>
            <w:pPr>
              <w:ind w:left="680"/>
              <w:spacing w:after="0"/>
              <w:rPr>
                <w:sz w:val="20"/>
                <w:szCs w:val="20"/>
                <w:color w:val="auto"/>
              </w:rPr>
            </w:pPr>
            <w:r>
              <w:rPr>
                <w:rFonts w:ascii="Arial" w:cs="Arial" w:eastAsia="Arial" w:hAnsi="Arial"/>
                <w:sz w:val="18"/>
                <w:szCs w:val="18"/>
                <w:color w:val="auto"/>
              </w:rPr>
              <w:t>Texas</w:t>
            </w:r>
          </w:p>
        </w:tc>
        <w:tc>
          <w:tcPr>
            <w:tcW w:w="940" w:type="dxa"/>
            <w:vAlign w:val="bottom"/>
          </w:tcPr>
          <w:p>
            <w:pPr>
              <w:jc w:val="right"/>
              <w:ind w:right="71"/>
              <w:spacing w:after="0"/>
              <w:rPr>
                <w:sz w:val="20"/>
                <w:szCs w:val="20"/>
                <w:color w:val="auto"/>
              </w:rPr>
            </w:pPr>
            <w:r>
              <w:rPr>
                <w:rFonts w:ascii="Arial" w:cs="Arial" w:eastAsia="Arial" w:hAnsi="Arial"/>
                <w:sz w:val="18"/>
                <w:szCs w:val="18"/>
                <w:color w:val="242424"/>
              </w:rPr>
              <w:t>0.9</w:t>
            </w:r>
          </w:p>
        </w:tc>
        <w:tc>
          <w:tcPr>
            <w:tcW w:w="1160" w:type="dxa"/>
            <w:vAlign w:val="bottom"/>
          </w:tcPr>
          <w:p>
            <w:pPr>
              <w:jc w:val="right"/>
              <w:ind w:right="72"/>
              <w:spacing w:after="0"/>
              <w:rPr>
                <w:sz w:val="20"/>
                <w:szCs w:val="20"/>
                <w:color w:val="auto"/>
              </w:rPr>
            </w:pPr>
            <w:r>
              <w:rPr>
                <w:rFonts w:ascii="Arial" w:cs="Arial" w:eastAsia="Arial" w:hAnsi="Arial"/>
                <w:sz w:val="18"/>
                <w:szCs w:val="18"/>
                <w:color w:val="242424"/>
              </w:rPr>
              <w:t>1.7</w:t>
            </w:r>
          </w:p>
        </w:tc>
        <w:tc>
          <w:tcPr>
            <w:tcW w:w="1260" w:type="dxa"/>
            <w:vAlign w:val="bottom"/>
          </w:tcPr>
          <w:p>
            <w:pPr>
              <w:jc w:val="right"/>
              <w:ind w:right="71"/>
              <w:spacing w:after="0"/>
              <w:rPr>
                <w:sz w:val="20"/>
                <w:szCs w:val="20"/>
                <w:color w:val="auto"/>
              </w:rPr>
            </w:pPr>
            <w:r>
              <w:rPr>
                <w:rFonts w:ascii="Arial" w:cs="Arial" w:eastAsia="Arial" w:hAnsi="Arial"/>
                <w:sz w:val="18"/>
                <w:szCs w:val="18"/>
                <w:color w:val="242424"/>
              </w:rPr>
              <w:t>—</w:t>
            </w:r>
          </w:p>
        </w:tc>
        <w:tc>
          <w:tcPr>
            <w:tcW w:w="960" w:type="dxa"/>
            <w:vAlign w:val="bottom"/>
          </w:tcPr>
          <w:p>
            <w:pPr>
              <w:jc w:val="right"/>
              <w:spacing w:after="0"/>
              <w:rPr>
                <w:sz w:val="20"/>
                <w:szCs w:val="20"/>
                <w:color w:val="auto"/>
              </w:rPr>
            </w:pPr>
            <w:r>
              <w:rPr>
                <w:rFonts w:ascii="Arial" w:cs="Arial" w:eastAsia="Arial" w:hAnsi="Arial"/>
                <w:sz w:val="18"/>
                <w:szCs w:val="18"/>
                <w:color w:val="242424"/>
              </w:rPr>
              <w:t>0.3</w:t>
            </w:r>
          </w:p>
        </w:tc>
        <w:tc>
          <w:tcPr>
            <w:tcW w:w="110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3040" w:type="dxa"/>
            <w:vAlign w:val="bottom"/>
          </w:tcPr>
          <w:p>
            <w:pPr>
              <w:ind w:left="480"/>
              <w:spacing w:after="0"/>
              <w:rPr>
                <w:sz w:val="20"/>
                <w:szCs w:val="20"/>
                <w:color w:val="auto"/>
              </w:rPr>
            </w:pPr>
            <w:r>
              <w:rPr>
                <w:rFonts w:ascii="Arial" w:cs="Arial" w:eastAsia="Arial" w:hAnsi="Arial"/>
                <w:sz w:val="18"/>
                <w:szCs w:val="18"/>
                <w:color w:val="auto"/>
              </w:rPr>
              <w:t>Corpus Christi</w:t>
            </w:r>
          </w:p>
        </w:tc>
        <w:tc>
          <w:tcPr>
            <w:tcW w:w="2780" w:type="dxa"/>
            <w:vAlign w:val="bottom"/>
          </w:tcPr>
          <w:p>
            <w:pPr>
              <w:ind w:left="680"/>
              <w:spacing w:after="0"/>
              <w:rPr>
                <w:sz w:val="20"/>
                <w:szCs w:val="20"/>
                <w:color w:val="auto"/>
              </w:rPr>
            </w:pPr>
            <w:r>
              <w:rPr>
                <w:rFonts w:ascii="Arial" w:cs="Arial" w:eastAsia="Arial" w:hAnsi="Arial"/>
                <w:sz w:val="18"/>
                <w:szCs w:val="18"/>
                <w:color w:val="auto"/>
              </w:rPr>
              <w:t>Texas</w:t>
            </w:r>
          </w:p>
        </w:tc>
        <w:tc>
          <w:tcPr>
            <w:tcW w:w="940" w:type="dxa"/>
            <w:vAlign w:val="bottom"/>
          </w:tcPr>
          <w:p>
            <w:pPr>
              <w:jc w:val="right"/>
              <w:ind w:right="71"/>
              <w:spacing w:after="0"/>
              <w:rPr>
                <w:sz w:val="20"/>
                <w:szCs w:val="20"/>
                <w:color w:val="auto"/>
              </w:rPr>
            </w:pPr>
            <w:r>
              <w:rPr>
                <w:rFonts w:ascii="Arial" w:cs="Arial" w:eastAsia="Arial" w:hAnsi="Arial"/>
                <w:sz w:val="18"/>
                <w:szCs w:val="18"/>
                <w:color w:val="242424"/>
              </w:rPr>
              <w:t>0.9</w:t>
            </w:r>
          </w:p>
        </w:tc>
        <w:tc>
          <w:tcPr>
            <w:tcW w:w="1160" w:type="dxa"/>
            <w:vAlign w:val="bottom"/>
          </w:tcPr>
          <w:p>
            <w:pPr>
              <w:jc w:val="right"/>
              <w:ind w:right="72"/>
              <w:spacing w:after="0"/>
              <w:rPr>
                <w:sz w:val="20"/>
                <w:szCs w:val="20"/>
                <w:color w:val="auto"/>
              </w:rPr>
            </w:pPr>
            <w:r>
              <w:rPr>
                <w:rFonts w:ascii="Arial" w:cs="Arial" w:eastAsia="Arial" w:hAnsi="Arial"/>
                <w:sz w:val="18"/>
                <w:szCs w:val="18"/>
                <w:color w:val="242424"/>
              </w:rPr>
              <w:t>0.7</w:t>
            </w:r>
          </w:p>
        </w:tc>
        <w:tc>
          <w:tcPr>
            <w:tcW w:w="1260" w:type="dxa"/>
            <w:vAlign w:val="bottom"/>
          </w:tcPr>
          <w:p>
            <w:pPr>
              <w:jc w:val="right"/>
              <w:ind w:right="71"/>
              <w:spacing w:after="0"/>
              <w:rPr>
                <w:sz w:val="20"/>
                <w:szCs w:val="20"/>
                <w:color w:val="auto"/>
              </w:rPr>
            </w:pPr>
            <w:r>
              <w:rPr>
                <w:rFonts w:ascii="Arial" w:cs="Arial" w:eastAsia="Arial" w:hAnsi="Arial"/>
                <w:sz w:val="18"/>
                <w:szCs w:val="18"/>
                <w:color w:val="242424"/>
              </w:rPr>
              <w:t>—</w:t>
            </w:r>
          </w:p>
        </w:tc>
        <w:tc>
          <w:tcPr>
            <w:tcW w:w="960" w:type="dxa"/>
            <w:vAlign w:val="bottom"/>
          </w:tcPr>
          <w:p>
            <w:pPr>
              <w:jc w:val="right"/>
              <w:spacing w:after="0"/>
              <w:rPr>
                <w:sz w:val="20"/>
                <w:szCs w:val="20"/>
                <w:color w:val="auto"/>
              </w:rPr>
            </w:pPr>
            <w:r>
              <w:rPr>
                <w:rFonts w:ascii="Arial" w:cs="Arial" w:eastAsia="Arial" w:hAnsi="Arial"/>
                <w:sz w:val="18"/>
                <w:szCs w:val="18"/>
                <w:color w:val="242424"/>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9"/>
        </w:trPr>
        <w:tc>
          <w:tcPr>
            <w:tcW w:w="3040" w:type="dxa"/>
            <w:vAlign w:val="bottom"/>
          </w:tcPr>
          <w:p>
            <w:pPr>
              <w:ind w:left="480"/>
              <w:spacing w:after="0"/>
              <w:rPr>
                <w:sz w:val="20"/>
                <w:szCs w:val="20"/>
                <w:color w:val="auto"/>
              </w:rPr>
            </w:pPr>
            <w:r>
              <w:rPr>
                <w:rFonts w:ascii="Arial" w:cs="Arial" w:eastAsia="Arial" w:hAnsi="Arial"/>
                <w:sz w:val="18"/>
                <w:szCs w:val="18"/>
                <w:color w:val="auto"/>
              </w:rPr>
              <w:t>Mont Belvieu</w:t>
            </w:r>
          </w:p>
        </w:tc>
        <w:tc>
          <w:tcPr>
            <w:tcW w:w="2780" w:type="dxa"/>
            <w:vAlign w:val="bottom"/>
          </w:tcPr>
          <w:p>
            <w:pPr>
              <w:ind w:left="680"/>
              <w:spacing w:after="0"/>
              <w:rPr>
                <w:sz w:val="20"/>
                <w:szCs w:val="20"/>
                <w:color w:val="auto"/>
              </w:rPr>
            </w:pPr>
            <w:r>
              <w:rPr>
                <w:rFonts w:ascii="Arial" w:cs="Arial" w:eastAsia="Arial" w:hAnsi="Arial"/>
                <w:sz w:val="18"/>
                <w:szCs w:val="18"/>
                <w:color w:val="auto"/>
              </w:rPr>
              <w:t>Texas</w:t>
            </w:r>
          </w:p>
        </w:tc>
        <w:tc>
          <w:tcPr>
            <w:tcW w:w="940" w:type="dxa"/>
            <w:vAlign w:val="bottom"/>
          </w:tcPr>
          <w:p>
            <w:pPr>
              <w:jc w:val="right"/>
              <w:ind w:right="71"/>
              <w:spacing w:after="0"/>
              <w:rPr>
                <w:sz w:val="20"/>
                <w:szCs w:val="20"/>
                <w:color w:val="auto"/>
              </w:rPr>
            </w:pPr>
            <w:r>
              <w:rPr>
                <w:rFonts w:ascii="Arial" w:cs="Arial" w:eastAsia="Arial" w:hAnsi="Arial"/>
                <w:sz w:val="18"/>
                <w:szCs w:val="18"/>
                <w:color w:val="242424"/>
              </w:rPr>
              <w:t>—</w:t>
            </w:r>
          </w:p>
        </w:tc>
        <w:tc>
          <w:tcPr>
            <w:tcW w:w="1160" w:type="dxa"/>
            <w:vAlign w:val="bottom"/>
          </w:tcPr>
          <w:p>
            <w:pPr>
              <w:jc w:val="right"/>
              <w:ind w:right="72"/>
              <w:spacing w:after="0"/>
              <w:rPr>
                <w:sz w:val="20"/>
                <w:szCs w:val="20"/>
                <w:color w:val="auto"/>
              </w:rPr>
            </w:pPr>
            <w:r>
              <w:rPr>
                <w:rFonts w:ascii="Arial" w:cs="Arial" w:eastAsia="Arial" w:hAnsi="Arial"/>
                <w:sz w:val="18"/>
                <w:szCs w:val="18"/>
                <w:color w:val="242424"/>
              </w:rPr>
              <w:t>2.3</w:t>
            </w:r>
          </w:p>
        </w:tc>
        <w:tc>
          <w:tcPr>
            <w:tcW w:w="1260" w:type="dxa"/>
            <w:vAlign w:val="bottom"/>
          </w:tcPr>
          <w:p>
            <w:pPr>
              <w:jc w:val="right"/>
              <w:ind w:right="71"/>
              <w:spacing w:after="0"/>
              <w:rPr>
                <w:sz w:val="20"/>
                <w:szCs w:val="20"/>
                <w:color w:val="auto"/>
              </w:rPr>
            </w:pPr>
            <w:r>
              <w:rPr>
                <w:rFonts w:ascii="Arial" w:cs="Arial" w:eastAsia="Arial" w:hAnsi="Arial"/>
                <w:sz w:val="18"/>
                <w:szCs w:val="18"/>
                <w:color w:val="242424"/>
              </w:rPr>
              <w:t>—</w:t>
            </w:r>
          </w:p>
        </w:tc>
        <w:tc>
          <w:tcPr>
            <w:tcW w:w="960" w:type="dxa"/>
            <w:vAlign w:val="bottom"/>
          </w:tcPr>
          <w:p>
            <w:pPr>
              <w:jc w:val="right"/>
              <w:spacing w:after="0"/>
              <w:rPr>
                <w:sz w:val="20"/>
                <w:szCs w:val="20"/>
                <w:color w:val="auto"/>
              </w:rPr>
            </w:pPr>
            <w:r>
              <w:rPr>
                <w:rFonts w:ascii="Arial" w:cs="Arial" w:eastAsia="Arial" w:hAnsi="Arial"/>
                <w:sz w:val="18"/>
                <w:szCs w:val="18"/>
                <w:color w:val="242424"/>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3040" w:type="dxa"/>
            <w:vAlign w:val="bottom"/>
          </w:tcPr>
          <w:p>
            <w:pPr>
              <w:ind w:left="480"/>
              <w:spacing w:after="0"/>
              <w:rPr>
                <w:sz w:val="20"/>
                <w:szCs w:val="20"/>
                <w:color w:val="auto"/>
              </w:rPr>
            </w:pPr>
            <w:r>
              <w:rPr>
                <w:rFonts w:ascii="Arial" w:cs="Arial" w:eastAsia="Arial" w:hAnsi="Arial"/>
                <w:sz w:val="18"/>
                <w:szCs w:val="18"/>
                <w:color w:val="auto"/>
              </w:rPr>
              <w:t>Sarnia</w:t>
            </w:r>
          </w:p>
        </w:tc>
        <w:tc>
          <w:tcPr>
            <w:tcW w:w="2780" w:type="dxa"/>
            <w:vAlign w:val="bottom"/>
          </w:tcPr>
          <w:p>
            <w:pPr>
              <w:ind w:left="680"/>
              <w:spacing w:after="0"/>
              <w:rPr>
                <w:sz w:val="20"/>
                <w:szCs w:val="20"/>
                <w:color w:val="auto"/>
              </w:rPr>
            </w:pPr>
            <w:r>
              <w:rPr>
                <w:rFonts w:ascii="Arial" w:cs="Arial" w:eastAsia="Arial" w:hAnsi="Arial"/>
                <w:sz w:val="18"/>
                <w:szCs w:val="18"/>
                <w:color w:val="auto"/>
              </w:rPr>
              <w:t>Ontario</w:t>
            </w:r>
          </w:p>
        </w:tc>
        <w:tc>
          <w:tcPr>
            <w:tcW w:w="9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242424"/>
              </w:rPr>
              <w:t>0.3</w:t>
            </w:r>
          </w:p>
        </w:tc>
        <w:tc>
          <w:tcPr>
            <w:tcW w:w="11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242424"/>
              </w:rPr>
              <w:t>0.5</w:t>
            </w:r>
          </w:p>
        </w:tc>
        <w:tc>
          <w:tcPr>
            <w:tcW w:w="12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242424"/>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42424"/>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24"/>
        </w:trPr>
        <w:tc>
          <w:tcPr>
            <w:tcW w:w="3040" w:type="dxa"/>
            <w:vAlign w:val="bottom"/>
          </w:tcPr>
          <w:p>
            <w:pPr>
              <w:ind w:left="880"/>
              <w:spacing w:after="0"/>
              <w:rPr>
                <w:sz w:val="20"/>
                <w:szCs w:val="20"/>
                <w:color w:val="auto"/>
              </w:rPr>
            </w:pPr>
            <w:r>
              <w:rPr>
                <w:rFonts w:ascii="Arial" w:cs="Arial" w:eastAsia="Arial" w:hAnsi="Arial"/>
                <w:sz w:val="18"/>
                <w:szCs w:val="18"/>
                <w:color w:val="auto"/>
              </w:rPr>
              <w:t>Total North America</w:t>
            </w:r>
          </w:p>
        </w:tc>
        <w:tc>
          <w:tcPr>
            <w:tcW w:w="2780" w:type="dxa"/>
            <w:vAlign w:val="bottom"/>
          </w:tcPr>
          <w:p>
            <w:pPr>
              <w:spacing w:after="0"/>
              <w:rPr>
                <w:sz w:val="19"/>
                <w:szCs w:val="19"/>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242424"/>
              </w:rPr>
              <w:t>7.2</w:t>
            </w:r>
          </w:p>
        </w:tc>
        <w:tc>
          <w:tcPr>
            <w:tcW w:w="1160" w:type="dxa"/>
            <w:vAlign w:val="bottom"/>
          </w:tcPr>
          <w:p>
            <w:pPr>
              <w:jc w:val="right"/>
              <w:ind w:right="72"/>
              <w:spacing w:after="0"/>
              <w:rPr>
                <w:sz w:val="20"/>
                <w:szCs w:val="20"/>
                <w:color w:val="auto"/>
              </w:rPr>
            </w:pPr>
            <w:r>
              <w:rPr>
                <w:rFonts w:ascii="Arial" w:cs="Arial" w:eastAsia="Arial" w:hAnsi="Arial"/>
                <w:sz w:val="18"/>
                <w:szCs w:val="18"/>
                <w:color w:val="242424"/>
              </w:rPr>
              <w:t>6.5</w:t>
            </w:r>
          </w:p>
        </w:tc>
        <w:tc>
          <w:tcPr>
            <w:tcW w:w="1260" w:type="dxa"/>
            <w:vAlign w:val="bottom"/>
          </w:tcPr>
          <w:p>
            <w:pPr>
              <w:jc w:val="right"/>
              <w:ind w:right="71"/>
              <w:spacing w:after="0"/>
              <w:rPr>
                <w:sz w:val="20"/>
                <w:szCs w:val="20"/>
                <w:color w:val="auto"/>
              </w:rPr>
            </w:pPr>
            <w:r>
              <w:rPr>
                <w:rFonts w:ascii="Arial" w:cs="Arial" w:eastAsia="Arial" w:hAnsi="Arial"/>
                <w:sz w:val="18"/>
                <w:szCs w:val="18"/>
                <w:color w:val="242424"/>
              </w:rPr>
              <w:t>1.2</w:t>
            </w:r>
          </w:p>
        </w:tc>
        <w:tc>
          <w:tcPr>
            <w:tcW w:w="960" w:type="dxa"/>
            <w:vAlign w:val="bottom"/>
          </w:tcPr>
          <w:p>
            <w:pPr>
              <w:jc w:val="right"/>
              <w:spacing w:after="0"/>
              <w:rPr>
                <w:sz w:val="20"/>
                <w:szCs w:val="20"/>
                <w:color w:val="auto"/>
              </w:rPr>
            </w:pPr>
            <w:r>
              <w:rPr>
                <w:rFonts w:ascii="Arial" w:cs="Arial" w:eastAsia="Arial" w:hAnsi="Arial"/>
                <w:sz w:val="18"/>
                <w:szCs w:val="18"/>
                <w:color w:val="242424"/>
              </w:rPr>
              <w:t>0.9</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3040" w:type="dxa"/>
            <w:vAlign w:val="bottom"/>
          </w:tcPr>
          <w:p>
            <w:pPr>
              <w:ind w:left="20"/>
              <w:spacing w:after="0"/>
              <w:rPr>
                <w:sz w:val="20"/>
                <w:szCs w:val="20"/>
                <w:color w:val="auto"/>
              </w:rPr>
            </w:pPr>
            <w:r>
              <w:rPr>
                <w:rFonts w:ascii="Arial" w:cs="Arial" w:eastAsia="Arial" w:hAnsi="Arial"/>
                <w:sz w:val="18"/>
                <w:szCs w:val="18"/>
                <w:b w:val="1"/>
                <w:bCs w:val="1"/>
                <w:color w:val="auto"/>
              </w:rPr>
              <w:t>Europe</w:t>
            </w:r>
          </w:p>
        </w:tc>
        <w:tc>
          <w:tcPr>
            <w:tcW w:w="2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040" w:type="dxa"/>
            <w:vAlign w:val="bottom"/>
          </w:tcPr>
          <w:p>
            <w:pPr>
              <w:ind w:left="480"/>
              <w:spacing w:after="0"/>
              <w:rPr>
                <w:sz w:val="20"/>
                <w:szCs w:val="20"/>
                <w:color w:val="auto"/>
              </w:rPr>
            </w:pPr>
            <w:r>
              <w:rPr>
                <w:rFonts w:ascii="Arial" w:cs="Arial" w:eastAsia="Arial" w:hAnsi="Arial"/>
                <w:sz w:val="18"/>
                <w:szCs w:val="18"/>
                <w:color w:val="auto"/>
              </w:rPr>
              <w:t>Antwerp</w:t>
            </w:r>
          </w:p>
        </w:tc>
        <w:tc>
          <w:tcPr>
            <w:tcW w:w="2780" w:type="dxa"/>
            <w:vAlign w:val="bottom"/>
          </w:tcPr>
          <w:p>
            <w:pPr>
              <w:ind w:left="680"/>
              <w:spacing w:after="0"/>
              <w:rPr>
                <w:sz w:val="20"/>
                <w:szCs w:val="20"/>
                <w:color w:val="auto"/>
              </w:rPr>
            </w:pPr>
            <w:r>
              <w:rPr>
                <w:rFonts w:ascii="Arial" w:cs="Arial" w:eastAsia="Arial" w:hAnsi="Arial"/>
                <w:sz w:val="18"/>
                <w:szCs w:val="18"/>
                <w:color w:val="auto"/>
              </w:rPr>
              <w:t>Belgium</w:t>
            </w:r>
          </w:p>
        </w:tc>
        <w:tc>
          <w:tcPr>
            <w:tcW w:w="940" w:type="dxa"/>
            <w:vAlign w:val="bottom"/>
          </w:tcPr>
          <w:p>
            <w:pPr>
              <w:jc w:val="right"/>
              <w:ind w:right="71"/>
              <w:spacing w:after="0"/>
              <w:rPr>
                <w:sz w:val="20"/>
                <w:szCs w:val="20"/>
                <w:color w:val="auto"/>
              </w:rPr>
            </w:pPr>
            <w:r>
              <w:rPr>
                <w:rFonts w:ascii="Arial" w:cs="Arial" w:eastAsia="Arial" w:hAnsi="Arial"/>
                <w:sz w:val="18"/>
                <w:szCs w:val="18"/>
                <w:color w:val="242424"/>
              </w:rPr>
              <w:t>—</w:t>
            </w:r>
          </w:p>
        </w:tc>
        <w:tc>
          <w:tcPr>
            <w:tcW w:w="1160" w:type="dxa"/>
            <w:vAlign w:val="bottom"/>
          </w:tcPr>
          <w:p>
            <w:pPr>
              <w:jc w:val="right"/>
              <w:ind w:right="72"/>
              <w:spacing w:after="0"/>
              <w:rPr>
                <w:sz w:val="20"/>
                <w:szCs w:val="20"/>
                <w:color w:val="auto"/>
              </w:rPr>
            </w:pPr>
            <w:r>
              <w:rPr>
                <w:rFonts w:ascii="Arial" w:cs="Arial" w:eastAsia="Arial" w:hAnsi="Arial"/>
                <w:sz w:val="18"/>
                <w:szCs w:val="18"/>
                <w:color w:val="242424"/>
              </w:rPr>
              <w:t>0.4</w:t>
            </w:r>
          </w:p>
        </w:tc>
        <w:tc>
          <w:tcPr>
            <w:tcW w:w="1260" w:type="dxa"/>
            <w:vAlign w:val="bottom"/>
          </w:tcPr>
          <w:p>
            <w:pPr>
              <w:jc w:val="right"/>
              <w:ind w:right="71"/>
              <w:spacing w:after="0"/>
              <w:rPr>
                <w:sz w:val="20"/>
                <w:szCs w:val="20"/>
                <w:color w:val="auto"/>
              </w:rPr>
            </w:pPr>
            <w:r>
              <w:rPr>
                <w:rFonts w:ascii="Arial" w:cs="Arial" w:eastAsia="Arial" w:hAnsi="Arial"/>
                <w:sz w:val="18"/>
                <w:szCs w:val="18"/>
                <w:color w:val="242424"/>
              </w:rPr>
              <w:t>—</w:t>
            </w:r>
          </w:p>
        </w:tc>
        <w:tc>
          <w:tcPr>
            <w:tcW w:w="960" w:type="dxa"/>
            <w:vAlign w:val="bottom"/>
          </w:tcPr>
          <w:p>
            <w:pPr>
              <w:jc w:val="right"/>
              <w:spacing w:after="0"/>
              <w:rPr>
                <w:sz w:val="20"/>
                <w:szCs w:val="20"/>
                <w:color w:val="auto"/>
              </w:rPr>
            </w:pPr>
            <w:r>
              <w:rPr>
                <w:rFonts w:ascii="Arial" w:cs="Arial" w:eastAsia="Arial" w:hAnsi="Arial"/>
                <w:sz w:val="18"/>
                <w:szCs w:val="18"/>
                <w:color w:val="242424"/>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9"/>
        </w:trPr>
        <w:tc>
          <w:tcPr>
            <w:tcW w:w="3040" w:type="dxa"/>
            <w:vAlign w:val="bottom"/>
          </w:tcPr>
          <w:p>
            <w:pPr>
              <w:ind w:left="480"/>
              <w:spacing w:after="0"/>
              <w:rPr>
                <w:sz w:val="20"/>
                <w:szCs w:val="20"/>
                <w:color w:val="auto"/>
              </w:rPr>
            </w:pPr>
            <w:r>
              <w:rPr>
                <w:rFonts w:ascii="Arial" w:cs="Arial" w:eastAsia="Arial" w:hAnsi="Arial"/>
                <w:sz w:val="18"/>
                <w:szCs w:val="18"/>
                <w:color w:val="auto"/>
              </w:rPr>
              <w:t>Fife</w:t>
            </w:r>
          </w:p>
        </w:tc>
        <w:tc>
          <w:tcPr>
            <w:tcW w:w="2780" w:type="dxa"/>
            <w:vAlign w:val="bottom"/>
          </w:tcPr>
          <w:p>
            <w:pPr>
              <w:ind w:left="680"/>
              <w:spacing w:after="0"/>
              <w:rPr>
                <w:sz w:val="20"/>
                <w:szCs w:val="20"/>
                <w:color w:val="auto"/>
              </w:rPr>
            </w:pPr>
            <w:r>
              <w:rPr>
                <w:rFonts w:ascii="Arial" w:cs="Arial" w:eastAsia="Arial" w:hAnsi="Arial"/>
                <w:sz w:val="18"/>
                <w:szCs w:val="18"/>
                <w:color w:val="auto"/>
              </w:rPr>
              <w:t>United Kingdom</w:t>
            </w:r>
          </w:p>
        </w:tc>
        <w:tc>
          <w:tcPr>
            <w:tcW w:w="940" w:type="dxa"/>
            <w:vAlign w:val="bottom"/>
          </w:tcPr>
          <w:p>
            <w:pPr>
              <w:jc w:val="right"/>
              <w:ind w:right="71"/>
              <w:spacing w:after="0"/>
              <w:rPr>
                <w:sz w:val="20"/>
                <w:szCs w:val="20"/>
                <w:color w:val="auto"/>
              </w:rPr>
            </w:pPr>
            <w:r>
              <w:rPr>
                <w:rFonts w:ascii="Arial" w:cs="Arial" w:eastAsia="Arial" w:hAnsi="Arial"/>
                <w:sz w:val="18"/>
                <w:szCs w:val="18"/>
                <w:color w:val="242424"/>
              </w:rPr>
              <w:t>0.4</w:t>
            </w:r>
          </w:p>
        </w:tc>
        <w:tc>
          <w:tcPr>
            <w:tcW w:w="1160" w:type="dxa"/>
            <w:vAlign w:val="bottom"/>
          </w:tcPr>
          <w:p>
            <w:pPr>
              <w:jc w:val="right"/>
              <w:ind w:right="72"/>
              <w:spacing w:after="0"/>
              <w:rPr>
                <w:sz w:val="20"/>
                <w:szCs w:val="20"/>
                <w:color w:val="auto"/>
              </w:rPr>
            </w:pPr>
            <w:r>
              <w:rPr>
                <w:rFonts w:ascii="Arial" w:cs="Arial" w:eastAsia="Arial" w:hAnsi="Arial"/>
                <w:sz w:val="18"/>
                <w:szCs w:val="18"/>
                <w:color w:val="242424"/>
              </w:rPr>
              <w:t>—</w:t>
            </w:r>
          </w:p>
        </w:tc>
        <w:tc>
          <w:tcPr>
            <w:tcW w:w="1260" w:type="dxa"/>
            <w:vAlign w:val="bottom"/>
          </w:tcPr>
          <w:p>
            <w:pPr>
              <w:jc w:val="right"/>
              <w:ind w:right="71"/>
              <w:spacing w:after="0"/>
              <w:rPr>
                <w:sz w:val="20"/>
                <w:szCs w:val="20"/>
                <w:color w:val="auto"/>
              </w:rPr>
            </w:pPr>
            <w:r>
              <w:rPr>
                <w:rFonts w:ascii="Arial" w:cs="Arial" w:eastAsia="Arial" w:hAnsi="Arial"/>
                <w:sz w:val="18"/>
                <w:szCs w:val="18"/>
                <w:color w:val="242424"/>
              </w:rPr>
              <w:t>—</w:t>
            </w:r>
          </w:p>
        </w:tc>
        <w:tc>
          <w:tcPr>
            <w:tcW w:w="960" w:type="dxa"/>
            <w:vAlign w:val="bottom"/>
          </w:tcPr>
          <w:p>
            <w:pPr>
              <w:jc w:val="right"/>
              <w:spacing w:after="0"/>
              <w:rPr>
                <w:sz w:val="20"/>
                <w:szCs w:val="20"/>
                <w:color w:val="auto"/>
              </w:rPr>
            </w:pPr>
            <w:r>
              <w:rPr>
                <w:rFonts w:ascii="Arial" w:cs="Arial" w:eastAsia="Arial" w:hAnsi="Arial"/>
                <w:sz w:val="18"/>
                <w:szCs w:val="18"/>
                <w:color w:val="242424"/>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9"/>
        </w:trPr>
        <w:tc>
          <w:tcPr>
            <w:tcW w:w="3040" w:type="dxa"/>
            <w:vAlign w:val="bottom"/>
          </w:tcPr>
          <w:p>
            <w:pPr>
              <w:ind w:left="480"/>
              <w:spacing w:after="0"/>
              <w:rPr>
                <w:sz w:val="20"/>
                <w:szCs w:val="20"/>
                <w:color w:val="auto"/>
              </w:rPr>
            </w:pPr>
            <w:r>
              <w:rPr>
                <w:rFonts w:ascii="Arial" w:cs="Arial" w:eastAsia="Arial" w:hAnsi="Arial"/>
                <w:sz w:val="18"/>
                <w:szCs w:val="18"/>
                <w:color w:val="auto"/>
              </w:rPr>
              <w:t>Gravenchon</w:t>
            </w:r>
          </w:p>
        </w:tc>
        <w:tc>
          <w:tcPr>
            <w:tcW w:w="2780" w:type="dxa"/>
            <w:vAlign w:val="bottom"/>
          </w:tcPr>
          <w:p>
            <w:pPr>
              <w:ind w:left="680"/>
              <w:spacing w:after="0"/>
              <w:rPr>
                <w:sz w:val="20"/>
                <w:szCs w:val="20"/>
                <w:color w:val="auto"/>
              </w:rPr>
            </w:pPr>
            <w:r>
              <w:rPr>
                <w:rFonts w:ascii="Arial" w:cs="Arial" w:eastAsia="Arial" w:hAnsi="Arial"/>
                <w:sz w:val="18"/>
                <w:szCs w:val="18"/>
                <w:color w:val="auto"/>
              </w:rPr>
              <w:t>France</w:t>
            </w:r>
          </w:p>
        </w:tc>
        <w:tc>
          <w:tcPr>
            <w:tcW w:w="940" w:type="dxa"/>
            <w:vAlign w:val="bottom"/>
          </w:tcPr>
          <w:p>
            <w:pPr>
              <w:jc w:val="right"/>
              <w:ind w:right="71"/>
              <w:spacing w:after="0"/>
              <w:rPr>
                <w:sz w:val="20"/>
                <w:szCs w:val="20"/>
                <w:color w:val="auto"/>
              </w:rPr>
            </w:pPr>
            <w:r>
              <w:rPr>
                <w:rFonts w:ascii="Arial" w:cs="Arial" w:eastAsia="Arial" w:hAnsi="Arial"/>
                <w:sz w:val="18"/>
                <w:szCs w:val="18"/>
                <w:color w:val="242424"/>
              </w:rPr>
              <w:t>0.4</w:t>
            </w:r>
          </w:p>
        </w:tc>
        <w:tc>
          <w:tcPr>
            <w:tcW w:w="1160" w:type="dxa"/>
            <w:vAlign w:val="bottom"/>
          </w:tcPr>
          <w:p>
            <w:pPr>
              <w:jc w:val="right"/>
              <w:ind w:right="72"/>
              <w:spacing w:after="0"/>
              <w:rPr>
                <w:sz w:val="20"/>
                <w:szCs w:val="20"/>
                <w:color w:val="auto"/>
              </w:rPr>
            </w:pPr>
            <w:r>
              <w:rPr>
                <w:rFonts w:ascii="Arial" w:cs="Arial" w:eastAsia="Arial" w:hAnsi="Arial"/>
                <w:sz w:val="18"/>
                <w:szCs w:val="18"/>
                <w:color w:val="242424"/>
              </w:rPr>
              <w:t>0.4</w:t>
            </w:r>
          </w:p>
        </w:tc>
        <w:tc>
          <w:tcPr>
            <w:tcW w:w="1260" w:type="dxa"/>
            <w:vAlign w:val="bottom"/>
          </w:tcPr>
          <w:p>
            <w:pPr>
              <w:jc w:val="right"/>
              <w:ind w:right="71"/>
              <w:spacing w:after="0"/>
              <w:rPr>
                <w:sz w:val="20"/>
                <w:szCs w:val="20"/>
                <w:color w:val="auto"/>
              </w:rPr>
            </w:pPr>
            <w:r>
              <w:rPr>
                <w:rFonts w:ascii="Arial" w:cs="Arial" w:eastAsia="Arial" w:hAnsi="Arial"/>
                <w:sz w:val="18"/>
                <w:szCs w:val="18"/>
                <w:color w:val="242424"/>
              </w:rPr>
              <w:t>0.3</w:t>
            </w:r>
          </w:p>
        </w:tc>
        <w:tc>
          <w:tcPr>
            <w:tcW w:w="960" w:type="dxa"/>
            <w:vAlign w:val="bottom"/>
          </w:tcPr>
          <w:p>
            <w:pPr>
              <w:jc w:val="right"/>
              <w:spacing w:after="0"/>
              <w:rPr>
                <w:sz w:val="20"/>
                <w:szCs w:val="20"/>
                <w:color w:val="auto"/>
              </w:rPr>
            </w:pPr>
            <w:r>
              <w:rPr>
                <w:rFonts w:ascii="Arial" w:cs="Arial" w:eastAsia="Arial" w:hAnsi="Arial"/>
                <w:sz w:val="18"/>
                <w:szCs w:val="18"/>
                <w:color w:val="242424"/>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3040" w:type="dxa"/>
            <w:vAlign w:val="bottom"/>
          </w:tcPr>
          <w:p>
            <w:pPr>
              <w:ind w:left="480"/>
              <w:spacing w:after="0"/>
              <w:rPr>
                <w:sz w:val="20"/>
                <w:szCs w:val="20"/>
                <w:color w:val="auto"/>
              </w:rPr>
            </w:pPr>
            <w:r>
              <w:rPr>
                <w:rFonts w:ascii="Arial" w:cs="Arial" w:eastAsia="Arial" w:hAnsi="Arial"/>
                <w:sz w:val="18"/>
                <w:szCs w:val="18"/>
                <w:color w:val="auto"/>
              </w:rPr>
              <w:t>Meerhout</w:t>
            </w:r>
          </w:p>
        </w:tc>
        <w:tc>
          <w:tcPr>
            <w:tcW w:w="2780" w:type="dxa"/>
            <w:vAlign w:val="bottom"/>
          </w:tcPr>
          <w:p>
            <w:pPr>
              <w:ind w:left="680"/>
              <w:spacing w:after="0"/>
              <w:rPr>
                <w:sz w:val="20"/>
                <w:szCs w:val="20"/>
                <w:color w:val="auto"/>
              </w:rPr>
            </w:pPr>
            <w:r>
              <w:rPr>
                <w:rFonts w:ascii="Arial" w:cs="Arial" w:eastAsia="Arial" w:hAnsi="Arial"/>
                <w:sz w:val="18"/>
                <w:szCs w:val="18"/>
                <w:color w:val="auto"/>
              </w:rPr>
              <w:t>Belgium</w:t>
            </w:r>
          </w:p>
        </w:tc>
        <w:tc>
          <w:tcPr>
            <w:tcW w:w="940" w:type="dxa"/>
            <w:vAlign w:val="bottom"/>
          </w:tcPr>
          <w:p>
            <w:pPr>
              <w:jc w:val="right"/>
              <w:ind w:right="71"/>
              <w:spacing w:after="0"/>
              <w:rPr>
                <w:sz w:val="20"/>
                <w:szCs w:val="20"/>
                <w:color w:val="auto"/>
              </w:rPr>
            </w:pPr>
            <w:r>
              <w:rPr>
                <w:rFonts w:ascii="Arial" w:cs="Arial" w:eastAsia="Arial" w:hAnsi="Arial"/>
                <w:sz w:val="18"/>
                <w:szCs w:val="18"/>
                <w:color w:val="242424"/>
              </w:rPr>
              <w:t>—</w:t>
            </w:r>
          </w:p>
        </w:tc>
        <w:tc>
          <w:tcPr>
            <w:tcW w:w="1160" w:type="dxa"/>
            <w:vAlign w:val="bottom"/>
          </w:tcPr>
          <w:p>
            <w:pPr>
              <w:jc w:val="right"/>
              <w:ind w:right="72"/>
              <w:spacing w:after="0"/>
              <w:rPr>
                <w:sz w:val="20"/>
                <w:szCs w:val="20"/>
                <w:color w:val="auto"/>
              </w:rPr>
            </w:pPr>
            <w:r>
              <w:rPr>
                <w:rFonts w:ascii="Arial" w:cs="Arial" w:eastAsia="Arial" w:hAnsi="Arial"/>
                <w:sz w:val="18"/>
                <w:szCs w:val="18"/>
                <w:color w:val="242424"/>
              </w:rPr>
              <w:t>0.5</w:t>
            </w:r>
          </w:p>
        </w:tc>
        <w:tc>
          <w:tcPr>
            <w:tcW w:w="1260" w:type="dxa"/>
            <w:vAlign w:val="bottom"/>
          </w:tcPr>
          <w:p>
            <w:pPr>
              <w:jc w:val="right"/>
              <w:ind w:right="71"/>
              <w:spacing w:after="0"/>
              <w:rPr>
                <w:sz w:val="20"/>
                <w:szCs w:val="20"/>
                <w:color w:val="auto"/>
              </w:rPr>
            </w:pPr>
            <w:r>
              <w:rPr>
                <w:rFonts w:ascii="Arial" w:cs="Arial" w:eastAsia="Arial" w:hAnsi="Arial"/>
                <w:sz w:val="18"/>
                <w:szCs w:val="18"/>
                <w:color w:val="242424"/>
              </w:rPr>
              <w:t>—</w:t>
            </w:r>
          </w:p>
        </w:tc>
        <w:tc>
          <w:tcPr>
            <w:tcW w:w="960" w:type="dxa"/>
            <w:vAlign w:val="bottom"/>
          </w:tcPr>
          <w:p>
            <w:pPr>
              <w:jc w:val="right"/>
              <w:spacing w:after="0"/>
              <w:rPr>
                <w:sz w:val="20"/>
                <w:szCs w:val="20"/>
                <w:color w:val="auto"/>
              </w:rPr>
            </w:pPr>
            <w:r>
              <w:rPr>
                <w:rFonts w:ascii="Arial" w:cs="Arial" w:eastAsia="Arial" w:hAnsi="Arial"/>
                <w:sz w:val="18"/>
                <w:szCs w:val="18"/>
                <w:color w:val="242424"/>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3040" w:type="dxa"/>
            <w:vAlign w:val="bottom"/>
          </w:tcPr>
          <w:p>
            <w:pPr>
              <w:ind w:left="480"/>
              <w:spacing w:after="0"/>
              <w:rPr>
                <w:sz w:val="20"/>
                <w:szCs w:val="20"/>
                <w:color w:val="auto"/>
              </w:rPr>
            </w:pPr>
            <w:r>
              <w:rPr>
                <w:rFonts w:ascii="Arial" w:cs="Arial" w:eastAsia="Arial" w:hAnsi="Arial"/>
                <w:sz w:val="18"/>
                <w:szCs w:val="18"/>
                <w:color w:val="auto"/>
              </w:rPr>
              <w:t>Rotterdam</w:t>
            </w:r>
          </w:p>
        </w:tc>
        <w:tc>
          <w:tcPr>
            <w:tcW w:w="2780" w:type="dxa"/>
            <w:vAlign w:val="bottom"/>
          </w:tcPr>
          <w:p>
            <w:pPr>
              <w:ind w:left="680"/>
              <w:spacing w:after="0"/>
              <w:rPr>
                <w:sz w:val="20"/>
                <w:szCs w:val="20"/>
                <w:color w:val="auto"/>
              </w:rPr>
            </w:pPr>
            <w:r>
              <w:rPr>
                <w:rFonts w:ascii="Arial" w:cs="Arial" w:eastAsia="Arial" w:hAnsi="Arial"/>
                <w:sz w:val="18"/>
                <w:szCs w:val="18"/>
                <w:color w:val="auto"/>
              </w:rPr>
              <w:t>Netherlands</w:t>
            </w:r>
          </w:p>
        </w:tc>
        <w:tc>
          <w:tcPr>
            <w:tcW w:w="9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242424"/>
              </w:rPr>
              <w:t>—</w:t>
            </w:r>
          </w:p>
        </w:tc>
        <w:tc>
          <w:tcPr>
            <w:tcW w:w="11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242424"/>
              </w:rPr>
              <w:t>—</w:t>
            </w:r>
          </w:p>
        </w:tc>
        <w:tc>
          <w:tcPr>
            <w:tcW w:w="12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242424"/>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42424"/>
              </w:rPr>
              <w:t>0.7</w:t>
            </w:r>
          </w:p>
        </w:tc>
        <w:tc>
          <w:tcPr>
            <w:tcW w:w="110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4"/>
        </w:trPr>
        <w:tc>
          <w:tcPr>
            <w:tcW w:w="3040" w:type="dxa"/>
            <w:vAlign w:val="bottom"/>
          </w:tcPr>
          <w:p>
            <w:pPr>
              <w:ind w:left="880"/>
              <w:spacing w:after="0"/>
              <w:rPr>
                <w:sz w:val="20"/>
                <w:szCs w:val="20"/>
                <w:color w:val="auto"/>
              </w:rPr>
            </w:pPr>
            <w:r>
              <w:rPr>
                <w:rFonts w:ascii="Arial" w:cs="Arial" w:eastAsia="Arial" w:hAnsi="Arial"/>
                <w:sz w:val="18"/>
                <w:szCs w:val="18"/>
                <w:color w:val="auto"/>
              </w:rPr>
              <w:t>Total Europe</w:t>
            </w:r>
          </w:p>
        </w:tc>
        <w:tc>
          <w:tcPr>
            <w:tcW w:w="2780" w:type="dxa"/>
            <w:vAlign w:val="bottom"/>
          </w:tcPr>
          <w:p>
            <w:pPr>
              <w:spacing w:after="0"/>
              <w:rPr>
                <w:sz w:val="19"/>
                <w:szCs w:val="19"/>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242424"/>
              </w:rPr>
              <w:t>0.8</w:t>
            </w:r>
          </w:p>
        </w:tc>
        <w:tc>
          <w:tcPr>
            <w:tcW w:w="1160" w:type="dxa"/>
            <w:vAlign w:val="bottom"/>
          </w:tcPr>
          <w:p>
            <w:pPr>
              <w:jc w:val="right"/>
              <w:ind w:right="72"/>
              <w:spacing w:after="0"/>
              <w:rPr>
                <w:sz w:val="20"/>
                <w:szCs w:val="20"/>
                <w:color w:val="auto"/>
              </w:rPr>
            </w:pPr>
            <w:r>
              <w:rPr>
                <w:rFonts w:ascii="Arial" w:cs="Arial" w:eastAsia="Arial" w:hAnsi="Arial"/>
                <w:sz w:val="18"/>
                <w:szCs w:val="18"/>
                <w:color w:val="242424"/>
              </w:rPr>
              <w:t>1.3</w:t>
            </w:r>
          </w:p>
        </w:tc>
        <w:tc>
          <w:tcPr>
            <w:tcW w:w="1260" w:type="dxa"/>
            <w:vAlign w:val="bottom"/>
          </w:tcPr>
          <w:p>
            <w:pPr>
              <w:jc w:val="right"/>
              <w:ind w:right="71"/>
              <w:spacing w:after="0"/>
              <w:rPr>
                <w:sz w:val="20"/>
                <w:szCs w:val="20"/>
                <w:color w:val="auto"/>
              </w:rPr>
            </w:pPr>
            <w:r>
              <w:rPr>
                <w:rFonts w:ascii="Arial" w:cs="Arial" w:eastAsia="Arial" w:hAnsi="Arial"/>
                <w:sz w:val="18"/>
                <w:szCs w:val="18"/>
                <w:color w:val="242424"/>
              </w:rPr>
              <w:t>0.3</w:t>
            </w:r>
          </w:p>
        </w:tc>
        <w:tc>
          <w:tcPr>
            <w:tcW w:w="960" w:type="dxa"/>
            <w:vAlign w:val="bottom"/>
          </w:tcPr>
          <w:p>
            <w:pPr>
              <w:jc w:val="right"/>
              <w:spacing w:after="0"/>
              <w:rPr>
                <w:sz w:val="20"/>
                <w:szCs w:val="20"/>
                <w:color w:val="auto"/>
              </w:rPr>
            </w:pPr>
            <w:r>
              <w:rPr>
                <w:rFonts w:ascii="Arial" w:cs="Arial" w:eastAsia="Arial" w:hAnsi="Arial"/>
                <w:sz w:val="18"/>
                <w:szCs w:val="18"/>
                <w:color w:val="242424"/>
              </w:rPr>
              <w:t>0.7</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3040" w:type="dxa"/>
            <w:vAlign w:val="bottom"/>
          </w:tcPr>
          <w:p>
            <w:pPr>
              <w:ind w:left="20"/>
              <w:spacing w:after="0"/>
              <w:rPr>
                <w:sz w:val="20"/>
                <w:szCs w:val="20"/>
                <w:color w:val="auto"/>
              </w:rPr>
            </w:pPr>
            <w:r>
              <w:rPr>
                <w:rFonts w:ascii="Arial" w:cs="Arial" w:eastAsia="Arial" w:hAnsi="Arial"/>
                <w:sz w:val="18"/>
                <w:szCs w:val="18"/>
                <w:b w:val="1"/>
                <w:bCs w:val="1"/>
                <w:color w:val="auto"/>
              </w:rPr>
              <w:t>Middle East</w:t>
            </w:r>
          </w:p>
        </w:tc>
        <w:tc>
          <w:tcPr>
            <w:tcW w:w="2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040" w:type="dxa"/>
            <w:vAlign w:val="bottom"/>
          </w:tcPr>
          <w:p>
            <w:pPr>
              <w:ind w:left="480"/>
              <w:spacing w:after="0"/>
              <w:rPr>
                <w:sz w:val="20"/>
                <w:szCs w:val="20"/>
                <w:color w:val="auto"/>
              </w:rPr>
            </w:pPr>
            <w:r>
              <w:rPr>
                <w:rFonts w:ascii="Arial" w:cs="Arial" w:eastAsia="Arial" w:hAnsi="Arial"/>
                <w:sz w:val="18"/>
                <w:szCs w:val="18"/>
                <w:color w:val="auto"/>
              </w:rPr>
              <w:t>Al Jubail</w:t>
            </w:r>
          </w:p>
        </w:tc>
        <w:tc>
          <w:tcPr>
            <w:tcW w:w="2780" w:type="dxa"/>
            <w:vAlign w:val="bottom"/>
          </w:tcPr>
          <w:p>
            <w:pPr>
              <w:ind w:left="680"/>
              <w:spacing w:after="0"/>
              <w:rPr>
                <w:sz w:val="20"/>
                <w:szCs w:val="20"/>
                <w:color w:val="auto"/>
              </w:rPr>
            </w:pPr>
            <w:r>
              <w:rPr>
                <w:rFonts w:ascii="Arial" w:cs="Arial" w:eastAsia="Arial" w:hAnsi="Arial"/>
                <w:sz w:val="18"/>
                <w:szCs w:val="18"/>
                <w:color w:val="auto"/>
              </w:rPr>
              <w:t>Saudi Arabia</w:t>
            </w:r>
          </w:p>
        </w:tc>
        <w:tc>
          <w:tcPr>
            <w:tcW w:w="940" w:type="dxa"/>
            <w:vAlign w:val="bottom"/>
          </w:tcPr>
          <w:p>
            <w:pPr>
              <w:jc w:val="right"/>
              <w:ind w:right="71"/>
              <w:spacing w:after="0"/>
              <w:rPr>
                <w:sz w:val="20"/>
                <w:szCs w:val="20"/>
                <w:color w:val="auto"/>
              </w:rPr>
            </w:pPr>
            <w:r>
              <w:rPr>
                <w:rFonts w:ascii="Arial" w:cs="Arial" w:eastAsia="Arial" w:hAnsi="Arial"/>
                <w:sz w:val="18"/>
                <w:szCs w:val="18"/>
                <w:color w:val="242424"/>
              </w:rPr>
              <w:t>0.7</w:t>
            </w:r>
          </w:p>
        </w:tc>
        <w:tc>
          <w:tcPr>
            <w:tcW w:w="1160" w:type="dxa"/>
            <w:vAlign w:val="bottom"/>
          </w:tcPr>
          <w:p>
            <w:pPr>
              <w:jc w:val="right"/>
              <w:ind w:right="72"/>
              <w:spacing w:after="0"/>
              <w:rPr>
                <w:sz w:val="20"/>
                <w:szCs w:val="20"/>
                <w:color w:val="auto"/>
              </w:rPr>
            </w:pPr>
            <w:r>
              <w:rPr>
                <w:rFonts w:ascii="Arial" w:cs="Arial" w:eastAsia="Arial" w:hAnsi="Arial"/>
                <w:sz w:val="18"/>
                <w:szCs w:val="18"/>
                <w:color w:val="242424"/>
              </w:rPr>
              <w:t>0.7</w:t>
            </w:r>
          </w:p>
        </w:tc>
        <w:tc>
          <w:tcPr>
            <w:tcW w:w="1260" w:type="dxa"/>
            <w:vAlign w:val="bottom"/>
          </w:tcPr>
          <w:p>
            <w:pPr>
              <w:jc w:val="right"/>
              <w:ind w:right="71"/>
              <w:spacing w:after="0"/>
              <w:rPr>
                <w:sz w:val="20"/>
                <w:szCs w:val="20"/>
                <w:color w:val="auto"/>
              </w:rPr>
            </w:pPr>
            <w:r>
              <w:rPr>
                <w:rFonts w:ascii="Arial" w:cs="Arial" w:eastAsia="Arial" w:hAnsi="Arial"/>
                <w:sz w:val="18"/>
                <w:szCs w:val="18"/>
                <w:color w:val="242424"/>
              </w:rPr>
              <w:t>—</w:t>
            </w:r>
          </w:p>
        </w:tc>
        <w:tc>
          <w:tcPr>
            <w:tcW w:w="960" w:type="dxa"/>
            <w:vAlign w:val="bottom"/>
          </w:tcPr>
          <w:p>
            <w:pPr>
              <w:jc w:val="right"/>
              <w:spacing w:after="0"/>
              <w:rPr>
                <w:sz w:val="20"/>
                <w:szCs w:val="20"/>
                <w:color w:val="auto"/>
              </w:rPr>
            </w:pPr>
            <w:r>
              <w:rPr>
                <w:rFonts w:ascii="Arial" w:cs="Arial" w:eastAsia="Arial" w:hAnsi="Arial"/>
                <w:sz w:val="18"/>
                <w:szCs w:val="18"/>
                <w:color w:val="242424"/>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3040" w:type="dxa"/>
            <w:vAlign w:val="bottom"/>
          </w:tcPr>
          <w:p>
            <w:pPr>
              <w:ind w:left="480"/>
              <w:spacing w:after="0"/>
              <w:rPr>
                <w:sz w:val="20"/>
                <w:szCs w:val="20"/>
                <w:color w:val="auto"/>
              </w:rPr>
            </w:pPr>
            <w:r>
              <w:rPr>
                <w:rFonts w:ascii="Arial" w:cs="Arial" w:eastAsia="Arial" w:hAnsi="Arial"/>
                <w:sz w:val="18"/>
                <w:szCs w:val="18"/>
                <w:color w:val="auto"/>
              </w:rPr>
              <w:t>Yanbu</w:t>
            </w:r>
          </w:p>
        </w:tc>
        <w:tc>
          <w:tcPr>
            <w:tcW w:w="2780" w:type="dxa"/>
            <w:vAlign w:val="bottom"/>
          </w:tcPr>
          <w:p>
            <w:pPr>
              <w:ind w:left="680"/>
              <w:spacing w:after="0"/>
              <w:rPr>
                <w:sz w:val="20"/>
                <w:szCs w:val="20"/>
                <w:color w:val="auto"/>
              </w:rPr>
            </w:pPr>
            <w:r>
              <w:rPr>
                <w:rFonts w:ascii="Arial" w:cs="Arial" w:eastAsia="Arial" w:hAnsi="Arial"/>
                <w:sz w:val="18"/>
                <w:szCs w:val="18"/>
                <w:color w:val="auto"/>
              </w:rPr>
              <w:t>Saudi Arabia</w:t>
            </w:r>
          </w:p>
        </w:tc>
        <w:tc>
          <w:tcPr>
            <w:tcW w:w="9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242424"/>
              </w:rPr>
              <w:t>1.0</w:t>
            </w:r>
          </w:p>
        </w:tc>
        <w:tc>
          <w:tcPr>
            <w:tcW w:w="11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242424"/>
              </w:rPr>
              <w:t>0.7</w:t>
            </w:r>
          </w:p>
        </w:tc>
        <w:tc>
          <w:tcPr>
            <w:tcW w:w="12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242424"/>
              </w:rPr>
              <w:t>0.2</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42424"/>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4"/>
        </w:trPr>
        <w:tc>
          <w:tcPr>
            <w:tcW w:w="3040" w:type="dxa"/>
            <w:vAlign w:val="bottom"/>
          </w:tcPr>
          <w:p>
            <w:pPr>
              <w:ind w:left="880"/>
              <w:spacing w:after="0"/>
              <w:rPr>
                <w:sz w:val="20"/>
                <w:szCs w:val="20"/>
                <w:color w:val="auto"/>
              </w:rPr>
            </w:pPr>
            <w:r>
              <w:rPr>
                <w:rFonts w:ascii="Arial" w:cs="Arial" w:eastAsia="Arial" w:hAnsi="Arial"/>
                <w:sz w:val="18"/>
                <w:szCs w:val="18"/>
                <w:color w:val="auto"/>
              </w:rPr>
              <w:t>Total Middle East</w:t>
            </w:r>
          </w:p>
        </w:tc>
        <w:tc>
          <w:tcPr>
            <w:tcW w:w="2780" w:type="dxa"/>
            <w:vAlign w:val="bottom"/>
          </w:tcPr>
          <w:p>
            <w:pPr>
              <w:spacing w:after="0"/>
              <w:rPr>
                <w:sz w:val="19"/>
                <w:szCs w:val="19"/>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242424"/>
              </w:rPr>
              <w:t>1.7</w:t>
            </w:r>
          </w:p>
        </w:tc>
        <w:tc>
          <w:tcPr>
            <w:tcW w:w="1160" w:type="dxa"/>
            <w:vAlign w:val="bottom"/>
          </w:tcPr>
          <w:p>
            <w:pPr>
              <w:jc w:val="right"/>
              <w:ind w:right="72"/>
              <w:spacing w:after="0"/>
              <w:rPr>
                <w:sz w:val="20"/>
                <w:szCs w:val="20"/>
                <w:color w:val="auto"/>
              </w:rPr>
            </w:pPr>
            <w:r>
              <w:rPr>
                <w:rFonts w:ascii="Arial" w:cs="Arial" w:eastAsia="Arial" w:hAnsi="Arial"/>
                <w:sz w:val="18"/>
                <w:szCs w:val="18"/>
                <w:color w:val="242424"/>
              </w:rPr>
              <w:t>1.4</w:t>
            </w:r>
          </w:p>
        </w:tc>
        <w:tc>
          <w:tcPr>
            <w:tcW w:w="1260" w:type="dxa"/>
            <w:vAlign w:val="bottom"/>
          </w:tcPr>
          <w:p>
            <w:pPr>
              <w:jc w:val="right"/>
              <w:ind w:right="71"/>
              <w:spacing w:after="0"/>
              <w:rPr>
                <w:sz w:val="20"/>
                <w:szCs w:val="20"/>
                <w:color w:val="auto"/>
              </w:rPr>
            </w:pPr>
            <w:r>
              <w:rPr>
                <w:rFonts w:ascii="Arial" w:cs="Arial" w:eastAsia="Arial" w:hAnsi="Arial"/>
                <w:sz w:val="18"/>
                <w:szCs w:val="18"/>
                <w:color w:val="242424"/>
              </w:rPr>
              <w:t>0.2</w:t>
            </w:r>
          </w:p>
        </w:tc>
        <w:tc>
          <w:tcPr>
            <w:tcW w:w="960" w:type="dxa"/>
            <w:vAlign w:val="bottom"/>
          </w:tcPr>
          <w:p>
            <w:pPr>
              <w:jc w:val="right"/>
              <w:spacing w:after="0"/>
              <w:rPr>
                <w:sz w:val="20"/>
                <w:szCs w:val="20"/>
                <w:color w:val="auto"/>
              </w:rPr>
            </w:pPr>
            <w:r>
              <w:rPr>
                <w:rFonts w:ascii="Arial" w:cs="Arial" w:eastAsia="Arial" w:hAnsi="Arial"/>
                <w:sz w:val="18"/>
                <w:szCs w:val="18"/>
                <w:color w:val="242424"/>
              </w:rPr>
              <w:t>—</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3040" w:type="dxa"/>
            <w:vAlign w:val="bottom"/>
          </w:tcPr>
          <w:p>
            <w:pPr>
              <w:ind w:left="20"/>
              <w:spacing w:after="0"/>
              <w:rPr>
                <w:sz w:val="20"/>
                <w:szCs w:val="20"/>
                <w:color w:val="auto"/>
              </w:rPr>
            </w:pPr>
            <w:r>
              <w:rPr>
                <w:rFonts w:ascii="Arial" w:cs="Arial" w:eastAsia="Arial" w:hAnsi="Arial"/>
                <w:sz w:val="18"/>
                <w:szCs w:val="18"/>
                <w:b w:val="1"/>
                <w:bCs w:val="1"/>
                <w:color w:val="auto"/>
              </w:rPr>
              <w:t>Asia Pacific</w:t>
            </w:r>
          </w:p>
        </w:tc>
        <w:tc>
          <w:tcPr>
            <w:tcW w:w="2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040" w:type="dxa"/>
            <w:vAlign w:val="bottom"/>
          </w:tcPr>
          <w:p>
            <w:pPr>
              <w:ind w:left="480"/>
              <w:spacing w:after="0"/>
              <w:rPr>
                <w:sz w:val="20"/>
                <w:szCs w:val="20"/>
                <w:color w:val="auto"/>
              </w:rPr>
            </w:pPr>
            <w:r>
              <w:rPr>
                <w:rFonts w:ascii="Arial" w:cs="Arial" w:eastAsia="Arial" w:hAnsi="Arial"/>
                <w:sz w:val="18"/>
                <w:szCs w:val="18"/>
                <w:color w:val="auto"/>
              </w:rPr>
              <w:t>Fujian</w:t>
            </w:r>
          </w:p>
        </w:tc>
        <w:tc>
          <w:tcPr>
            <w:tcW w:w="2780" w:type="dxa"/>
            <w:vAlign w:val="bottom"/>
          </w:tcPr>
          <w:p>
            <w:pPr>
              <w:ind w:left="680"/>
              <w:spacing w:after="0"/>
              <w:rPr>
                <w:sz w:val="20"/>
                <w:szCs w:val="20"/>
                <w:color w:val="auto"/>
              </w:rPr>
            </w:pPr>
            <w:r>
              <w:rPr>
                <w:rFonts w:ascii="Arial" w:cs="Arial" w:eastAsia="Arial" w:hAnsi="Arial"/>
                <w:sz w:val="18"/>
                <w:szCs w:val="18"/>
                <w:color w:val="auto"/>
              </w:rPr>
              <w:t>China</w:t>
            </w:r>
          </w:p>
        </w:tc>
        <w:tc>
          <w:tcPr>
            <w:tcW w:w="940" w:type="dxa"/>
            <w:vAlign w:val="bottom"/>
          </w:tcPr>
          <w:p>
            <w:pPr>
              <w:jc w:val="right"/>
              <w:ind w:right="71"/>
              <w:spacing w:after="0"/>
              <w:rPr>
                <w:sz w:val="20"/>
                <w:szCs w:val="20"/>
                <w:color w:val="auto"/>
              </w:rPr>
            </w:pPr>
            <w:r>
              <w:rPr>
                <w:rFonts w:ascii="Arial" w:cs="Arial" w:eastAsia="Arial" w:hAnsi="Arial"/>
                <w:sz w:val="18"/>
                <w:szCs w:val="18"/>
                <w:color w:val="242424"/>
              </w:rPr>
              <w:t>0.3</w:t>
            </w:r>
          </w:p>
        </w:tc>
        <w:tc>
          <w:tcPr>
            <w:tcW w:w="1160" w:type="dxa"/>
            <w:vAlign w:val="bottom"/>
          </w:tcPr>
          <w:p>
            <w:pPr>
              <w:jc w:val="right"/>
              <w:ind w:right="72"/>
              <w:spacing w:after="0"/>
              <w:rPr>
                <w:sz w:val="20"/>
                <w:szCs w:val="20"/>
                <w:color w:val="auto"/>
              </w:rPr>
            </w:pPr>
            <w:r>
              <w:rPr>
                <w:rFonts w:ascii="Arial" w:cs="Arial" w:eastAsia="Arial" w:hAnsi="Arial"/>
                <w:sz w:val="18"/>
                <w:szCs w:val="18"/>
                <w:color w:val="242424"/>
              </w:rPr>
              <w:t>0.2</w:t>
            </w:r>
          </w:p>
        </w:tc>
        <w:tc>
          <w:tcPr>
            <w:tcW w:w="1260" w:type="dxa"/>
            <w:vAlign w:val="bottom"/>
          </w:tcPr>
          <w:p>
            <w:pPr>
              <w:jc w:val="right"/>
              <w:ind w:right="71"/>
              <w:spacing w:after="0"/>
              <w:rPr>
                <w:sz w:val="20"/>
                <w:szCs w:val="20"/>
                <w:color w:val="auto"/>
              </w:rPr>
            </w:pPr>
            <w:r>
              <w:rPr>
                <w:rFonts w:ascii="Arial" w:cs="Arial" w:eastAsia="Arial" w:hAnsi="Arial"/>
                <w:sz w:val="18"/>
                <w:szCs w:val="18"/>
                <w:color w:val="242424"/>
              </w:rPr>
              <w:t>0.2</w:t>
            </w:r>
          </w:p>
        </w:tc>
        <w:tc>
          <w:tcPr>
            <w:tcW w:w="960" w:type="dxa"/>
            <w:vAlign w:val="bottom"/>
          </w:tcPr>
          <w:p>
            <w:pPr>
              <w:jc w:val="right"/>
              <w:spacing w:after="0"/>
              <w:rPr>
                <w:sz w:val="20"/>
                <w:szCs w:val="20"/>
                <w:color w:val="auto"/>
              </w:rPr>
            </w:pPr>
            <w:r>
              <w:rPr>
                <w:rFonts w:ascii="Arial" w:cs="Arial" w:eastAsia="Arial" w:hAnsi="Arial"/>
                <w:sz w:val="18"/>
                <w:szCs w:val="18"/>
                <w:color w:val="242424"/>
              </w:rPr>
              <w:t>0.2</w:t>
            </w:r>
          </w:p>
        </w:tc>
        <w:tc>
          <w:tcPr>
            <w:tcW w:w="110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3040" w:type="dxa"/>
            <w:vAlign w:val="bottom"/>
          </w:tcPr>
          <w:p>
            <w:pPr>
              <w:ind w:left="480"/>
              <w:spacing w:after="0"/>
              <w:rPr>
                <w:sz w:val="20"/>
                <w:szCs w:val="20"/>
                <w:color w:val="auto"/>
              </w:rPr>
            </w:pPr>
            <w:r>
              <w:rPr>
                <w:rFonts w:ascii="Arial" w:cs="Arial" w:eastAsia="Arial" w:hAnsi="Arial"/>
                <w:sz w:val="18"/>
                <w:szCs w:val="18"/>
                <w:color w:val="auto"/>
              </w:rPr>
              <w:t>Singapore</w:t>
            </w:r>
          </w:p>
        </w:tc>
        <w:tc>
          <w:tcPr>
            <w:tcW w:w="2780" w:type="dxa"/>
            <w:vAlign w:val="bottom"/>
          </w:tcPr>
          <w:p>
            <w:pPr>
              <w:ind w:left="680"/>
              <w:spacing w:after="0"/>
              <w:rPr>
                <w:sz w:val="20"/>
                <w:szCs w:val="20"/>
                <w:color w:val="auto"/>
              </w:rPr>
            </w:pPr>
            <w:r>
              <w:rPr>
                <w:rFonts w:ascii="Arial" w:cs="Arial" w:eastAsia="Arial" w:hAnsi="Arial"/>
                <w:sz w:val="18"/>
                <w:szCs w:val="18"/>
                <w:color w:val="auto"/>
              </w:rPr>
              <w:t>Singapore</w:t>
            </w:r>
          </w:p>
        </w:tc>
        <w:tc>
          <w:tcPr>
            <w:tcW w:w="940" w:type="dxa"/>
            <w:vAlign w:val="bottom"/>
          </w:tcPr>
          <w:p>
            <w:pPr>
              <w:jc w:val="right"/>
              <w:ind w:right="71"/>
              <w:spacing w:after="0"/>
              <w:rPr>
                <w:sz w:val="20"/>
                <w:szCs w:val="20"/>
                <w:color w:val="auto"/>
              </w:rPr>
            </w:pPr>
            <w:r>
              <w:rPr>
                <w:rFonts w:ascii="Arial" w:cs="Arial" w:eastAsia="Arial" w:hAnsi="Arial"/>
                <w:sz w:val="18"/>
                <w:szCs w:val="18"/>
                <w:color w:val="242424"/>
              </w:rPr>
              <w:t>1.9</w:t>
            </w:r>
          </w:p>
        </w:tc>
        <w:tc>
          <w:tcPr>
            <w:tcW w:w="1160" w:type="dxa"/>
            <w:vAlign w:val="bottom"/>
          </w:tcPr>
          <w:p>
            <w:pPr>
              <w:jc w:val="right"/>
              <w:ind w:right="72"/>
              <w:spacing w:after="0"/>
              <w:rPr>
                <w:sz w:val="20"/>
                <w:szCs w:val="20"/>
                <w:color w:val="auto"/>
              </w:rPr>
            </w:pPr>
            <w:r>
              <w:rPr>
                <w:rFonts w:ascii="Arial" w:cs="Arial" w:eastAsia="Arial" w:hAnsi="Arial"/>
                <w:sz w:val="18"/>
                <w:szCs w:val="18"/>
                <w:color w:val="242424"/>
              </w:rPr>
              <w:t>1.9</w:t>
            </w:r>
          </w:p>
        </w:tc>
        <w:tc>
          <w:tcPr>
            <w:tcW w:w="1260" w:type="dxa"/>
            <w:vAlign w:val="bottom"/>
          </w:tcPr>
          <w:p>
            <w:pPr>
              <w:jc w:val="right"/>
              <w:ind w:right="71"/>
              <w:spacing w:after="0"/>
              <w:rPr>
                <w:sz w:val="20"/>
                <w:szCs w:val="20"/>
                <w:color w:val="auto"/>
              </w:rPr>
            </w:pPr>
            <w:r>
              <w:rPr>
                <w:rFonts w:ascii="Arial" w:cs="Arial" w:eastAsia="Arial" w:hAnsi="Arial"/>
                <w:sz w:val="18"/>
                <w:szCs w:val="18"/>
                <w:color w:val="242424"/>
              </w:rPr>
              <w:t>0.9</w:t>
            </w:r>
          </w:p>
        </w:tc>
        <w:tc>
          <w:tcPr>
            <w:tcW w:w="960" w:type="dxa"/>
            <w:vAlign w:val="bottom"/>
          </w:tcPr>
          <w:p>
            <w:pPr>
              <w:jc w:val="right"/>
              <w:spacing w:after="0"/>
              <w:rPr>
                <w:sz w:val="20"/>
                <w:szCs w:val="20"/>
                <w:color w:val="auto"/>
              </w:rPr>
            </w:pPr>
            <w:r>
              <w:rPr>
                <w:rFonts w:ascii="Arial" w:cs="Arial" w:eastAsia="Arial" w:hAnsi="Arial"/>
                <w:sz w:val="18"/>
                <w:szCs w:val="18"/>
                <w:color w:val="242424"/>
              </w:rPr>
              <w:t>1.8</w:t>
            </w:r>
          </w:p>
        </w:tc>
        <w:tc>
          <w:tcPr>
            <w:tcW w:w="110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3040" w:type="dxa"/>
            <w:vAlign w:val="bottom"/>
          </w:tcPr>
          <w:p>
            <w:pPr>
              <w:ind w:left="480"/>
              <w:spacing w:after="0"/>
              <w:rPr>
                <w:sz w:val="20"/>
                <w:szCs w:val="20"/>
                <w:color w:val="auto"/>
              </w:rPr>
            </w:pPr>
            <w:r>
              <w:rPr>
                <w:rFonts w:ascii="Arial" w:cs="Arial" w:eastAsia="Arial" w:hAnsi="Arial"/>
                <w:sz w:val="18"/>
                <w:szCs w:val="18"/>
                <w:color w:val="auto"/>
              </w:rPr>
              <w:t>Sriracha</w:t>
            </w:r>
          </w:p>
        </w:tc>
        <w:tc>
          <w:tcPr>
            <w:tcW w:w="2780" w:type="dxa"/>
            <w:vAlign w:val="bottom"/>
          </w:tcPr>
          <w:p>
            <w:pPr>
              <w:ind w:left="680"/>
              <w:spacing w:after="0"/>
              <w:rPr>
                <w:sz w:val="20"/>
                <w:szCs w:val="20"/>
                <w:color w:val="auto"/>
              </w:rPr>
            </w:pPr>
            <w:r>
              <w:rPr>
                <w:rFonts w:ascii="Arial" w:cs="Arial" w:eastAsia="Arial" w:hAnsi="Arial"/>
                <w:sz w:val="18"/>
                <w:szCs w:val="18"/>
                <w:color w:val="auto"/>
              </w:rPr>
              <w:t>Thailand</w:t>
            </w:r>
          </w:p>
        </w:tc>
        <w:tc>
          <w:tcPr>
            <w:tcW w:w="9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242424"/>
              </w:rPr>
              <w:t>—</w:t>
            </w:r>
          </w:p>
        </w:tc>
        <w:tc>
          <w:tcPr>
            <w:tcW w:w="11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242424"/>
              </w:rPr>
              <w:t>—</w:t>
            </w:r>
          </w:p>
        </w:tc>
        <w:tc>
          <w:tcPr>
            <w:tcW w:w="12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242424"/>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42424"/>
              </w:rPr>
              <w:t>0.5</w:t>
            </w:r>
          </w:p>
        </w:tc>
        <w:tc>
          <w:tcPr>
            <w:tcW w:w="110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3"/>
        </w:trPr>
        <w:tc>
          <w:tcPr>
            <w:tcW w:w="3040" w:type="dxa"/>
            <w:vAlign w:val="bottom"/>
          </w:tcPr>
          <w:p>
            <w:pPr>
              <w:ind w:left="880"/>
              <w:spacing w:after="0"/>
              <w:rPr>
                <w:sz w:val="20"/>
                <w:szCs w:val="20"/>
                <w:color w:val="auto"/>
              </w:rPr>
            </w:pPr>
            <w:r>
              <w:rPr>
                <w:rFonts w:ascii="Arial" w:cs="Arial" w:eastAsia="Arial" w:hAnsi="Arial"/>
                <w:sz w:val="18"/>
                <w:szCs w:val="18"/>
                <w:color w:val="auto"/>
              </w:rPr>
              <w:t>Total Asia Pacific</w:t>
            </w:r>
          </w:p>
        </w:tc>
        <w:tc>
          <w:tcPr>
            <w:tcW w:w="2780" w:type="dxa"/>
            <w:vAlign w:val="bottom"/>
          </w:tcPr>
          <w:p>
            <w:pPr>
              <w:spacing w:after="0"/>
              <w:rPr>
                <w:sz w:val="19"/>
                <w:szCs w:val="19"/>
                <w:color w:val="auto"/>
              </w:rPr>
            </w:pPr>
          </w:p>
        </w:tc>
        <w:tc>
          <w:tcPr>
            <w:tcW w:w="9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242424"/>
              </w:rPr>
              <w:t>2.2</w:t>
            </w:r>
          </w:p>
        </w:tc>
        <w:tc>
          <w:tcPr>
            <w:tcW w:w="11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242424"/>
              </w:rPr>
              <w:t>2.1</w:t>
            </w:r>
          </w:p>
        </w:tc>
        <w:tc>
          <w:tcPr>
            <w:tcW w:w="12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242424"/>
              </w:rPr>
              <w:t>1.1</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42424"/>
              </w:rPr>
              <w:t>2.5</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6"/>
        </w:trPr>
        <w:tc>
          <w:tcPr>
            <w:tcW w:w="3040" w:type="dxa"/>
            <w:vAlign w:val="bottom"/>
          </w:tcPr>
          <w:p>
            <w:pPr>
              <w:ind w:left="20"/>
              <w:spacing w:after="0"/>
              <w:rPr>
                <w:sz w:val="20"/>
                <w:szCs w:val="20"/>
                <w:color w:val="auto"/>
              </w:rPr>
            </w:pPr>
            <w:r>
              <w:rPr>
                <w:rFonts w:ascii="Arial" w:cs="Arial" w:eastAsia="Arial" w:hAnsi="Arial"/>
                <w:sz w:val="18"/>
                <w:szCs w:val="18"/>
                <w:b w:val="1"/>
                <w:bCs w:val="1"/>
                <w:color w:val="auto"/>
              </w:rPr>
              <w:t>Total Worldwide</w:t>
            </w:r>
          </w:p>
        </w:tc>
        <w:tc>
          <w:tcPr>
            <w:tcW w:w="2780" w:type="dxa"/>
            <w:vAlign w:val="bottom"/>
          </w:tcPr>
          <w:p>
            <w:pPr>
              <w:spacing w:after="0"/>
              <w:rPr>
                <w:sz w:val="24"/>
                <w:szCs w:val="24"/>
                <w:color w:val="auto"/>
              </w:rPr>
            </w:pPr>
          </w:p>
        </w:tc>
        <w:tc>
          <w:tcPr>
            <w:tcW w:w="9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242424"/>
              </w:rPr>
              <w:t>11.9</w:t>
            </w:r>
          </w:p>
        </w:tc>
        <w:tc>
          <w:tcPr>
            <w:tcW w:w="11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242424"/>
              </w:rPr>
              <w:t>11.2</w:t>
            </w:r>
          </w:p>
        </w:tc>
        <w:tc>
          <w:tcPr>
            <w:tcW w:w="12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242424"/>
              </w:rPr>
              <w:t>2.8</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42424"/>
              </w:rPr>
              <w:t>4.1</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340" w:right="20" w:hanging="332"/>
        <w:spacing w:after="0" w:line="277" w:lineRule="auto"/>
        <w:tabs>
          <w:tab w:leader="none" w:pos="334"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Capacity reflects 100 percent for operations of ExxonMobil and majority-owned subsidiaries. For companies owned 50 percent or less, capacity is ExxonMobil’s interest.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Due to rounding, numbers presented above may not add up precisely to the totals indicated.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29" w:name="page30"/>
    <w:bookmarkEnd w:id="29"/>
    <w:p>
      <w:pPr>
        <w:spacing w:after="0"/>
        <w:rPr>
          <w:sz w:val="20"/>
          <w:szCs w:val="20"/>
          <w:color w:val="auto"/>
        </w:rPr>
      </w:pPr>
      <w:r>
        <w:rPr>
          <w:rFonts w:ascii="Arial" w:cs="Arial" w:eastAsia="Arial" w:hAnsi="Arial"/>
          <w:sz w:val="20"/>
          <w:szCs w:val="20"/>
          <w:b w:val="1"/>
          <w:bCs w:val="1"/>
          <w:color w:val="auto"/>
        </w:rPr>
        <w:t>ITEM 3. LEGAL PROCEEDINGS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ExxonMobil has elected to use a $1 million threshold for disclosing environmental proceedings.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Refer to the relevant portions of “Note 16: Litigation and Other Contingencies” of the Financial Section of this report for additional information on legal proceedings.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MINE SAFETY DISCLOSURES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(positions and ages as of February 23, 2022)</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74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Darren W. Woods</w:t>
            </w:r>
          </w:p>
        </w:tc>
        <w:tc>
          <w:tcPr>
            <w:tcW w:w="5060" w:type="dxa"/>
            <w:vAlign w:val="bottom"/>
            <w:tcBorders>
              <w:top w:val="single" w:sz="8" w:color="auto"/>
            </w:tcBorders>
          </w:tcPr>
          <w:p>
            <w:pPr>
              <w:ind w:left="1020"/>
              <w:spacing w:after="0"/>
              <w:rPr>
                <w:sz w:val="20"/>
                <w:szCs w:val="20"/>
                <w:color w:val="auto"/>
              </w:rPr>
            </w:pPr>
            <w:r>
              <w:rPr>
                <w:rFonts w:ascii="Arial" w:cs="Arial" w:eastAsia="Arial" w:hAnsi="Arial"/>
                <w:sz w:val="18"/>
                <w:szCs w:val="18"/>
                <w:i w:val="1"/>
                <w:iCs w:val="1"/>
                <w:color w:val="auto"/>
              </w:rPr>
              <w:t>Chairman of the Board</w:t>
            </w:r>
          </w:p>
        </w:tc>
        <w:tc>
          <w:tcPr>
            <w:tcW w:w="3440" w:type="dxa"/>
            <w:vAlign w:val="bottom"/>
            <w:tcBorders>
              <w:top w:val="single" w:sz="8" w:color="auto"/>
            </w:tcBorders>
          </w:tcPr>
          <w:p>
            <w:pPr>
              <w:spacing w:after="0"/>
              <w:rPr>
                <w:sz w:val="21"/>
                <w:szCs w:val="21"/>
                <w:color w:val="auto"/>
              </w:rPr>
            </w:pPr>
          </w:p>
        </w:tc>
      </w:tr>
      <w:tr>
        <w:trPr>
          <w:trHeight w:val="454"/>
        </w:trPr>
        <w:tc>
          <w:tcPr>
            <w:tcW w:w="2740" w:type="dxa"/>
            <w:vAlign w:val="bottom"/>
          </w:tcPr>
          <w:p>
            <w:pPr>
              <w:ind w:left="20"/>
              <w:spacing w:after="0"/>
              <w:rPr>
                <w:sz w:val="20"/>
                <w:szCs w:val="20"/>
                <w:color w:val="auto"/>
              </w:rPr>
            </w:pPr>
            <w:r>
              <w:rPr>
                <w:rFonts w:ascii="Arial" w:cs="Arial" w:eastAsia="Arial" w:hAnsi="Arial"/>
                <w:sz w:val="18"/>
                <w:szCs w:val="18"/>
                <w:color w:val="auto"/>
              </w:rPr>
              <w:t>Held current title since:</w:t>
            </w:r>
          </w:p>
        </w:tc>
        <w:tc>
          <w:tcPr>
            <w:tcW w:w="5060" w:type="dxa"/>
            <w:vAlign w:val="bottom"/>
          </w:tcPr>
          <w:p>
            <w:pPr>
              <w:ind w:left="1020"/>
              <w:spacing w:after="0"/>
              <w:rPr>
                <w:sz w:val="20"/>
                <w:szCs w:val="20"/>
                <w:color w:val="auto"/>
              </w:rPr>
            </w:pPr>
            <w:r>
              <w:rPr>
                <w:rFonts w:ascii="Arial" w:cs="Arial" w:eastAsia="Arial" w:hAnsi="Arial"/>
                <w:sz w:val="18"/>
                <w:szCs w:val="18"/>
                <w:color w:val="auto"/>
              </w:rPr>
              <w:t>January 1, 2017</w:t>
            </w:r>
          </w:p>
        </w:tc>
        <w:tc>
          <w:tcPr>
            <w:tcW w:w="3440" w:type="dxa"/>
            <w:vAlign w:val="bottom"/>
          </w:tcPr>
          <w:p>
            <w:pPr>
              <w:ind w:left="2360"/>
              <w:spacing w:after="0"/>
              <w:rPr>
                <w:sz w:val="20"/>
                <w:szCs w:val="20"/>
                <w:color w:val="auto"/>
              </w:rPr>
            </w:pPr>
            <w:r>
              <w:rPr>
                <w:rFonts w:ascii="Arial" w:cs="Arial" w:eastAsia="Arial" w:hAnsi="Arial"/>
                <w:sz w:val="18"/>
                <w:szCs w:val="18"/>
                <w:color w:val="auto"/>
              </w:rPr>
              <w:t>Age: 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both"/>
        <w:ind w:left="20" w:right="20"/>
        <w:spacing w:after="0" w:line="235" w:lineRule="auto"/>
        <w:rPr>
          <w:sz w:val="20"/>
          <w:szCs w:val="20"/>
          <w:color w:val="auto"/>
        </w:rPr>
      </w:pPr>
      <w:r>
        <w:rPr>
          <w:rFonts w:ascii="Arial" w:cs="Arial" w:eastAsia="Arial" w:hAnsi="Arial"/>
          <w:sz w:val="18"/>
          <w:szCs w:val="18"/>
          <w:color w:val="auto"/>
        </w:rPr>
        <w:t>Mr. Darren W. Woods became a Director and President of Exxon Mobil Corporation on January 1, 2016, and Chairman of the Board and Chief Executive Officer of Exxon Mobil Corporation on January 1, 2017, positions he continues to hold as of this filing date.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74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Neil A. Chapman</w:t>
            </w:r>
          </w:p>
        </w:tc>
        <w:tc>
          <w:tcPr>
            <w:tcW w:w="5000" w:type="dxa"/>
            <w:vAlign w:val="bottom"/>
            <w:tcBorders>
              <w:top w:val="single" w:sz="8" w:color="auto"/>
            </w:tcBorders>
          </w:tcPr>
          <w:p>
            <w:pPr>
              <w:ind w:left="1020"/>
              <w:spacing w:after="0"/>
              <w:rPr>
                <w:sz w:val="20"/>
                <w:szCs w:val="20"/>
                <w:color w:val="auto"/>
              </w:rPr>
            </w:pPr>
            <w:r>
              <w:rPr>
                <w:rFonts w:ascii="Arial" w:cs="Arial" w:eastAsia="Arial" w:hAnsi="Arial"/>
                <w:sz w:val="18"/>
                <w:szCs w:val="18"/>
                <w:i w:val="1"/>
                <w:iCs w:val="1"/>
                <w:color w:val="auto"/>
              </w:rPr>
              <w:t>Senior Vice President</w:t>
            </w:r>
          </w:p>
        </w:tc>
        <w:tc>
          <w:tcPr>
            <w:tcW w:w="3500" w:type="dxa"/>
            <w:vAlign w:val="bottom"/>
            <w:tcBorders>
              <w:top w:val="single" w:sz="8" w:color="auto"/>
            </w:tcBorders>
          </w:tcPr>
          <w:p>
            <w:pPr>
              <w:spacing w:after="0"/>
              <w:rPr>
                <w:sz w:val="21"/>
                <w:szCs w:val="21"/>
                <w:color w:val="auto"/>
              </w:rPr>
            </w:pPr>
          </w:p>
        </w:tc>
      </w:tr>
      <w:tr>
        <w:trPr>
          <w:trHeight w:val="454"/>
        </w:trPr>
        <w:tc>
          <w:tcPr>
            <w:tcW w:w="2740" w:type="dxa"/>
            <w:vAlign w:val="bottom"/>
          </w:tcPr>
          <w:p>
            <w:pPr>
              <w:ind w:left="20"/>
              <w:spacing w:after="0"/>
              <w:rPr>
                <w:sz w:val="20"/>
                <w:szCs w:val="20"/>
                <w:color w:val="auto"/>
              </w:rPr>
            </w:pPr>
            <w:r>
              <w:rPr>
                <w:rFonts w:ascii="Arial" w:cs="Arial" w:eastAsia="Arial" w:hAnsi="Arial"/>
                <w:sz w:val="18"/>
                <w:szCs w:val="18"/>
                <w:color w:val="auto"/>
              </w:rPr>
              <w:t>Held current title since:</w:t>
            </w:r>
          </w:p>
        </w:tc>
        <w:tc>
          <w:tcPr>
            <w:tcW w:w="5000" w:type="dxa"/>
            <w:vAlign w:val="bottom"/>
          </w:tcPr>
          <w:p>
            <w:pPr>
              <w:ind w:left="1020"/>
              <w:spacing w:after="0"/>
              <w:rPr>
                <w:sz w:val="20"/>
                <w:szCs w:val="20"/>
                <w:color w:val="auto"/>
              </w:rPr>
            </w:pPr>
            <w:r>
              <w:rPr>
                <w:rFonts w:ascii="Arial" w:cs="Arial" w:eastAsia="Arial" w:hAnsi="Arial"/>
                <w:sz w:val="18"/>
                <w:szCs w:val="18"/>
                <w:color w:val="auto"/>
              </w:rPr>
              <w:t>January 1, 2018</w:t>
            </w:r>
          </w:p>
        </w:tc>
        <w:tc>
          <w:tcPr>
            <w:tcW w:w="3500" w:type="dxa"/>
            <w:vAlign w:val="bottom"/>
          </w:tcPr>
          <w:p>
            <w:pPr>
              <w:ind w:left="2420"/>
              <w:spacing w:after="0"/>
              <w:rPr>
                <w:sz w:val="20"/>
                <w:szCs w:val="20"/>
                <w:color w:val="auto"/>
              </w:rPr>
            </w:pPr>
            <w:r>
              <w:rPr>
                <w:rFonts w:ascii="Arial" w:cs="Arial" w:eastAsia="Arial" w:hAnsi="Arial"/>
                <w:sz w:val="18"/>
                <w:szCs w:val="18"/>
                <w:color w:val="auto"/>
              </w:rPr>
              <w:t>Age: 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both"/>
        <w:ind w:left="20" w:right="20"/>
        <w:spacing w:after="0" w:line="258" w:lineRule="auto"/>
        <w:rPr>
          <w:sz w:val="20"/>
          <w:szCs w:val="20"/>
          <w:color w:val="auto"/>
        </w:rPr>
      </w:pPr>
      <w:r>
        <w:rPr>
          <w:rFonts w:ascii="Arial" w:cs="Arial" w:eastAsia="Arial" w:hAnsi="Arial"/>
          <w:sz w:val="17"/>
          <w:szCs w:val="17"/>
          <w:color w:val="auto"/>
        </w:rPr>
        <w:t>Mr. Neil A. Chapman was President of ExxonMobil Chemical Company and Vice President of Exxon Mobil Corporation January 1, 2015 – December 31, 2017. He became Senior Vice President of Exxon Mobil Corporation on January 1, 2018, a position he continues to hold as of this filing date.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74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Kathryn A. Mikells</w:t>
            </w:r>
          </w:p>
        </w:tc>
        <w:tc>
          <w:tcPr>
            <w:tcW w:w="6020" w:type="dxa"/>
            <w:vAlign w:val="bottom"/>
            <w:tcBorders>
              <w:top w:val="single" w:sz="8" w:color="auto"/>
            </w:tcBorders>
          </w:tcPr>
          <w:p>
            <w:pPr>
              <w:ind w:left="1020"/>
              <w:spacing w:after="0"/>
              <w:rPr>
                <w:sz w:val="20"/>
                <w:szCs w:val="20"/>
                <w:color w:val="auto"/>
              </w:rPr>
            </w:pPr>
            <w:r>
              <w:rPr>
                <w:rFonts w:ascii="Arial" w:cs="Arial" w:eastAsia="Arial" w:hAnsi="Arial"/>
                <w:sz w:val="18"/>
                <w:szCs w:val="18"/>
                <w:i w:val="1"/>
                <w:iCs w:val="1"/>
                <w:color w:val="auto"/>
              </w:rPr>
              <w:t>Senior Vice President and Chief Financial Officer</w:t>
            </w:r>
          </w:p>
        </w:tc>
        <w:tc>
          <w:tcPr>
            <w:tcW w:w="2480" w:type="dxa"/>
            <w:vAlign w:val="bottom"/>
            <w:tcBorders>
              <w:top w:val="single" w:sz="8" w:color="auto"/>
            </w:tcBorders>
          </w:tcPr>
          <w:p>
            <w:pPr>
              <w:spacing w:after="0"/>
              <w:rPr>
                <w:sz w:val="21"/>
                <w:szCs w:val="21"/>
                <w:color w:val="auto"/>
              </w:rPr>
            </w:pPr>
          </w:p>
        </w:tc>
      </w:tr>
      <w:tr>
        <w:trPr>
          <w:trHeight w:val="454"/>
        </w:trPr>
        <w:tc>
          <w:tcPr>
            <w:tcW w:w="2740" w:type="dxa"/>
            <w:vAlign w:val="bottom"/>
          </w:tcPr>
          <w:p>
            <w:pPr>
              <w:ind w:left="20"/>
              <w:spacing w:after="0"/>
              <w:rPr>
                <w:sz w:val="20"/>
                <w:szCs w:val="20"/>
                <w:color w:val="auto"/>
              </w:rPr>
            </w:pPr>
            <w:r>
              <w:rPr>
                <w:rFonts w:ascii="Arial" w:cs="Arial" w:eastAsia="Arial" w:hAnsi="Arial"/>
                <w:sz w:val="18"/>
                <w:szCs w:val="18"/>
                <w:color w:val="auto"/>
              </w:rPr>
              <w:t>Held current title since:</w:t>
            </w:r>
          </w:p>
        </w:tc>
        <w:tc>
          <w:tcPr>
            <w:tcW w:w="6020" w:type="dxa"/>
            <w:vAlign w:val="bottom"/>
          </w:tcPr>
          <w:p>
            <w:pPr>
              <w:ind w:left="1020"/>
              <w:spacing w:after="0"/>
              <w:rPr>
                <w:sz w:val="20"/>
                <w:szCs w:val="20"/>
                <w:color w:val="auto"/>
              </w:rPr>
            </w:pPr>
            <w:r>
              <w:rPr>
                <w:rFonts w:ascii="Arial" w:cs="Arial" w:eastAsia="Arial" w:hAnsi="Arial"/>
                <w:sz w:val="18"/>
                <w:szCs w:val="18"/>
                <w:color w:val="auto"/>
              </w:rPr>
              <w:t>August 9, 2021</w:t>
            </w:r>
          </w:p>
        </w:tc>
        <w:tc>
          <w:tcPr>
            <w:tcW w:w="2480" w:type="dxa"/>
            <w:vAlign w:val="bottom"/>
          </w:tcPr>
          <w:p>
            <w:pPr>
              <w:ind w:left="1400"/>
              <w:spacing w:after="0"/>
              <w:rPr>
                <w:sz w:val="20"/>
                <w:szCs w:val="20"/>
                <w:color w:val="auto"/>
              </w:rPr>
            </w:pPr>
            <w:r>
              <w:rPr>
                <w:rFonts w:ascii="Arial" w:cs="Arial" w:eastAsia="Arial" w:hAnsi="Arial"/>
                <w:sz w:val="18"/>
                <w:szCs w:val="18"/>
                <w:color w:val="auto"/>
              </w:rPr>
              <w:t>Age: 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both"/>
        <w:ind w:left="20" w:right="20"/>
        <w:spacing w:after="0" w:line="219" w:lineRule="auto"/>
        <w:rPr>
          <w:sz w:val="20"/>
          <w:szCs w:val="20"/>
          <w:color w:val="auto"/>
        </w:rPr>
      </w:pPr>
      <w:r>
        <w:rPr>
          <w:rFonts w:ascii="Arial" w:cs="Arial" w:eastAsia="Arial" w:hAnsi="Arial"/>
          <w:sz w:val="18"/>
          <w:szCs w:val="18"/>
          <w:color w:val="auto"/>
        </w:rPr>
        <w:t>Ms. Kathryn A. Mikells was Chief Financial Officer and a member of the board of directors of Diageo plc November 2015 – June 2021. Prior to that time, she held Chief Financial Officer positions at Xerox, ADT, Nalco, and United Airlines, where she also served as Vice President of Investor Relations and Treasurer. She became Senior Vice President and Chief Financial Officer of Exxon Mobil Corporation on August 9, 2021, positions she continues to hold as of this filing date.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74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Jack P. Williams, Jr.</w:t>
            </w:r>
          </w:p>
        </w:tc>
        <w:tc>
          <w:tcPr>
            <w:tcW w:w="5000" w:type="dxa"/>
            <w:vAlign w:val="bottom"/>
            <w:tcBorders>
              <w:top w:val="single" w:sz="8" w:color="auto"/>
            </w:tcBorders>
          </w:tcPr>
          <w:p>
            <w:pPr>
              <w:ind w:left="1020"/>
              <w:spacing w:after="0"/>
              <w:rPr>
                <w:sz w:val="20"/>
                <w:szCs w:val="20"/>
                <w:color w:val="auto"/>
              </w:rPr>
            </w:pPr>
            <w:r>
              <w:rPr>
                <w:rFonts w:ascii="Arial" w:cs="Arial" w:eastAsia="Arial" w:hAnsi="Arial"/>
                <w:sz w:val="18"/>
                <w:szCs w:val="18"/>
                <w:i w:val="1"/>
                <w:iCs w:val="1"/>
                <w:color w:val="auto"/>
              </w:rPr>
              <w:t>Senior Vice President</w:t>
            </w:r>
          </w:p>
        </w:tc>
        <w:tc>
          <w:tcPr>
            <w:tcW w:w="3500" w:type="dxa"/>
            <w:vAlign w:val="bottom"/>
            <w:tcBorders>
              <w:top w:val="single" w:sz="8" w:color="auto"/>
            </w:tcBorders>
          </w:tcPr>
          <w:p>
            <w:pPr>
              <w:spacing w:after="0"/>
              <w:rPr>
                <w:sz w:val="21"/>
                <w:szCs w:val="21"/>
                <w:color w:val="auto"/>
              </w:rPr>
            </w:pPr>
          </w:p>
        </w:tc>
      </w:tr>
      <w:tr>
        <w:trPr>
          <w:trHeight w:val="454"/>
        </w:trPr>
        <w:tc>
          <w:tcPr>
            <w:tcW w:w="2740" w:type="dxa"/>
            <w:vAlign w:val="bottom"/>
          </w:tcPr>
          <w:p>
            <w:pPr>
              <w:ind w:left="20"/>
              <w:spacing w:after="0"/>
              <w:rPr>
                <w:sz w:val="20"/>
                <w:szCs w:val="20"/>
                <w:color w:val="auto"/>
              </w:rPr>
            </w:pPr>
            <w:r>
              <w:rPr>
                <w:rFonts w:ascii="Arial" w:cs="Arial" w:eastAsia="Arial" w:hAnsi="Arial"/>
                <w:sz w:val="18"/>
                <w:szCs w:val="18"/>
                <w:color w:val="auto"/>
              </w:rPr>
              <w:t>Held current title since:</w:t>
            </w:r>
          </w:p>
        </w:tc>
        <w:tc>
          <w:tcPr>
            <w:tcW w:w="5000" w:type="dxa"/>
            <w:vAlign w:val="bottom"/>
          </w:tcPr>
          <w:p>
            <w:pPr>
              <w:ind w:left="1020"/>
              <w:spacing w:after="0"/>
              <w:rPr>
                <w:sz w:val="20"/>
                <w:szCs w:val="20"/>
                <w:color w:val="auto"/>
              </w:rPr>
            </w:pPr>
            <w:r>
              <w:rPr>
                <w:rFonts w:ascii="Arial" w:cs="Arial" w:eastAsia="Arial" w:hAnsi="Arial"/>
                <w:sz w:val="18"/>
                <w:szCs w:val="18"/>
                <w:color w:val="auto"/>
              </w:rPr>
              <w:t>June 1, 2014</w:t>
            </w:r>
          </w:p>
        </w:tc>
        <w:tc>
          <w:tcPr>
            <w:tcW w:w="3500" w:type="dxa"/>
            <w:vAlign w:val="bottom"/>
          </w:tcPr>
          <w:p>
            <w:pPr>
              <w:ind w:left="2420"/>
              <w:spacing w:after="0"/>
              <w:rPr>
                <w:sz w:val="20"/>
                <w:szCs w:val="20"/>
                <w:color w:val="auto"/>
              </w:rPr>
            </w:pPr>
            <w:r>
              <w:rPr>
                <w:rFonts w:ascii="Arial" w:cs="Arial" w:eastAsia="Arial" w:hAnsi="Arial"/>
                <w:sz w:val="18"/>
                <w:szCs w:val="18"/>
                <w:color w:val="auto"/>
              </w:rPr>
              <w:t>Age: 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color w:val="auto"/>
        </w:rPr>
        <w:t>Mr. Jack P. Williams, Jr. became Senior Vice President of Exxon Mobil Corporation on June 1, 2014, a position he continues to hold as of this filing date.</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74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Ian S. Carr</w:t>
            </w:r>
          </w:p>
        </w:tc>
        <w:tc>
          <w:tcPr>
            <w:tcW w:w="4900" w:type="dxa"/>
            <w:vAlign w:val="bottom"/>
            <w:tcBorders>
              <w:top w:val="single" w:sz="8" w:color="auto"/>
            </w:tcBorders>
          </w:tcPr>
          <w:p>
            <w:pPr>
              <w:ind w:left="1020"/>
              <w:spacing w:after="0"/>
              <w:rPr>
                <w:sz w:val="20"/>
                <w:szCs w:val="20"/>
                <w:color w:val="auto"/>
              </w:rPr>
            </w:pPr>
            <w:r>
              <w:rPr>
                <w:rFonts w:ascii="Arial" w:cs="Arial" w:eastAsia="Arial" w:hAnsi="Arial"/>
                <w:sz w:val="18"/>
                <w:szCs w:val="18"/>
                <w:i w:val="1"/>
                <w:iCs w:val="1"/>
                <w:color w:val="auto"/>
              </w:rPr>
              <w:t>Vice President</w:t>
            </w:r>
          </w:p>
        </w:tc>
        <w:tc>
          <w:tcPr>
            <w:tcW w:w="3600" w:type="dxa"/>
            <w:vAlign w:val="bottom"/>
            <w:tcBorders>
              <w:top w:val="single" w:sz="8" w:color="auto"/>
            </w:tcBorders>
          </w:tcPr>
          <w:p>
            <w:pPr>
              <w:spacing w:after="0"/>
              <w:rPr>
                <w:sz w:val="21"/>
                <w:szCs w:val="21"/>
                <w:color w:val="auto"/>
              </w:rPr>
            </w:pPr>
          </w:p>
        </w:tc>
      </w:tr>
      <w:tr>
        <w:trPr>
          <w:trHeight w:val="373"/>
        </w:trPr>
        <w:tc>
          <w:tcPr>
            <w:tcW w:w="2740" w:type="dxa"/>
            <w:vAlign w:val="bottom"/>
          </w:tcPr>
          <w:p>
            <w:pPr>
              <w:ind w:left="20"/>
              <w:spacing w:after="0"/>
              <w:rPr>
                <w:sz w:val="20"/>
                <w:szCs w:val="20"/>
                <w:color w:val="auto"/>
              </w:rPr>
            </w:pPr>
            <w:r>
              <w:rPr>
                <w:rFonts w:ascii="Arial" w:cs="Arial" w:eastAsia="Arial" w:hAnsi="Arial"/>
                <w:sz w:val="18"/>
                <w:szCs w:val="18"/>
                <w:color w:val="auto"/>
              </w:rPr>
              <w:t>Held current title since:</w:t>
            </w:r>
          </w:p>
        </w:tc>
        <w:tc>
          <w:tcPr>
            <w:tcW w:w="4900" w:type="dxa"/>
            <w:vAlign w:val="bottom"/>
          </w:tcPr>
          <w:p>
            <w:pPr>
              <w:ind w:left="1020"/>
              <w:spacing w:after="0"/>
              <w:rPr>
                <w:sz w:val="20"/>
                <w:szCs w:val="20"/>
                <w:color w:val="auto"/>
              </w:rPr>
            </w:pPr>
            <w:r>
              <w:rPr>
                <w:rFonts w:ascii="Arial" w:cs="Arial" w:eastAsia="Arial" w:hAnsi="Arial"/>
                <w:sz w:val="18"/>
                <w:szCs w:val="18"/>
                <w:color w:val="auto"/>
              </w:rPr>
              <w:t>September 1, 2020</w:t>
            </w:r>
          </w:p>
        </w:tc>
        <w:tc>
          <w:tcPr>
            <w:tcW w:w="3600" w:type="dxa"/>
            <w:vAlign w:val="bottom"/>
          </w:tcPr>
          <w:p>
            <w:pPr>
              <w:ind w:left="2520"/>
              <w:spacing w:after="0"/>
              <w:rPr>
                <w:sz w:val="20"/>
                <w:szCs w:val="20"/>
                <w:color w:val="auto"/>
              </w:rPr>
            </w:pPr>
            <w:r>
              <w:rPr>
                <w:rFonts w:ascii="Arial" w:cs="Arial" w:eastAsia="Arial" w:hAnsi="Arial"/>
                <w:sz w:val="18"/>
                <w:szCs w:val="18"/>
                <w:color w:val="auto"/>
              </w:rPr>
              <w:t>Age: 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both"/>
        <w:ind w:left="20" w:right="20"/>
        <w:spacing w:after="0" w:line="244" w:lineRule="auto"/>
        <w:rPr>
          <w:sz w:val="20"/>
          <w:szCs w:val="20"/>
          <w:color w:val="auto"/>
        </w:rPr>
      </w:pPr>
      <w:r>
        <w:rPr>
          <w:rFonts w:ascii="Arial" w:cs="Arial" w:eastAsia="Arial" w:hAnsi="Arial"/>
          <w:sz w:val="16"/>
          <w:szCs w:val="16"/>
          <w:color w:val="auto"/>
        </w:rPr>
        <w:t>Mr. Ian S. Carr was Vice President, Strategy and Planning, ExxonMobil Refining &amp; Supply Company May 1, 2014 – July 31, 2017. He was Vice President, Upstream Strategy and Planning, ExxonMobil Gas &amp; Power Marketing Company August 1, 2017 – March 31, 2019. He was Vice President, Strategy and Portfolio Management, ExxonMobil Upstream Business Development Company April 1, 2019 – September 30, 2019. He was Senior Vice President, Fuels, ExxonMobil Fuels &amp; Lubricants Company October 1, 2019 – August 31, 2020. He became President of ExxonMobil Fuels &amp; Lubricants Company and Vice President of Exxon Mobil Corporation on September 1, 2020, positions he continues to hold as of this filing date.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740" w:type="dxa"/>
            <w:vAlign w:val="bottom"/>
            <w:tcBorders>
              <w:top w:val="single" w:sz="8" w:color="auto"/>
            </w:tcBorders>
          </w:tcPr>
          <w:p>
            <w:pPr>
              <w:ind w:left="20"/>
              <w:spacing w:after="0" w:line="189" w:lineRule="exact"/>
              <w:rPr>
                <w:sz w:val="20"/>
                <w:szCs w:val="20"/>
                <w:color w:val="auto"/>
              </w:rPr>
            </w:pPr>
            <w:r>
              <w:rPr>
                <w:rFonts w:ascii="Arial" w:cs="Arial" w:eastAsia="Arial" w:hAnsi="Arial"/>
                <w:sz w:val="18"/>
                <w:szCs w:val="18"/>
                <w:b w:val="1"/>
                <w:bCs w:val="1"/>
                <w:color w:val="auto"/>
              </w:rPr>
              <w:t>Linda D. DuCharme</w:t>
            </w:r>
          </w:p>
        </w:tc>
        <w:tc>
          <w:tcPr>
            <w:tcW w:w="6160" w:type="dxa"/>
            <w:vAlign w:val="bottom"/>
            <w:tcBorders>
              <w:top w:val="single" w:sz="8" w:color="auto"/>
            </w:tcBorders>
          </w:tcPr>
          <w:p>
            <w:pPr>
              <w:ind w:left="1020"/>
              <w:spacing w:after="0" w:line="189" w:lineRule="exact"/>
              <w:rPr>
                <w:sz w:val="20"/>
                <w:szCs w:val="20"/>
                <w:color w:val="auto"/>
              </w:rPr>
            </w:pPr>
            <w:r>
              <w:rPr>
                <w:rFonts w:ascii="Arial" w:cs="Arial" w:eastAsia="Arial" w:hAnsi="Arial"/>
                <w:sz w:val="18"/>
                <w:szCs w:val="18"/>
                <w:i w:val="1"/>
                <w:iCs w:val="1"/>
                <w:color w:val="auto"/>
              </w:rPr>
              <w:t>Vice President</w:t>
            </w:r>
          </w:p>
        </w:tc>
        <w:tc>
          <w:tcPr>
            <w:tcW w:w="2340" w:type="dxa"/>
            <w:vAlign w:val="bottom"/>
            <w:tcBorders>
              <w:top w:val="single" w:sz="8" w:color="auto"/>
            </w:tcBorders>
          </w:tcPr>
          <w:p>
            <w:pPr>
              <w:spacing w:after="0"/>
              <w:rPr>
                <w:sz w:val="16"/>
                <w:szCs w:val="16"/>
                <w:color w:val="auto"/>
              </w:rPr>
            </w:pPr>
          </w:p>
        </w:tc>
      </w:tr>
      <w:tr>
        <w:trPr>
          <w:trHeight w:val="230"/>
        </w:trPr>
        <w:tc>
          <w:tcPr>
            <w:tcW w:w="2740" w:type="dxa"/>
            <w:vAlign w:val="bottom"/>
          </w:tcPr>
          <w:p>
            <w:pPr>
              <w:spacing w:after="0"/>
              <w:rPr>
                <w:sz w:val="20"/>
                <w:szCs w:val="20"/>
                <w:color w:val="auto"/>
              </w:rPr>
            </w:pPr>
          </w:p>
        </w:tc>
        <w:tc>
          <w:tcPr>
            <w:tcW w:w="6160" w:type="dxa"/>
            <w:vAlign w:val="bottom"/>
          </w:tcPr>
          <w:p>
            <w:pPr>
              <w:ind w:left="1020"/>
              <w:spacing w:after="0"/>
              <w:rPr>
                <w:sz w:val="20"/>
                <w:szCs w:val="20"/>
                <w:color w:val="auto"/>
              </w:rPr>
            </w:pPr>
            <w:r>
              <w:rPr>
                <w:rFonts w:ascii="Arial" w:cs="Arial" w:eastAsia="Arial" w:hAnsi="Arial"/>
                <w:sz w:val="18"/>
                <w:szCs w:val="18"/>
                <w:i w:val="1"/>
                <w:iCs w:val="1"/>
                <w:color w:val="auto"/>
              </w:rPr>
              <w:t>President, ExxonMobil Integrated Solutions Company</w:t>
            </w:r>
          </w:p>
        </w:tc>
        <w:tc>
          <w:tcPr>
            <w:tcW w:w="2340" w:type="dxa"/>
            <w:vAlign w:val="bottom"/>
          </w:tcPr>
          <w:p>
            <w:pPr>
              <w:spacing w:after="0"/>
              <w:rPr>
                <w:sz w:val="20"/>
                <w:szCs w:val="20"/>
                <w:color w:val="auto"/>
              </w:rPr>
            </w:pPr>
          </w:p>
        </w:tc>
      </w:tr>
      <w:tr>
        <w:trPr>
          <w:trHeight w:val="458"/>
        </w:trPr>
        <w:tc>
          <w:tcPr>
            <w:tcW w:w="2740" w:type="dxa"/>
            <w:vAlign w:val="bottom"/>
          </w:tcPr>
          <w:p>
            <w:pPr>
              <w:ind w:left="20"/>
              <w:spacing w:after="0"/>
              <w:rPr>
                <w:sz w:val="20"/>
                <w:szCs w:val="20"/>
                <w:color w:val="auto"/>
              </w:rPr>
            </w:pPr>
            <w:r>
              <w:rPr>
                <w:rFonts w:ascii="Arial" w:cs="Arial" w:eastAsia="Arial" w:hAnsi="Arial"/>
                <w:sz w:val="18"/>
                <w:szCs w:val="18"/>
                <w:color w:val="auto"/>
              </w:rPr>
              <w:t>Held current title since:</w:t>
            </w:r>
          </w:p>
        </w:tc>
        <w:tc>
          <w:tcPr>
            <w:tcW w:w="6160" w:type="dxa"/>
            <w:vAlign w:val="bottom"/>
          </w:tcPr>
          <w:p>
            <w:pPr>
              <w:ind w:left="1020"/>
              <w:spacing w:after="0"/>
              <w:rPr>
                <w:sz w:val="20"/>
                <w:szCs w:val="20"/>
                <w:color w:val="auto"/>
              </w:rPr>
            </w:pPr>
            <w:r>
              <w:rPr>
                <w:rFonts w:ascii="Arial" w:cs="Arial" w:eastAsia="Arial" w:hAnsi="Arial"/>
                <w:sz w:val="18"/>
                <w:szCs w:val="18"/>
                <w:color w:val="auto"/>
              </w:rPr>
              <w:t>July 1, 2020, and April 1, 2019, respectively</w:t>
            </w:r>
          </w:p>
        </w:tc>
        <w:tc>
          <w:tcPr>
            <w:tcW w:w="2340" w:type="dxa"/>
            <w:vAlign w:val="bottom"/>
          </w:tcPr>
          <w:p>
            <w:pPr>
              <w:ind w:left="1260"/>
              <w:spacing w:after="0"/>
              <w:rPr>
                <w:sz w:val="20"/>
                <w:szCs w:val="20"/>
                <w:color w:val="auto"/>
              </w:rPr>
            </w:pPr>
            <w:r>
              <w:rPr>
                <w:rFonts w:ascii="Arial" w:cs="Arial" w:eastAsia="Arial" w:hAnsi="Arial"/>
                <w:sz w:val="18"/>
                <w:szCs w:val="18"/>
                <w:color w:val="auto"/>
              </w:rPr>
              <w:t>Age: 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both"/>
        <w:ind w:left="20" w:right="20"/>
        <w:spacing w:after="0" w:line="224" w:lineRule="auto"/>
        <w:rPr>
          <w:sz w:val="20"/>
          <w:szCs w:val="20"/>
          <w:color w:val="auto"/>
        </w:rPr>
      </w:pPr>
      <w:r>
        <w:rPr>
          <w:rFonts w:ascii="Arial" w:cs="Arial" w:eastAsia="Arial" w:hAnsi="Arial"/>
          <w:sz w:val="18"/>
          <w:szCs w:val="18"/>
          <w:color w:val="auto"/>
        </w:rPr>
        <w:t>Ms. Linda D. DuCharme was President of ExxonMobil Global Services Company August 1, 2016 – March 31, 2019. She became President of ExxonMobil Upstream Integrated Solutions Company April 1, 2019, and President of ExxonMobil Upstream Business Development Company and Vice President of Exxon Mobil Corporation on July 1, 2020, positions she continues to hold as of this filing date.</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74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Len M. Fox</w:t>
            </w:r>
          </w:p>
        </w:tc>
        <w:tc>
          <w:tcPr>
            <w:tcW w:w="5300" w:type="dxa"/>
            <w:vAlign w:val="bottom"/>
            <w:tcBorders>
              <w:top w:val="single" w:sz="8" w:color="auto"/>
            </w:tcBorders>
          </w:tcPr>
          <w:p>
            <w:pPr>
              <w:ind w:left="1020"/>
              <w:spacing w:after="0"/>
              <w:rPr>
                <w:sz w:val="20"/>
                <w:szCs w:val="20"/>
                <w:color w:val="auto"/>
              </w:rPr>
            </w:pPr>
            <w:r>
              <w:rPr>
                <w:rFonts w:ascii="Arial" w:cs="Arial" w:eastAsia="Arial" w:hAnsi="Arial"/>
                <w:sz w:val="18"/>
                <w:szCs w:val="18"/>
                <w:i w:val="1"/>
                <w:iCs w:val="1"/>
                <w:color w:val="auto"/>
              </w:rPr>
              <w:t>Vice President and Controller</w:t>
            </w:r>
          </w:p>
        </w:tc>
        <w:tc>
          <w:tcPr>
            <w:tcW w:w="3200" w:type="dxa"/>
            <w:vAlign w:val="bottom"/>
            <w:tcBorders>
              <w:top w:val="single" w:sz="8" w:color="auto"/>
            </w:tcBorders>
          </w:tcPr>
          <w:p>
            <w:pPr>
              <w:spacing w:after="0"/>
              <w:rPr>
                <w:sz w:val="21"/>
                <w:szCs w:val="21"/>
                <w:color w:val="auto"/>
              </w:rPr>
            </w:pPr>
          </w:p>
        </w:tc>
      </w:tr>
      <w:tr>
        <w:trPr>
          <w:trHeight w:val="454"/>
        </w:trPr>
        <w:tc>
          <w:tcPr>
            <w:tcW w:w="2740" w:type="dxa"/>
            <w:vAlign w:val="bottom"/>
          </w:tcPr>
          <w:p>
            <w:pPr>
              <w:ind w:left="20"/>
              <w:spacing w:after="0"/>
              <w:rPr>
                <w:sz w:val="20"/>
                <w:szCs w:val="20"/>
                <w:color w:val="auto"/>
              </w:rPr>
            </w:pPr>
            <w:r>
              <w:rPr>
                <w:rFonts w:ascii="Arial" w:cs="Arial" w:eastAsia="Arial" w:hAnsi="Arial"/>
                <w:sz w:val="18"/>
                <w:szCs w:val="18"/>
                <w:color w:val="auto"/>
              </w:rPr>
              <w:t>Held current title since:</w:t>
            </w:r>
          </w:p>
        </w:tc>
        <w:tc>
          <w:tcPr>
            <w:tcW w:w="5300" w:type="dxa"/>
            <w:vAlign w:val="bottom"/>
          </w:tcPr>
          <w:p>
            <w:pPr>
              <w:ind w:left="1020"/>
              <w:spacing w:after="0"/>
              <w:rPr>
                <w:sz w:val="20"/>
                <w:szCs w:val="20"/>
                <w:color w:val="auto"/>
              </w:rPr>
            </w:pPr>
            <w:r>
              <w:rPr>
                <w:rFonts w:ascii="Arial" w:cs="Arial" w:eastAsia="Arial" w:hAnsi="Arial"/>
                <w:sz w:val="18"/>
                <w:szCs w:val="18"/>
                <w:color w:val="auto"/>
              </w:rPr>
              <w:t>March 1, 2021</w:t>
            </w:r>
          </w:p>
        </w:tc>
        <w:tc>
          <w:tcPr>
            <w:tcW w:w="3200" w:type="dxa"/>
            <w:vAlign w:val="bottom"/>
          </w:tcPr>
          <w:p>
            <w:pPr>
              <w:ind w:left="2120"/>
              <w:spacing w:after="0"/>
              <w:rPr>
                <w:sz w:val="20"/>
                <w:szCs w:val="20"/>
                <w:color w:val="auto"/>
              </w:rPr>
            </w:pPr>
            <w:r>
              <w:rPr>
                <w:rFonts w:ascii="Arial" w:cs="Arial" w:eastAsia="Arial" w:hAnsi="Arial"/>
                <w:sz w:val="18"/>
                <w:szCs w:val="18"/>
                <w:color w:val="auto"/>
              </w:rPr>
              <w:t>Age: 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both"/>
        <w:ind w:left="20" w:right="20"/>
        <w:spacing w:after="0" w:line="224" w:lineRule="auto"/>
        <w:rPr>
          <w:sz w:val="20"/>
          <w:szCs w:val="20"/>
          <w:color w:val="auto"/>
        </w:rPr>
      </w:pPr>
      <w:r>
        <w:rPr>
          <w:rFonts w:ascii="Arial" w:cs="Arial" w:eastAsia="Arial" w:hAnsi="Arial"/>
          <w:sz w:val="18"/>
          <w:szCs w:val="18"/>
          <w:color w:val="auto"/>
        </w:rPr>
        <w:t>Mr. Len M. Fox was Vice President, Chemical Business Services and Treasurer, ExxonMobil Chemical Company June 1, 2015 – January 31, 2020. He was Assistant Treasurer of Exxon Mobil Corporation February 1, 2020 – December 31, 2020. Following a special assignment, he became Vice President and Controller of Exxon Mobil Corporation on March 1, 2021, positions he continues to hold as of this filing date.</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48"/>
        </w:trPr>
        <w:tc>
          <w:tcPr>
            <w:tcW w:w="274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Jon M. Gibbs</w:t>
            </w:r>
          </w:p>
        </w:tc>
        <w:tc>
          <w:tcPr>
            <w:tcW w:w="6000" w:type="dxa"/>
            <w:vAlign w:val="bottom"/>
            <w:tcBorders>
              <w:top w:val="single" w:sz="8" w:color="auto"/>
            </w:tcBorders>
          </w:tcPr>
          <w:p>
            <w:pPr>
              <w:ind w:left="1020"/>
              <w:spacing w:after="0"/>
              <w:rPr>
                <w:sz w:val="20"/>
                <w:szCs w:val="20"/>
                <w:color w:val="auto"/>
              </w:rPr>
            </w:pPr>
            <w:r>
              <w:rPr>
                <w:rFonts w:ascii="Arial" w:cs="Arial" w:eastAsia="Arial" w:hAnsi="Arial"/>
                <w:sz w:val="18"/>
                <w:szCs w:val="18"/>
                <w:i w:val="1"/>
                <w:iCs w:val="1"/>
                <w:color w:val="auto"/>
              </w:rPr>
              <w:t>President, ExxonMobil Global Projects Company</w:t>
            </w:r>
          </w:p>
        </w:tc>
        <w:tc>
          <w:tcPr>
            <w:tcW w:w="2500" w:type="dxa"/>
            <w:vAlign w:val="bottom"/>
            <w:tcBorders>
              <w:top w:val="single" w:sz="8" w:color="auto"/>
            </w:tcBorders>
          </w:tcPr>
          <w:p>
            <w:pPr>
              <w:spacing w:after="0"/>
              <w:rPr>
                <w:sz w:val="21"/>
                <w:szCs w:val="21"/>
                <w:color w:val="auto"/>
              </w:rPr>
            </w:pPr>
          </w:p>
        </w:tc>
      </w:tr>
      <w:tr>
        <w:trPr>
          <w:trHeight w:val="373"/>
        </w:trPr>
        <w:tc>
          <w:tcPr>
            <w:tcW w:w="2740" w:type="dxa"/>
            <w:vAlign w:val="bottom"/>
          </w:tcPr>
          <w:p>
            <w:pPr>
              <w:ind w:left="20"/>
              <w:spacing w:after="0"/>
              <w:rPr>
                <w:sz w:val="20"/>
                <w:szCs w:val="20"/>
                <w:color w:val="auto"/>
              </w:rPr>
            </w:pPr>
            <w:r>
              <w:rPr>
                <w:rFonts w:ascii="Arial" w:cs="Arial" w:eastAsia="Arial" w:hAnsi="Arial"/>
                <w:sz w:val="18"/>
                <w:szCs w:val="18"/>
                <w:color w:val="auto"/>
              </w:rPr>
              <w:t>Held current title since:</w:t>
            </w:r>
          </w:p>
        </w:tc>
        <w:tc>
          <w:tcPr>
            <w:tcW w:w="6000" w:type="dxa"/>
            <w:vAlign w:val="bottom"/>
          </w:tcPr>
          <w:p>
            <w:pPr>
              <w:ind w:left="1020"/>
              <w:spacing w:after="0"/>
              <w:rPr>
                <w:sz w:val="20"/>
                <w:szCs w:val="20"/>
                <w:color w:val="auto"/>
              </w:rPr>
            </w:pPr>
            <w:r>
              <w:rPr>
                <w:rFonts w:ascii="Arial" w:cs="Arial" w:eastAsia="Arial" w:hAnsi="Arial"/>
                <w:sz w:val="18"/>
                <w:szCs w:val="18"/>
                <w:color w:val="auto"/>
              </w:rPr>
              <w:t>April 1, 2021</w:t>
            </w:r>
          </w:p>
        </w:tc>
        <w:tc>
          <w:tcPr>
            <w:tcW w:w="2500" w:type="dxa"/>
            <w:vAlign w:val="bottom"/>
          </w:tcPr>
          <w:p>
            <w:pPr>
              <w:ind w:left="1420"/>
              <w:spacing w:after="0"/>
              <w:rPr>
                <w:sz w:val="20"/>
                <w:szCs w:val="20"/>
                <w:color w:val="auto"/>
              </w:rPr>
            </w:pPr>
            <w:r>
              <w:rPr>
                <w:rFonts w:ascii="Arial" w:cs="Arial" w:eastAsia="Arial" w:hAnsi="Arial"/>
                <w:sz w:val="18"/>
                <w:szCs w:val="18"/>
                <w:color w:val="auto"/>
              </w:rPr>
              <w:t>Age: 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both"/>
        <w:ind w:left="20" w:right="20"/>
        <w:spacing w:after="0" w:line="216" w:lineRule="auto"/>
        <w:rPr>
          <w:sz w:val="20"/>
          <w:szCs w:val="20"/>
          <w:color w:val="auto"/>
        </w:rPr>
      </w:pPr>
      <w:r>
        <w:rPr>
          <w:rFonts w:ascii="Arial" w:cs="Arial" w:eastAsia="Arial" w:hAnsi="Arial"/>
          <w:sz w:val="18"/>
          <w:szCs w:val="18"/>
          <w:color w:val="auto"/>
        </w:rPr>
        <w:t>Mr. Jon M. Gibbs was Vice President, Asia Pacific and Middle East, ExxonMobil Development Company January 1, 2016 – January 14, 2019. He was Upstream Organization Design Team Lead, ExxonMobil Development Company January 15, 2019 – March 31, 2019. He was President, ExxonMobil Global Services Company April 1, 2019 – June 30, 2020. He was Senior Vice President, Global Project Delivery, ExxonMobil Global Projects Company July 1, 2020 – March 31, 2021. He became President of ExxonMobil Global Projects Company on April 1, 2021, a position he continues to hold as of this filing date.</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74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Stephen A. Littleton</w:t>
            </w:r>
          </w:p>
        </w:tc>
        <w:tc>
          <w:tcPr>
            <w:tcW w:w="6000" w:type="dxa"/>
            <w:vAlign w:val="bottom"/>
            <w:tcBorders>
              <w:top w:val="single" w:sz="8" w:color="auto"/>
            </w:tcBorders>
          </w:tcPr>
          <w:p>
            <w:pPr>
              <w:ind w:left="1020"/>
              <w:spacing w:after="0"/>
              <w:rPr>
                <w:sz w:val="20"/>
                <w:szCs w:val="20"/>
                <w:color w:val="auto"/>
              </w:rPr>
            </w:pPr>
            <w:r>
              <w:rPr>
                <w:rFonts w:ascii="Arial" w:cs="Arial" w:eastAsia="Arial" w:hAnsi="Arial"/>
                <w:sz w:val="18"/>
                <w:szCs w:val="18"/>
                <w:i w:val="1"/>
                <w:iCs w:val="1"/>
                <w:color w:val="auto"/>
              </w:rPr>
              <w:t>Vice President – Investor Relations and Secretary</w:t>
            </w:r>
          </w:p>
        </w:tc>
        <w:tc>
          <w:tcPr>
            <w:tcW w:w="2500" w:type="dxa"/>
            <w:vAlign w:val="bottom"/>
            <w:tcBorders>
              <w:top w:val="single" w:sz="8" w:color="auto"/>
            </w:tcBorders>
          </w:tcPr>
          <w:p>
            <w:pPr>
              <w:spacing w:after="0"/>
              <w:rPr>
                <w:sz w:val="21"/>
                <w:szCs w:val="21"/>
                <w:color w:val="auto"/>
              </w:rPr>
            </w:pPr>
          </w:p>
        </w:tc>
      </w:tr>
      <w:tr>
        <w:trPr>
          <w:trHeight w:val="454"/>
        </w:trPr>
        <w:tc>
          <w:tcPr>
            <w:tcW w:w="2740" w:type="dxa"/>
            <w:vAlign w:val="bottom"/>
          </w:tcPr>
          <w:p>
            <w:pPr>
              <w:ind w:left="20"/>
              <w:spacing w:after="0"/>
              <w:rPr>
                <w:sz w:val="20"/>
                <w:szCs w:val="20"/>
                <w:color w:val="auto"/>
              </w:rPr>
            </w:pPr>
            <w:r>
              <w:rPr>
                <w:rFonts w:ascii="Arial" w:cs="Arial" w:eastAsia="Arial" w:hAnsi="Arial"/>
                <w:sz w:val="18"/>
                <w:szCs w:val="18"/>
                <w:color w:val="auto"/>
              </w:rPr>
              <w:t>Held current title since:</w:t>
            </w:r>
          </w:p>
        </w:tc>
        <w:tc>
          <w:tcPr>
            <w:tcW w:w="6000" w:type="dxa"/>
            <w:vAlign w:val="bottom"/>
          </w:tcPr>
          <w:p>
            <w:pPr>
              <w:ind w:left="1020"/>
              <w:spacing w:after="0"/>
              <w:rPr>
                <w:sz w:val="20"/>
                <w:szCs w:val="20"/>
                <w:color w:val="auto"/>
              </w:rPr>
            </w:pPr>
            <w:r>
              <w:rPr>
                <w:rFonts w:ascii="Arial" w:cs="Arial" w:eastAsia="Arial" w:hAnsi="Arial"/>
                <w:sz w:val="18"/>
                <w:szCs w:val="18"/>
                <w:color w:val="auto"/>
              </w:rPr>
              <w:t>March 15, 2020</w:t>
            </w:r>
          </w:p>
        </w:tc>
        <w:tc>
          <w:tcPr>
            <w:tcW w:w="2500" w:type="dxa"/>
            <w:vAlign w:val="bottom"/>
          </w:tcPr>
          <w:p>
            <w:pPr>
              <w:ind w:left="1420"/>
              <w:spacing w:after="0"/>
              <w:rPr>
                <w:sz w:val="20"/>
                <w:szCs w:val="20"/>
                <w:color w:val="auto"/>
              </w:rPr>
            </w:pPr>
            <w:r>
              <w:rPr>
                <w:rFonts w:ascii="Arial" w:cs="Arial" w:eastAsia="Arial" w:hAnsi="Arial"/>
                <w:sz w:val="18"/>
                <w:szCs w:val="18"/>
                <w:color w:val="auto"/>
              </w:rPr>
              <w:t>Age: 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both"/>
        <w:ind w:left="20" w:right="20"/>
        <w:spacing w:after="0" w:line="224" w:lineRule="auto"/>
        <w:rPr>
          <w:sz w:val="20"/>
          <w:szCs w:val="20"/>
          <w:color w:val="auto"/>
        </w:rPr>
      </w:pPr>
      <w:r>
        <w:rPr>
          <w:rFonts w:ascii="Arial" w:cs="Arial" w:eastAsia="Arial" w:hAnsi="Arial"/>
          <w:sz w:val="18"/>
          <w:szCs w:val="18"/>
          <w:color w:val="auto"/>
        </w:rPr>
        <w:t>Mr. Stephen A. Littleton was Assistant Controller of Exxon Mobil Corporation June 1, 2015 – April 30, 2018. He was Vice President, Downstream Business Services and Downstream Controller May 1, 2018 – March 14, 2020. He became Vice President – Investor Relations and Secretary of Exxon Mobil Corporation on March 15, 2020, positions he continues to hold as of this filing date.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74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Liam M. Mallon</w:t>
            </w:r>
          </w:p>
        </w:tc>
        <w:tc>
          <w:tcPr>
            <w:tcW w:w="4740" w:type="dxa"/>
            <w:vAlign w:val="bottom"/>
            <w:tcBorders>
              <w:top w:val="single" w:sz="8" w:color="auto"/>
            </w:tcBorders>
          </w:tcPr>
          <w:p>
            <w:pPr>
              <w:ind w:left="1020"/>
              <w:spacing w:after="0"/>
              <w:rPr>
                <w:sz w:val="20"/>
                <w:szCs w:val="20"/>
                <w:color w:val="auto"/>
              </w:rPr>
            </w:pPr>
            <w:r>
              <w:rPr>
                <w:rFonts w:ascii="Arial" w:cs="Arial" w:eastAsia="Arial" w:hAnsi="Arial"/>
                <w:sz w:val="18"/>
                <w:szCs w:val="18"/>
                <w:i w:val="1"/>
                <w:iCs w:val="1"/>
                <w:color w:val="auto"/>
              </w:rPr>
              <w:t>Vice President</w:t>
            </w:r>
          </w:p>
        </w:tc>
        <w:tc>
          <w:tcPr>
            <w:tcW w:w="3760" w:type="dxa"/>
            <w:vAlign w:val="bottom"/>
            <w:tcBorders>
              <w:top w:val="single" w:sz="8" w:color="auto"/>
            </w:tcBorders>
          </w:tcPr>
          <w:p>
            <w:pPr>
              <w:spacing w:after="0"/>
              <w:rPr>
                <w:sz w:val="21"/>
                <w:szCs w:val="21"/>
                <w:color w:val="auto"/>
              </w:rPr>
            </w:pPr>
          </w:p>
        </w:tc>
      </w:tr>
      <w:tr>
        <w:trPr>
          <w:trHeight w:val="454"/>
        </w:trPr>
        <w:tc>
          <w:tcPr>
            <w:tcW w:w="2740" w:type="dxa"/>
            <w:vAlign w:val="bottom"/>
          </w:tcPr>
          <w:p>
            <w:pPr>
              <w:ind w:left="20"/>
              <w:spacing w:after="0"/>
              <w:rPr>
                <w:sz w:val="20"/>
                <w:szCs w:val="20"/>
                <w:color w:val="auto"/>
              </w:rPr>
            </w:pPr>
            <w:r>
              <w:rPr>
                <w:rFonts w:ascii="Arial" w:cs="Arial" w:eastAsia="Arial" w:hAnsi="Arial"/>
                <w:sz w:val="18"/>
                <w:szCs w:val="18"/>
                <w:color w:val="auto"/>
              </w:rPr>
              <w:t>Held current title since:</w:t>
            </w:r>
          </w:p>
        </w:tc>
        <w:tc>
          <w:tcPr>
            <w:tcW w:w="4740" w:type="dxa"/>
            <w:vAlign w:val="bottom"/>
          </w:tcPr>
          <w:p>
            <w:pPr>
              <w:ind w:left="1020"/>
              <w:spacing w:after="0"/>
              <w:rPr>
                <w:sz w:val="20"/>
                <w:szCs w:val="20"/>
                <w:color w:val="auto"/>
              </w:rPr>
            </w:pPr>
            <w:r>
              <w:rPr>
                <w:rFonts w:ascii="Arial" w:cs="Arial" w:eastAsia="Arial" w:hAnsi="Arial"/>
                <w:sz w:val="18"/>
                <w:szCs w:val="18"/>
                <w:color w:val="auto"/>
              </w:rPr>
              <w:t>April 1, 2019</w:t>
            </w:r>
          </w:p>
        </w:tc>
        <w:tc>
          <w:tcPr>
            <w:tcW w:w="3760" w:type="dxa"/>
            <w:vAlign w:val="bottom"/>
          </w:tcPr>
          <w:p>
            <w:pPr>
              <w:ind w:left="2680"/>
              <w:spacing w:after="0"/>
              <w:rPr>
                <w:sz w:val="20"/>
                <w:szCs w:val="20"/>
                <w:color w:val="auto"/>
              </w:rPr>
            </w:pPr>
            <w:r>
              <w:rPr>
                <w:rFonts w:ascii="Arial" w:cs="Arial" w:eastAsia="Arial" w:hAnsi="Arial"/>
                <w:sz w:val="18"/>
                <w:szCs w:val="18"/>
                <w:color w:val="auto"/>
              </w:rPr>
              <w:t>Age: 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both"/>
        <w:ind w:left="20" w:right="20"/>
        <w:spacing w:after="0" w:line="258" w:lineRule="auto"/>
        <w:rPr>
          <w:sz w:val="20"/>
          <w:szCs w:val="20"/>
          <w:color w:val="auto"/>
        </w:rPr>
      </w:pPr>
      <w:r>
        <w:rPr>
          <w:rFonts w:ascii="Arial" w:cs="Arial" w:eastAsia="Arial" w:hAnsi="Arial"/>
          <w:sz w:val="17"/>
          <w:szCs w:val="17"/>
          <w:color w:val="auto"/>
        </w:rPr>
        <w:t>Mr. Liam M. Mallon was President of ExxonMobil Development Company January 1, 2017 – March 31, 2019. He became President of ExxonMobil Upstream Oil &amp; Gas Company and Vice President of Exxon Mobil Corporation on April 1, 2019, positions he continues to hold as of this filing date.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74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Karen T. McKee</w:t>
            </w:r>
          </w:p>
        </w:tc>
        <w:tc>
          <w:tcPr>
            <w:tcW w:w="4740" w:type="dxa"/>
            <w:vAlign w:val="bottom"/>
            <w:tcBorders>
              <w:top w:val="single" w:sz="8" w:color="auto"/>
            </w:tcBorders>
          </w:tcPr>
          <w:p>
            <w:pPr>
              <w:ind w:left="1020"/>
              <w:spacing w:after="0"/>
              <w:rPr>
                <w:sz w:val="20"/>
                <w:szCs w:val="20"/>
                <w:color w:val="auto"/>
              </w:rPr>
            </w:pPr>
            <w:r>
              <w:rPr>
                <w:rFonts w:ascii="Arial" w:cs="Arial" w:eastAsia="Arial" w:hAnsi="Arial"/>
                <w:sz w:val="18"/>
                <w:szCs w:val="18"/>
                <w:i w:val="1"/>
                <w:iCs w:val="1"/>
                <w:color w:val="auto"/>
              </w:rPr>
              <w:t>Vice President</w:t>
            </w:r>
          </w:p>
        </w:tc>
        <w:tc>
          <w:tcPr>
            <w:tcW w:w="3760" w:type="dxa"/>
            <w:vAlign w:val="bottom"/>
            <w:tcBorders>
              <w:top w:val="single" w:sz="8" w:color="auto"/>
            </w:tcBorders>
          </w:tcPr>
          <w:p>
            <w:pPr>
              <w:spacing w:after="0"/>
              <w:rPr>
                <w:sz w:val="21"/>
                <w:szCs w:val="21"/>
                <w:color w:val="auto"/>
              </w:rPr>
            </w:pPr>
          </w:p>
        </w:tc>
      </w:tr>
      <w:tr>
        <w:trPr>
          <w:trHeight w:val="454"/>
        </w:trPr>
        <w:tc>
          <w:tcPr>
            <w:tcW w:w="2740" w:type="dxa"/>
            <w:vAlign w:val="bottom"/>
          </w:tcPr>
          <w:p>
            <w:pPr>
              <w:ind w:left="20"/>
              <w:spacing w:after="0"/>
              <w:rPr>
                <w:sz w:val="20"/>
                <w:szCs w:val="20"/>
                <w:color w:val="auto"/>
              </w:rPr>
            </w:pPr>
            <w:r>
              <w:rPr>
                <w:rFonts w:ascii="Arial" w:cs="Arial" w:eastAsia="Arial" w:hAnsi="Arial"/>
                <w:sz w:val="18"/>
                <w:szCs w:val="18"/>
                <w:color w:val="auto"/>
              </w:rPr>
              <w:t>Held current title since:</w:t>
            </w:r>
          </w:p>
        </w:tc>
        <w:tc>
          <w:tcPr>
            <w:tcW w:w="4740" w:type="dxa"/>
            <w:vAlign w:val="bottom"/>
          </w:tcPr>
          <w:p>
            <w:pPr>
              <w:ind w:left="1020"/>
              <w:spacing w:after="0"/>
              <w:rPr>
                <w:sz w:val="20"/>
                <w:szCs w:val="20"/>
                <w:color w:val="auto"/>
              </w:rPr>
            </w:pPr>
            <w:r>
              <w:rPr>
                <w:rFonts w:ascii="Arial" w:cs="Arial" w:eastAsia="Arial" w:hAnsi="Arial"/>
                <w:sz w:val="18"/>
                <w:szCs w:val="18"/>
                <w:color w:val="auto"/>
              </w:rPr>
              <w:t>April 1, 2019</w:t>
            </w:r>
          </w:p>
        </w:tc>
        <w:tc>
          <w:tcPr>
            <w:tcW w:w="3760" w:type="dxa"/>
            <w:vAlign w:val="bottom"/>
          </w:tcPr>
          <w:p>
            <w:pPr>
              <w:ind w:left="2680"/>
              <w:spacing w:after="0"/>
              <w:rPr>
                <w:sz w:val="20"/>
                <w:szCs w:val="20"/>
                <w:color w:val="auto"/>
              </w:rPr>
            </w:pPr>
            <w:r>
              <w:rPr>
                <w:rFonts w:ascii="Arial" w:cs="Arial" w:eastAsia="Arial" w:hAnsi="Arial"/>
                <w:sz w:val="18"/>
                <w:szCs w:val="18"/>
                <w:color w:val="auto"/>
              </w:rPr>
              <w:t>Age: 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both"/>
        <w:ind w:left="20" w:right="20"/>
        <w:spacing w:after="0" w:line="237" w:lineRule="auto"/>
        <w:rPr>
          <w:sz w:val="20"/>
          <w:szCs w:val="20"/>
          <w:color w:val="auto"/>
        </w:rPr>
      </w:pPr>
      <w:r>
        <w:rPr>
          <w:rFonts w:ascii="Arial" w:cs="Arial" w:eastAsia="Arial" w:hAnsi="Arial"/>
          <w:sz w:val="17"/>
          <w:szCs w:val="17"/>
          <w:color w:val="auto"/>
        </w:rPr>
        <w:t>Ms. Karen T. McKee was Vice President, Basic Chemicals, ExxonMobil Chemical Company May 1, 2014 – July 31, 2017. She was Senior Vice President, Basic Chemicals, Integration &amp; Growth, ExxonMobil Chemical Company August 1, 2017 – March 31, 2019. She became President of ExxonMobil Chemical Company and Vice President of Exxon Mobil Corporation on April 1, 2019, positions she continues to hold as of this filing date.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74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Craig S. Morford</w:t>
            </w:r>
          </w:p>
        </w:tc>
        <w:tc>
          <w:tcPr>
            <w:tcW w:w="5520" w:type="dxa"/>
            <w:vAlign w:val="bottom"/>
            <w:tcBorders>
              <w:top w:val="single" w:sz="8" w:color="auto"/>
            </w:tcBorders>
          </w:tcPr>
          <w:p>
            <w:pPr>
              <w:ind w:left="1020"/>
              <w:spacing w:after="0"/>
              <w:rPr>
                <w:sz w:val="20"/>
                <w:szCs w:val="20"/>
                <w:color w:val="auto"/>
              </w:rPr>
            </w:pPr>
            <w:r>
              <w:rPr>
                <w:rFonts w:ascii="Arial" w:cs="Arial" w:eastAsia="Arial" w:hAnsi="Arial"/>
                <w:sz w:val="18"/>
                <w:szCs w:val="18"/>
                <w:i w:val="1"/>
                <w:iCs w:val="1"/>
                <w:color w:val="auto"/>
              </w:rPr>
              <w:t>Vice President and General Counsel</w:t>
            </w:r>
          </w:p>
        </w:tc>
        <w:tc>
          <w:tcPr>
            <w:tcW w:w="2980" w:type="dxa"/>
            <w:vAlign w:val="bottom"/>
            <w:tcBorders>
              <w:top w:val="single" w:sz="8" w:color="auto"/>
            </w:tcBorders>
          </w:tcPr>
          <w:p>
            <w:pPr>
              <w:spacing w:after="0"/>
              <w:rPr>
                <w:sz w:val="21"/>
                <w:szCs w:val="21"/>
                <w:color w:val="auto"/>
              </w:rPr>
            </w:pPr>
          </w:p>
        </w:tc>
      </w:tr>
      <w:tr>
        <w:trPr>
          <w:trHeight w:val="454"/>
        </w:trPr>
        <w:tc>
          <w:tcPr>
            <w:tcW w:w="2740" w:type="dxa"/>
            <w:vAlign w:val="bottom"/>
          </w:tcPr>
          <w:p>
            <w:pPr>
              <w:ind w:left="20"/>
              <w:spacing w:after="0"/>
              <w:rPr>
                <w:sz w:val="20"/>
                <w:szCs w:val="20"/>
                <w:color w:val="auto"/>
              </w:rPr>
            </w:pPr>
            <w:r>
              <w:rPr>
                <w:rFonts w:ascii="Arial" w:cs="Arial" w:eastAsia="Arial" w:hAnsi="Arial"/>
                <w:sz w:val="18"/>
                <w:szCs w:val="18"/>
                <w:color w:val="auto"/>
              </w:rPr>
              <w:t>Held current title since:</w:t>
            </w:r>
          </w:p>
        </w:tc>
        <w:tc>
          <w:tcPr>
            <w:tcW w:w="5520" w:type="dxa"/>
            <w:vAlign w:val="bottom"/>
          </w:tcPr>
          <w:p>
            <w:pPr>
              <w:ind w:left="1020"/>
              <w:spacing w:after="0"/>
              <w:rPr>
                <w:sz w:val="20"/>
                <w:szCs w:val="20"/>
                <w:color w:val="auto"/>
              </w:rPr>
            </w:pPr>
            <w:r>
              <w:rPr>
                <w:rFonts w:ascii="Arial" w:cs="Arial" w:eastAsia="Arial" w:hAnsi="Arial"/>
                <w:sz w:val="18"/>
                <w:szCs w:val="18"/>
                <w:color w:val="auto"/>
              </w:rPr>
              <w:t>November 1, 2020</w:t>
            </w:r>
          </w:p>
        </w:tc>
        <w:tc>
          <w:tcPr>
            <w:tcW w:w="2980" w:type="dxa"/>
            <w:vAlign w:val="bottom"/>
          </w:tcPr>
          <w:p>
            <w:pPr>
              <w:ind w:left="1900"/>
              <w:spacing w:after="0"/>
              <w:rPr>
                <w:sz w:val="20"/>
                <w:szCs w:val="20"/>
                <w:color w:val="auto"/>
              </w:rPr>
            </w:pPr>
            <w:r>
              <w:rPr>
                <w:rFonts w:ascii="Arial" w:cs="Arial" w:eastAsia="Arial" w:hAnsi="Arial"/>
                <w:sz w:val="18"/>
                <w:szCs w:val="18"/>
                <w:color w:val="auto"/>
              </w:rPr>
              <w:t>Age: 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both"/>
        <w:ind w:left="20" w:right="20"/>
        <w:spacing w:after="0" w:line="224" w:lineRule="auto"/>
        <w:rPr>
          <w:sz w:val="20"/>
          <w:szCs w:val="20"/>
          <w:color w:val="auto"/>
        </w:rPr>
      </w:pPr>
      <w:r>
        <w:rPr>
          <w:rFonts w:ascii="Arial" w:cs="Arial" w:eastAsia="Arial" w:hAnsi="Arial"/>
          <w:sz w:val="18"/>
          <w:szCs w:val="18"/>
          <w:color w:val="auto"/>
        </w:rPr>
        <w:t>Mr. Craig S. Morford was Chief Legal and Compliance Officer of Cardinal Heath, Inc. prior to joining Exxon Mobil Corporation in May 2019. He was Deputy General Counsel of Exxon Mobil Corporation May 1, 2019 – October 31, 2020. He became Vice President and General Counsel of Exxon Mobil Corporation on November 1, 2020, positions he continues to hold as of this filing date.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78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James M. Spellings, Jr.</w:t>
            </w:r>
          </w:p>
        </w:tc>
        <w:tc>
          <w:tcPr>
            <w:tcW w:w="6240" w:type="dxa"/>
            <w:vAlign w:val="bottom"/>
            <w:tcBorders>
              <w:top w:val="single" w:sz="8" w:color="auto"/>
            </w:tcBorders>
          </w:tcPr>
          <w:p>
            <w:pPr>
              <w:ind w:left="980"/>
              <w:spacing w:after="0"/>
              <w:rPr>
                <w:sz w:val="20"/>
                <w:szCs w:val="20"/>
                <w:color w:val="auto"/>
              </w:rPr>
            </w:pPr>
            <w:r>
              <w:rPr>
                <w:rFonts w:ascii="Arial" w:cs="Arial" w:eastAsia="Arial" w:hAnsi="Arial"/>
                <w:sz w:val="18"/>
                <w:szCs w:val="18"/>
                <w:i w:val="1"/>
                <w:iCs w:val="1"/>
                <w:color w:val="auto"/>
              </w:rPr>
              <w:t>Vice President, Treasurer and General Tax Counsel</w:t>
            </w:r>
          </w:p>
        </w:tc>
        <w:tc>
          <w:tcPr>
            <w:tcW w:w="22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19"/>
        </w:trPr>
        <w:tc>
          <w:tcPr>
            <w:tcW w:w="2780" w:type="dxa"/>
            <w:vAlign w:val="bottom"/>
          </w:tcPr>
          <w:p>
            <w:pPr>
              <w:ind w:left="20"/>
              <w:spacing w:after="0"/>
              <w:rPr>
                <w:sz w:val="20"/>
                <w:szCs w:val="20"/>
                <w:color w:val="auto"/>
              </w:rPr>
            </w:pPr>
            <w:r>
              <w:rPr>
                <w:rFonts w:ascii="Arial" w:cs="Arial" w:eastAsia="Arial" w:hAnsi="Arial"/>
                <w:sz w:val="18"/>
                <w:szCs w:val="18"/>
                <w:color w:val="auto"/>
              </w:rPr>
              <w:t>Held current title since:</w:t>
            </w:r>
          </w:p>
        </w:tc>
        <w:tc>
          <w:tcPr>
            <w:tcW w:w="6240" w:type="dxa"/>
            <w:vAlign w:val="bottom"/>
          </w:tcPr>
          <w:p>
            <w:pPr>
              <w:ind w:left="980"/>
              <w:spacing w:after="0"/>
              <w:rPr>
                <w:sz w:val="20"/>
                <w:szCs w:val="20"/>
                <w:color w:val="auto"/>
              </w:rPr>
            </w:pPr>
            <w:r>
              <w:rPr>
                <w:rFonts w:ascii="Arial" w:cs="Arial" w:eastAsia="Arial" w:hAnsi="Arial"/>
                <w:sz w:val="18"/>
                <w:szCs w:val="18"/>
                <w:color w:val="auto"/>
              </w:rPr>
              <w:t>March 1, 2010 (Vice President and General Tax Counsel)</w:t>
            </w:r>
          </w:p>
        </w:tc>
        <w:tc>
          <w:tcPr>
            <w:tcW w:w="2220" w:type="dxa"/>
            <w:vAlign w:val="bottom"/>
            <w:vMerge w:val="restart"/>
          </w:tcPr>
          <w:p>
            <w:pPr>
              <w:ind w:left="1140"/>
              <w:spacing w:after="0"/>
              <w:rPr>
                <w:sz w:val="20"/>
                <w:szCs w:val="20"/>
                <w:color w:val="auto"/>
              </w:rPr>
            </w:pPr>
            <w:r>
              <w:rPr>
                <w:rFonts w:ascii="Arial" w:cs="Arial" w:eastAsia="Arial" w:hAnsi="Arial"/>
                <w:sz w:val="18"/>
                <w:szCs w:val="18"/>
                <w:color w:val="auto"/>
              </w:rPr>
              <w:t>Age: 60</w:t>
            </w:r>
          </w:p>
        </w:tc>
        <w:tc>
          <w:tcPr>
            <w:tcW w:w="0" w:type="dxa"/>
            <w:vAlign w:val="bottom"/>
          </w:tcPr>
          <w:p>
            <w:pPr>
              <w:spacing w:after="0"/>
              <w:rPr>
                <w:sz w:val="1"/>
                <w:szCs w:val="1"/>
                <w:color w:val="auto"/>
              </w:rPr>
            </w:pPr>
          </w:p>
        </w:tc>
      </w:tr>
      <w:tr>
        <w:trPr>
          <w:trHeight w:val="230"/>
        </w:trPr>
        <w:tc>
          <w:tcPr>
            <w:tcW w:w="2780" w:type="dxa"/>
            <w:vAlign w:val="bottom"/>
          </w:tcPr>
          <w:p>
            <w:pPr>
              <w:spacing w:after="0"/>
              <w:rPr>
                <w:sz w:val="20"/>
                <w:szCs w:val="20"/>
                <w:color w:val="auto"/>
              </w:rPr>
            </w:pPr>
          </w:p>
        </w:tc>
        <w:tc>
          <w:tcPr>
            <w:tcW w:w="6240" w:type="dxa"/>
            <w:vAlign w:val="bottom"/>
          </w:tcPr>
          <w:p>
            <w:pPr>
              <w:ind w:left="980"/>
              <w:spacing w:after="0"/>
              <w:rPr>
                <w:sz w:val="20"/>
                <w:szCs w:val="20"/>
                <w:color w:val="auto"/>
              </w:rPr>
            </w:pPr>
            <w:r>
              <w:rPr>
                <w:rFonts w:ascii="Arial" w:cs="Arial" w:eastAsia="Arial" w:hAnsi="Arial"/>
                <w:sz w:val="18"/>
                <w:szCs w:val="18"/>
                <w:color w:val="auto"/>
              </w:rPr>
              <w:t>April 1, 2020 (Treasurer)</w:t>
            </w:r>
          </w:p>
        </w:tc>
        <w:tc>
          <w:tcPr>
            <w:tcW w:w="22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both"/>
        <w:ind w:left="20" w:right="20"/>
        <w:spacing w:after="0" w:line="235" w:lineRule="auto"/>
        <w:rPr>
          <w:sz w:val="20"/>
          <w:szCs w:val="20"/>
          <w:color w:val="auto"/>
        </w:rPr>
      </w:pPr>
      <w:r>
        <w:rPr>
          <w:rFonts w:ascii="Arial" w:cs="Arial" w:eastAsia="Arial" w:hAnsi="Arial"/>
          <w:sz w:val="18"/>
          <w:szCs w:val="18"/>
          <w:color w:val="auto"/>
        </w:rPr>
        <w:t>Mr. James M. Spellings, Jr. became Vice President and General Tax Counsel of Exxon Mobil Corporation on March 1, 2010, and Treasurer of Exxon Mobil Corporation on April 1, 2020, positions he continues to hold as of this filing date.</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80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Theodore J. Wojnar, Jr.</w:t>
            </w:r>
          </w:p>
        </w:tc>
        <w:tc>
          <w:tcPr>
            <w:tcW w:w="5840" w:type="dxa"/>
            <w:vAlign w:val="bottom"/>
            <w:tcBorders>
              <w:top w:val="single" w:sz="8" w:color="auto"/>
            </w:tcBorders>
          </w:tcPr>
          <w:p>
            <w:pPr>
              <w:ind w:left="960"/>
              <w:spacing w:after="0"/>
              <w:rPr>
                <w:sz w:val="20"/>
                <w:szCs w:val="20"/>
                <w:color w:val="auto"/>
              </w:rPr>
            </w:pPr>
            <w:r>
              <w:rPr>
                <w:rFonts w:ascii="Arial" w:cs="Arial" w:eastAsia="Arial" w:hAnsi="Arial"/>
                <w:sz w:val="18"/>
                <w:szCs w:val="18"/>
                <w:i w:val="1"/>
                <w:iCs w:val="1"/>
                <w:color w:val="auto"/>
              </w:rPr>
              <w:t>Vice President – Corporate Strategic Planning</w:t>
            </w:r>
          </w:p>
        </w:tc>
        <w:tc>
          <w:tcPr>
            <w:tcW w:w="2600" w:type="dxa"/>
            <w:vAlign w:val="bottom"/>
            <w:tcBorders>
              <w:top w:val="single" w:sz="8" w:color="auto"/>
            </w:tcBorders>
          </w:tcPr>
          <w:p>
            <w:pPr>
              <w:spacing w:after="0"/>
              <w:rPr>
                <w:sz w:val="21"/>
                <w:szCs w:val="21"/>
                <w:color w:val="auto"/>
              </w:rPr>
            </w:pPr>
          </w:p>
        </w:tc>
      </w:tr>
      <w:tr>
        <w:trPr>
          <w:trHeight w:val="373"/>
        </w:trPr>
        <w:tc>
          <w:tcPr>
            <w:tcW w:w="2800" w:type="dxa"/>
            <w:vAlign w:val="bottom"/>
          </w:tcPr>
          <w:p>
            <w:pPr>
              <w:ind w:left="20"/>
              <w:spacing w:after="0"/>
              <w:rPr>
                <w:sz w:val="20"/>
                <w:szCs w:val="20"/>
                <w:color w:val="auto"/>
              </w:rPr>
            </w:pPr>
            <w:r>
              <w:rPr>
                <w:rFonts w:ascii="Arial" w:cs="Arial" w:eastAsia="Arial" w:hAnsi="Arial"/>
                <w:sz w:val="18"/>
                <w:szCs w:val="18"/>
                <w:color w:val="auto"/>
              </w:rPr>
              <w:t>Held current title since:</w:t>
            </w:r>
          </w:p>
        </w:tc>
        <w:tc>
          <w:tcPr>
            <w:tcW w:w="5840" w:type="dxa"/>
            <w:vAlign w:val="bottom"/>
          </w:tcPr>
          <w:p>
            <w:pPr>
              <w:ind w:left="960"/>
              <w:spacing w:after="0"/>
              <w:rPr>
                <w:sz w:val="20"/>
                <w:szCs w:val="20"/>
                <w:color w:val="auto"/>
              </w:rPr>
            </w:pPr>
            <w:r>
              <w:rPr>
                <w:rFonts w:ascii="Arial" w:cs="Arial" w:eastAsia="Arial" w:hAnsi="Arial"/>
                <w:sz w:val="18"/>
                <w:szCs w:val="18"/>
                <w:color w:val="auto"/>
              </w:rPr>
              <w:t>August 1, 2017</w:t>
            </w:r>
          </w:p>
        </w:tc>
        <w:tc>
          <w:tcPr>
            <w:tcW w:w="2600" w:type="dxa"/>
            <w:vAlign w:val="bottom"/>
          </w:tcPr>
          <w:p>
            <w:pPr>
              <w:ind w:left="1520"/>
              <w:spacing w:after="0"/>
              <w:rPr>
                <w:sz w:val="20"/>
                <w:szCs w:val="20"/>
                <w:color w:val="auto"/>
              </w:rPr>
            </w:pPr>
            <w:r>
              <w:rPr>
                <w:rFonts w:ascii="Arial" w:cs="Arial" w:eastAsia="Arial" w:hAnsi="Arial"/>
                <w:sz w:val="18"/>
                <w:szCs w:val="18"/>
                <w:color w:val="auto"/>
              </w:rPr>
              <w:t>Age: 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both"/>
        <w:ind w:left="20" w:right="20"/>
        <w:spacing w:after="0" w:line="258" w:lineRule="auto"/>
        <w:rPr>
          <w:sz w:val="20"/>
          <w:szCs w:val="20"/>
          <w:color w:val="auto"/>
        </w:rPr>
      </w:pPr>
      <w:r>
        <w:rPr>
          <w:rFonts w:ascii="Arial" w:cs="Arial" w:eastAsia="Arial" w:hAnsi="Arial"/>
          <w:sz w:val="17"/>
          <w:szCs w:val="17"/>
          <w:color w:val="auto"/>
        </w:rPr>
        <w:t>Mr. Theodore J. Wojnar, Jr. was President of ExxonMobil Research and Engineering Company April 1, 2011 – July 31, 2017. He became Vice President – Corporate Strategic Planning of Exxon Mobil Corporation on August 1, 2017, a position he continues to hold as of this filing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Officers are generally elected by the Board of Directors at its meeting on the day of each annual election of directors, with each such officer serving until a successor has been elected and qualified. The above-named officers are required to file reports under Section 16 of the Securities Exchange Act of 1934.</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4" w:right="339" w:bottom="1440" w:gutter="0" w:footer="0" w:header="0"/>
        </w:sectPr>
      </w:pPr>
    </w:p>
    <w:bookmarkStart w:id="32" w:name="page33"/>
    <w:bookmarkEnd w:id="32"/>
    <w:p>
      <w:pPr>
        <w:jc w:val="center"/>
        <w:spacing w:after="0"/>
        <w:rPr>
          <w:sz w:val="20"/>
          <w:szCs w:val="20"/>
          <w:color w:val="auto"/>
        </w:rPr>
      </w:pPr>
      <w:r>
        <w:rPr>
          <w:rFonts w:ascii="Arial" w:cs="Arial" w:eastAsia="Arial" w:hAnsi="Arial"/>
          <w:sz w:val="22"/>
          <w:szCs w:val="22"/>
          <w:b w:val="1"/>
          <w:bCs w:val="1"/>
          <w:color w:val="auto"/>
        </w:rPr>
        <w:t>PART II</w:t>
      </w:r>
    </w:p>
    <w:p>
      <w:pPr>
        <w:spacing w:after="0" w:line="238" w:lineRule="exact"/>
        <w:rPr>
          <w:sz w:val="20"/>
          <w:szCs w:val="20"/>
          <w:color w:val="auto"/>
        </w:rPr>
      </w:pPr>
    </w:p>
    <w:p>
      <w:pPr>
        <w:jc w:val="both"/>
        <w:ind w:left="1140" w:hanging="1133"/>
        <w:spacing w:after="0" w:line="267" w:lineRule="auto"/>
        <w:rPr>
          <w:sz w:val="20"/>
          <w:szCs w:val="20"/>
          <w:color w:val="auto"/>
        </w:rPr>
      </w:pPr>
      <w:r>
        <w:rPr>
          <w:rFonts w:ascii="Arial" w:cs="Arial" w:eastAsia="Arial" w:hAnsi="Arial"/>
          <w:sz w:val="20"/>
          <w:szCs w:val="20"/>
          <w:b w:val="1"/>
          <w:bCs w:val="1"/>
          <w:color w:val="auto"/>
        </w:rPr>
        <w:t>ITEM 5. MARKET FOR REGISTRANT'S COMMON EQUITY, RELATED STOCKHOLDER MATTERS AND ISSUER PURCHASES OF EQUITY SECURITIES</w:t>
      </w:r>
    </w:p>
    <w:p>
      <w:pPr>
        <w:spacing w:after="0" w:line="14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principal market where ExxonMobil common stock (XOM) is traded is the New York Stock Exchange, although the stock is traded on other exchanges in and outside the United States.</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327,689 registered shareholders of ExxonMobil common stock at December 31, 2021. At January 31, 2022, the registered shareholders of ExxonMobil common stock numbered 325,508.</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On January 26, 2022, the Corporation declared an $0.88 dividend per common share, payable March 10, 2022.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Reference is made to Item 12 in Part III of this report.</w:t>
      </w:r>
    </w:p>
    <w:p>
      <w:pPr>
        <w:spacing w:after="0" w:line="200" w:lineRule="exact"/>
        <w:rPr>
          <w:sz w:val="20"/>
          <w:szCs w:val="20"/>
          <w:color w:val="auto"/>
        </w:rPr>
      </w:pPr>
    </w:p>
    <w:p>
      <w:pPr>
        <w:spacing w:after="0" w:line="30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Issuer Purchases of Equity Securities for Quarter Ended December 31, 2021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4700" w:type="dxa"/>
            <w:vAlign w:val="bottom"/>
            <w:tcBorders>
              <w:top w:val="single" w:sz="8" w:color="auto"/>
            </w:tcBorders>
          </w:tcPr>
          <w:p>
            <w:pPr>
              <w:spacing w:after="0"/>
              <w:rPr>
                <w:sz w:val="11"/>
                <w:szCs w:val="11"/>
                <w:color w:val="auto"/>
              </w:rPr>
            </w:pPr>
          </w:p>
        </w:tc>
        <w:tc>
          <w:tcPr>
            <w:tcW w:w="1620" w:type="dxa"/>
            <w:vAlign w:val="bottom"/>
            <w:tcBorders>
              <w:top w:val="single" w:sz="8" w:color="auto"/>
            </w:tcBorders>
          </w:tcPr>
          <w:p>
            <w:pPr>
              <w:spacing w:after="0"/>
              <w:rPr>
                <w:sz w:val="11"/>
                <w:szCs w:val="11"/>
                <w:color w:val="auto"/>
              </w:rPr>
            </w:pPr>
          </w:p>
        </w:tc>
        <w:tc>
          <w:tcPr>
            <w:tcW w:w="1640" w:type="dxa"/>
            <w:vAlign w:val="bottom"/>
            <w:tcBorders>
              <w:top w:val="single" w:sz="8" w:color="auto"/>
            </w:tcBorders>
          </w:tcPr>
          <w:p>
            <w:pPr>
              <w:spacing w:after="0"/>
              <w:rPr>
                <w:sz w:val="11"/>
                <w:szCs w:val="11"/>
                <w:color w:val="auto"/>
              </w:rPr>
            </w:pPr>
          </w:p>
        </w:tc>
        <w:tc>
          <w:tcPr>
            <w:tcW w:w="16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2"/>
              </w:rPr>
              <w:t>Total Number of Shares</w:t>
            </w:r>
          </w:p>
        </w:tc>
        <w:tc>
          <w:tcPr>
            <w:tcW w:w="16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6"/>
              </w:rPr>
              <w:t>Maximum Number of</w:t>
            </w:r>
          </w:p>
        </w:tc>
        <w:tc>
          <w:tcPr>
            <w:tcW w:w="0" w:type="dxa"/>
            <w:vAlign w:val="bottom"/>
          </w:tcPr>
          <w:p>
            <w:pPr>
              <w:spacing w:after="0"/>
              <w:rPr>
                <w:sz w:val="1"/>
                <w:szCs w:val="1"/>
                <w:color w:val="auto"/>
              </w:rPr>
            </w:pPr>
          </w:p>
        </w:tc>
      </w:tr>
      <w:tr>
        <w:trPr>
          <w:trHeight w:val="135"/>
        </w:trPr>
        <w:tc>
          <w:tcPr>
            <w:tcW w:w="4700" w:type="dxa"/>
            <w:vAlign w:val="bottom"/>
          </w:tcPr>
          <w:p>
            <w:pPr>
              <w:spacing w:after="0"/>
              <w:rPr>
                <w:sz w:val="11"/>
                <w:szCs w:val="11"/>
                <w:color w:val="auto"/>
              </w:rPr>
            </w:pPr>
          </w:p>
        </w:tc>
        <w:tc>
          <w:tcPr>
            <w:tcW w:w="1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Total Number of Shares</w:t>
            </w:r>
          </w:p>
        </w:tc>
        <w:tc>
          <w:tcPr>
            <w:tcW w:w="1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Average Price Paid per</w:t>
            </w:r>
          </w:p>
        </w:tc>
        <w:tc>
          <w:tcPr>
            <w:tcW w:w="16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Purchased as Part of</w:t>
            </w:r>
          </w:p>
        </w:tc>
        <w:tc>
          <w:tcPr>
            <w:tcW w:w="16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Shares that May Yet be</w:t>
            </w:r>
          </w:p>
        </w:tc>
        <w:tc>
          <w:tcPr>
            <w:tcW w:w="0" w:type="dxa"/>
            <w:vAlign w:val="bottom"/>
          </w:tcPr>
          <w:p>
            <w:pPr>
              <w:spacing w:after="0"/>
              <w:rPr>
                <w:sz w:val="1"/>
                <w:szCs w:val="1"/>
                <w:color w:val="auto"/>
              </w:rPr>
            </w:pPr>
          </w:p>
        </w:tc>
      </w:tr>
      <w:tr>
        <w:trPr>
          <w:trHeight w:val="135"/>
        </w:trPr>
        <w:tc>
          <w:tcPr>
            <w:tcW w:w="47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Period</w:t>
            </w:r>
          </w:p>
        </w:tc>
        <w:tc>
          <w:tcPr>
            <w:tcW w:w="1620" w:type="dxa"/>
            <w:vAlign w:val="bottom"/>
            <w:vMerge w:val="continue"/>
          </w:tcPr>
          <w:p>
            <w:pPr>
              <w:spacing w:after="0"/>
              <w:rPr>
                <w:sz w:val="11"/>
                <w:szCs w:val="11"/>
                <w:color w:val="auto"/>
              </w:rPr>
            </w:pPr>
          </w:p>
        </w:tc>
        <w:tc>
          <w:tcPr>
            <w:tcW w:w="1640" w:type="dxa"/>
            <w:vAlign w:val="bottom"/>
            <w:vMerge w:val="continue"/>
          </w:tcPr>
          <w:p>
            <w:pPr>
              <w:spacing w:after="0"/>
              <w:rPr>
                <w:sz w:val="11"/>
                <w:szCs w:val="11"/>
                <w:color w:val="auto"/>
              </w:rPr>
            </w:pPr>
          </w:p>
        </w:tc>
        <w:tc>
          <w:tcPr>
            <w:tcW w:w="16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Publicly Announced</w:t>
            </w:r>
          </w:p>
        </w:tc>
        <w:tc>
          <w:tcPr>
            <w:tcW w:w="16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89"/>
        </w:trPr>
        <w:tc>
          <w:tcPr>
            <w:tcW w:w="4700" w:type="dxa"/>
            <w:vAlign w:val="bottom"/>
            <w:tcBorders>
              <w:bottom w:val="single" w:sz="8" w:color="auto"/>
            </w:tcBorders>
            <w:vMerge w:val="continue"/>
          </w:tcPr>
          <w:p>
            <w:pPr>
              <w:spacing w:after="0"/>
              <w:rPr>
                <w:sz w:val="16"/>
                <w:szCs w:val="16"/>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Purchased</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Share</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Plans or Programs</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Plans or Programs</w:t>
            </w:r>
          </w:p>
        </w:tc>
        <w:tc>
          <w:tcPr>
            <w:tcW w:w="0" w:type="dxa"/>
            <w:vAlign w:val="bottom"/>
          </w:tcPr>
          <w:p>
            <w:pPr>
              <w:spacing w:after="0"/>
              <w:rPr>
                <w:sz w:val="1"/>
                <w:szCs w:val="1"/>
                <w:color w:val="auto"/>
              </w:rPr>
            </w:pPr>
          </w:p>
        </w:tc>
      </w:tr>
      <w:tr>
        <w:trPr>
          <w:trHeight w:val="222"/>
        </w:trPr>
        <w:tc>
          <w:tcPr>
            <w:tcW w:w="4700" w:type="dxa"/>
            <w:vAlign w:val="bottom"/>
          </w:tcPr>
          <w:p>
            <w:pPr>
              <w:ind w:left="20"/>
              <w:spacing w:after="0"/>
              <w:rPr>
                <w:sz w:val="20"/>
                <w:szCs w:val="20"/>
                <w:color w:val="auto"/>
              </w:rPr>
            </w:pPr>
            <w:r>
              <w:rPr>
                <w:rFonts w:ascii="Arial" w:cs="Arial" w:eastAsia="Arial" w:hAnsi="Arial"/>
                <w:sz w:val="18"/>
                <w:szCs w:val="18"/>
                <w:color w:val="auto"/>
              </w:rPr>
              <w:t>October 2021</w:t>
            </w:r>
          </w:p>
        </w:tc>
        <w:tc>
          <w:tcPr>
            <w:tcW w:w="16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64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November 2021</w:t>
            </w:r>
          </w:p>
        </w:tc>
        <w:tc>
          <w:tcPr>
            <w:tcW w:w="16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64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December 2021</w:t>
            </w: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640" w:type="dxa"/>
            <w:vAlign w:val="bottom"/>
          </w:tcPr>
          <w:p>
            <w:pPr>
              <w:spacing w:after="0"/>
              <w:rPr>
                <w:sz w:val="20"/>
                <w:szCs w:val="20"/>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640" w:type="dxa"/>
            <w:vAlign w:val="bottom"/>
            <w:vMerge w:val="restart"/>
          </w:tcPr>
          <w:p>
            <w:pPr>
              <w:jc w:val="center"/>
              <w:spacing w:after="0"/>
              <w:rPr>
                <w:sz w:val="20"/>
                <w:szCs w:val="20"/>
                <w:color w:val="auto"/>
              </w:rPr>
            </w:pPr>
            <w:r>
              <w:rPr>
                <w:rFonts w:ascii="Arial" w:cs="Arial" w:eastAsia="Arial" w:hAnsi="Arial"/>
                <w:sz w:val="18"/>
                <w:szCs w:val="18"/>
                <w:color w:val="auto"/>
                <w:w w:val="90"/>
              </w:rPr>
              <w:t>(See Note 1)</w:t>
            </w:r>
          </w:p>
        </w:tc>
        <w:tc>
          <w:tcPr>
            <w:tcW w:w="0" w:type="dxa"/>
            <w:vAlign w:val="bottom"/>
          </w:tcPr>
          <w:p>
            <w:pPr>
              <w:spacing w:after="0"/>
              <w:rPr>
                <w:sz w:val="1"/>
                <w:szCs w:val="1"/>
                <w:color w:val="auto"/>
              </w:rPr>
            </w:pPr>
          </w:p>
        </w:tc>
      </w:tr>
      <w:tr>
        <w:trPr>
          <w:trHeight w:val="223"/>
        </w:trPr>
        <w:tc>
          <w:tcPr>
            <w:tcW w:w="4700" w:type="dxa"/>
            <w:vAlign w:val="bottom"/>
          </w:tcPr>
          <w:p>
            <w:pPr>
              <w:ind w:left="720"/>
              <w:spacing w:after="0"/>
              <w:rPr>
                <w:sz w:val="20"/>
                <w:szCs w:val="20"/>
                <w:color w:val="auto"/>
              </w:rPr>
            </w:pPr>
            <w:r>
              <w:rPr>
                <w:rFonts w:ascii="Arial" w:cs="Arial" w:eastAsia="Arial" w:hAnsi="Arial"/>
                <w:sz w:val="18"/>
                <w:szCs w:val="18"/>
                <w:color w:val="auto"/>
              </w:rPr>
              <w:t>Total</w:t>
            </w: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640" w:type="dxa"/>
            <w:vAlign w:val="bottom"/>
          </w:tcPr>
          <w:p>
            <w:pPr>
              <w:spacing w:after="0"/>
              <w:rPr>
                <w:sz w:val="19"/>
                <w:szCs w:val="19"/>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6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39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fourth quarter, the Corporation did not purchase any shares of its common stock for the treasury, and did not issue or sell any unregistered equity securities.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Note 1 - In January 2022, the Corporation initiated a share repurchase program of up to $10 billion over 12 to 24 months.</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7. MANAGEMENT'S DISCUSSION AND ANALYSIS OF FINANCIAL CONDITION AND RESULTS OF OPERATIONS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Reference is made to the section entitled “Management’s Discussion and Analysis of Financial Condition and Results of Operations” in the Financial Section of this report.</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7A. QUANTITATIVE AND QUALITATIVE DISCLOSURES ABOUT MARKET RISK</w:t>
      </w:r>
    </w:p>
    <w:p>
      <w:pPr>
        <w:spacing w:after="0" w:line="1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Reference is made to the section entitled “Market Risks” in the Financial Section of this report. All statements, other than historical information incorporated in this Item 7A, are forward-looking statements. The actual impact of future market changes could differ materially due to, among other things, factors discussed in this report.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33" w:name="page34"/>
    <w:bookmarkEnd w:id="33"/>
    <w:p>
      <w:pPr>
        <w:spacing w:after="0"/>
        <w:rPr>
          <w:sz w:val="20"/>
          <w:szCs w:val="20"/>
          <w:color w:val="auto"/>
        </w:rPr>
      </w:pPr>
      <w:r>
        <w:rPr>
          <w:rFonts w:ascii="Arial" w:cs="Arial" w:eastAsia="Arial" w:hAnsi="Arial"/>
          <w:sz w:val="20"/>
          <w:szCs w:val="20"/>
          <w:b w:val="1"/>
          <w:bCs w:val="1"/>
          <w:color w:val="auto"/>
        </w:rPr>
        <w:t>ITEM 8. FINANCIAL STATEMENTS AND SUPPLEMENTARY DATA</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Reference is made to the following in the Financial Section of this report:</w:t>
      </w:r>
    </w:p>
    <w:p>
      <w:pPr>
        <w:spacing w:after="0" w:line="104" w:lineRule="exact"/>
        <w:rPr>
          <w:sz w:val="20"/>
          <w:szCs w:val="20"/>
          <w:color w:val="auto"/>
        </w:rPr>
      </w:pPr>
    </w:p>
    <w:p>
      <w:pPr>
        <w:jc w:val="both"/>
        <w:ind w:left="740" w:hanging="327"/>
        <w:spacing w:after="0" w:line="263" w:lineRule="auto"/>
        <w:tabs>
          <w:tab w:leader="none" w:pos="735"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 xml:space="preserve">Consolidated financial statements, together with the report thereon of PricewaterhouseCoopers LLP </w:t>
      </w:r>
      <w:r>
        <w:rPr>
          <w:rFonts w:ascii="Arial" w:cs="Arial" w:eastAsia="Arial" w:hAnsi="Arial"/>
          <w:sz w:val="18"/>
          <w:szCs w:val="18"/>
          <w:i w:val="1"/>
          <w:iCs w:val="1"/>
          <w:color w:val="auto"/>
        </w:rPr>
        <w:t>(PCAOB ID 238)</w:t>
      </w:r>
      <w:r>
        <w:rPr>
          <w:rFonts w:ascii="Arial" w:cs="Arial" w:eastAsia="Arial" w:hAnsi="Arial"/>
          <w:sz w:val="18"/>
          <w:szCs w:val="18"/>
          <w:color w:val="auto"/>
        </w:rPr>
        <w:t xml:space="preserve"> dated February 23, 2022, beginning with the section entitled “Report of Independent Registered Public Accounting Firm” and continuing through “Note 19: Income and Other Taxes”;</w:t>
      </w:r>
    </w:p>
    <w:p>
      <w:pPr>
        <w:spacing w:after="0" w:line="8" w:lineRule="exact"/>
        <w:rPr>
          <w:rFonts w:ascii="Arial" w:cs="Arial" w:eastAsia="Arial" w:hAnsi="Arial"/>
          <w:sz w:val="18"/>
          <w:szCs w:val="18"/>
          <w:b w:val="1"/>
          <w:bCs w:val="1"/>
          <w:color w:val="auto"/>
        </w:rPr>
      </w:pPr>
    </w:p>
    <w:p>
      <w:pPr>
        <w:ind w:left="740" w:hanging="327"/>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“Supplemental Information on Oil and Gas Exploration and Production Activities” (unaudited); and</w:t>
      </w:r>
    </w:p>
    <w:p>
      <w:pPr>
        <w:spacing w:after="0" w:line="36" w:lineRule="exact"/>
        <w:rPr>
          <w:rFonts w:ascii="Arial" w:cs="Arial" w:eastAsia="Arial" w:hAnsi="Arial"/>
          <w:sz w:val="18"/>
          <w:szCs w:val="18"/>
          <w:color w:val="auto"/>
        </w:rPr>
      </w:pPr>
    </w:p>
    <w:p>
      <w:pPr>
        <w:ind w:left="740" w:hanging="327"/>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“Frequently Used Terms” (unaudited).</w:t>
      </w:r>
    </w:p>
    <w:p>
      <w:pPr>
        <w:spacing w:after="0" w:line="1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Financial Statement Schedules have been omitted because they are not applicable or the required information is shown in the consolidated financial statements or notes thereto.</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 CHANGES IN AND DISAGREEMENTS WITH ACCOUNTANTS ON ACCOUNTING AND FINANCIAL DISCLOSURE</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9A. CONTROLS AND PROCEDURES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Evaluation of Disclosure Controls and Procedures</w:t>
      </w:r>
    </w:p>
    <w:p>
      <w:pPr>
        <w:spacing w:after="0" w:line="9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indicated in the certifications in Exhibit 31 of this report, the Corporation’s Chief Executive Officer, Chief Financial Officer, and Principal Accounting Officer have evaluated the Corporation’s disclosure controls and procedures as of December 31, 2021. Based on that evaluation, these officers have concluded that the Corporation’s disclosure controls and procedures are effective in ensuring that information required to be disclosed by the Corporation in the reports that it files or submits under the Securities Exchange Act of 1934, as amended, is accumulated and communicated to them in a manner that allows for timely decisions regarding required disclosures and are effective in ensuring that such information is recorded, processed, summarized and reported within the time periods specified in the Securities and Exchange Commission’s rules and forms.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Management, including the Corporation’s Chief Executive Officer, Chief Financial Officer, and Principal Accounting Officer, is responsible for establishing and maintaining adequate internal control over the Corporation’s financial reporting. Management conducted an evaluation of the effectiveness of internal control over financial reporting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Based on this evaluation, management concluded that Exxon Mobil Corporation’s internal control over financial reporting was effective as of December 31, 2021.</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PricewaterhouseCoopers LLP, an independent registered public accounting firm, audited the effectiveness of the Corporation’s internal control over financial reporting as of December 31, 2021, as stated in their report included in the Financial Section of this report.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changes during the Corporation’s last fiscal quarter that materially affected, or are reasonably likely to materially affect, the Corporation’s internal control over financial reporting.</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9B. OTHER INFORMATION</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9C. DISCLOSURE REGARDING FOREIGN JURISDICTIONS THAT PREVENT INSPECTIONS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34" w:name="page35"/>
    <w:bookmarkEnd w:id="34"/>
    <w:p>
      <w:pPr>
        <w:jc w:val="center"/>
        <w:spacing w:after="0"/>
        <w:rPr>
          <w:sz w:val="20"/>
          <w:szCs w:val="20"/>
          <w:color w:val="auto"/>
        </w:rPr>
      </w:pPr>
      <w:r>
        <w:rPr>
          <w:rFonts w:ascii="Arial" w:cs="Arial" w:eastAsia="Arial" w:hAnsi="Arial"/>
          <w:sz w:val="22"/>
          <w:szCs w:val="22"/>
          <w:b w:val="1"/>
          <w:bCs w:val="1"/>
          <w:color w:val="auto"/>
        </w:rPr>
        <w:t>PART III</w:t>
      </w: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10. DIRECTORS, EXECUTIVE OFFICERS AND CORPORATE GOVERNANCE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Reference is made to the section of this report titled “Information about our Executive Officers”.</w:t>
      </w:r>
    </w:p>
    <w:p>
      <w:pPr>
        <w:spacing w:after="0" w:line="10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Incorporated by reference to the following from the registrant’s definitive proxy statement for the 2022 annual meeting of shareholders (the “2022 Proxy Statement”):</w:t>
      </w:r>
    </w:p>
    <w:p>
      <w:pPr>
        <w:spacing w:after="0" w:line="35" w:lineRule="exact"/>
        <w:rPr>
          <w:sz w:val="20"/>
          <w:szCs w:val="20"/>
          <w:color w:val="auto"/>
        </w:rPr>
      </w:pPr>
    </w:p>
    <w:p>
      <w:pPr>
        <w:ind w:left="820" w:hanging="407"/>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section entitled “Election of Directors”;</w:t>
      </w:r>
    </w:p>
    <w:p>
      <w:pPr>
        <w:spacing w:after="0" w:line="23" w:lineRule="exact"/>
        <w:rPr>
          <w:rFonts w:ascii="Arial" w:cs="Arial" w:eastAsia="Arial" w:hAnsi="Arial"/>
          <w:sz w:val="18"/>
          <w:szCs w:val="18"/>
          <w:color w:val="auto"/>
        </w:rPr>
      </w:pPr>
    </w:p>
    <w:p>
      <w:pPr>
        <w:ind w:left="820" w:hanging="407"/>
        <w:spacing w:after="0" w:line="250" w:lineRule="auto"/>
        <w:tabs>
          <w:tab w:leader="none" w:pos="8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portions entitled “Director Qualifications”, “Director Nomination Process and Board Succession”, and “Code of Ethics and Business Conduct” of the section entitled “Corporate Governance”; and</w:t>
      </w:r>
    </w:p>
    <w:p>
      <w:pPr>
        <w:ind w:left="820" w:hanging="407"/>
        <w:spacing w:after="0" w:line="260" w:lineRule="auto"/>
        <w:tabs>
          <w:tab w:leader="none" w:pos="8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“Audit Committee” portion, “Director Independence” portion, “Board Meetings and Annual Meeting Attendance” portion, and the membership table of the portion entitled “Board Committees” of the section entitled “Corporate Governance”.</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11. EXECUTIVE COMPENSATION</w:t>
      </w:r>
    </w:p>
    <w:p>
      <w:pPr>
        <w:spacing w:after="0" w:line="10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Incorporated by reference to the sections entitled “Director Compensation”, “Compensation Committee Report”, “Compensation Discussion and Analysis”, “Executive Compensation Tables”, and “Pay Ratio” of the registrant’s 2022 Proxy Statement.</w:t>
      </w:r>
    </w:p>
    <w:p>
      <w:pPr>
        <w:spacing w:after="0" w:line="200" w:lineRule="exact"/>
        <w:rPr>
          <w:sz w:val="20"/>
          <w:szCs w:val="20"/>
          <w:color w:val="auto"/>
        </w:rPr>
      </w:pPr>
    </w:p>
    <w:p>
      <w:pPr>
        <w:spacing w:after="0" w:line="326" w:lineRule="exact"/>
        <w:rPr>
          <w:sz w:val="20"/>
          <w:szCs w:val="20"/>
          <w:color w:val="auto"/>
        </w:rPr>
      </w:pPr>
    </w:p>
    <w:p>
      <w:pPr>
        <w:ind w:left="1060" w:hanging="1052"/>
        <w:spacing w:after="0" w:line="267" w:lineRule="auto"/>
        <w:rPr>
          <w:sz w:val="20"/>
          <w:szCs w:val="20"/>
          <w:color w:val="auto"/>
        </w:rPr>
      </w:pPr>
      <w:r>
        <w:rPr>
          <w:rFonts w:ascii="Arial" w:cs="Arial" w:eastAsia="Arial" w:hAnsi="Arial"/>
          <w:sz w:val="20"/>
          <w:szCs w:val="20"/>
          <w:b w:val="1"/>
          <w:bCs w:val="1"/>
          <w:color w:val="auto"/>
        </w:rPr>
        <w:t>ITEM 12. SECURITY OWNERSHIP OF CERTAIN BENEFICIAL OWNERS AND MANAGEMENT AND RELATED STOCKHOLDER MATTERS</w:t>
      </w:r>
    </w:p>
    <w:p>
      <w:pPr>
        <w:spacing w:after="0" w:line="5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under Item 403 of Regulation S-K is incorporated by reference to the sections “Director and Executive Officer Stock Ownership” and “Certain Beneficial Owners” of the registrant’s 2022 Proxy Statement.</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00" w:type="dxa"/>
            <w:vAlign w:val="bottom"/>
            <w:tcBorders>
              <w:top w:val="single" w:sz="8" w:color="auto"/>
            </w:tcBorders>
          </w:tcPr>
          <w:p>
            <w:pPr>
              <w:spacing w:after="0"/>
              <w:rPr>
                <w:sz w:val="15"/>
                <w:szCs w:val="15"/>
                <w:color w:val="auto"/>
              </w:rPr>
            </w:pPr>
          </w:p>
        </w:tc>
        <w:tc>
          <w:tcPr>
            <w:tcW w:w="1840" w:type="dxa"/>
            <w:vAlign w:val="bottom"/>
            <w:tcBorders>
              <w:top w:val="single" w:sz="8" w:color="auto"/>
            </w:tcBorders>
          </w:tcPr>
          <w:p>
            <w:pPr>
              <w:jc w:val="center"/>
              <w:ind w:left="1220"/>
              <w:spacing w:after="0"/>
              <w:rPr>
                <w:sz w:val="20"/>
                <w:szCs w:val="20"/>
                <w:color w:val="auto"/>
              </w:rPr>
            </w:pPr>
            <w:r>
              <w:rPr>
                <w:rFonts w:ascii="Arial" w:cs="Arial" w:eastAsia="Arial" w:hAnsi="Arial"/>
                <w:sz w:val="14"/>
                <w:szCs w:val="14"/>
                <w:b w:val="1"/>
                <w:bCs w:val="1"/>
                <w:i w:val="1"/>
                <w:iCs w:val="1"/>
                <w:color w:val="auto"/>
              </w:rPr>
              <w:t>(a)</w:t>
            </w:r>
          </w:p>
        </w:tc>
        <w:tc>
          <w:tcPr>
            <w:tcW w:w="88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89"/>
              </w:rPr>
              <w:t>(b)</w:t>
            </w:r>
          </w:p>
        </w:tc>
        <w:tc>
          <w:tcPr>
            <w:tcW w:w="1340" w:type="dxa"/>
            <w:vAlign w:val="bottom"/>
            <w:tcBorders>
              <w:top w:val="single" w:sz="8" w:color="auto"/>
            </w:tcBorders>
          </w:tcPr>
          <w:p>
            <w:pPr>
              <w:jc w:val="center"/>
              <w:ind w:left="902"/>
              <w:spacing w:after="0"/>
              <w:rPr>
                <w:sz w:val="20"/>
                <w:szCs w:val="20"/>
                <w:color w:val="auto"/>
              </w:rPr>
            </w:pPr>
            <w:r>
              <w:rPr>
                <w:rFonts w:ascii="Arial" w:cs="Arial" w:eastAsia="Arial" w:hAnsi="Arial"/>
                <w:sz w:val="14"/>
                <w:szCs w:val="14"/>
                <w:b w:val="1"/>
                <w:bCs w:val="1"/>
                <w:i w:val="1"/>
                <w:iCs w:val="1"/>
                <w:color w:val="auto"/>
                <w:w w:val="93"/>
              </w:rPr>
              <w:t>(c)</w:t>
            </w:r>
          </w:p>
        </w:tc>
        <w:tc>
          <w:tcPr>
            <w:tcW w:w="9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49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3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1"/>
              </w:rPr>
              <w:t>Weighted-Average</w:t>
            </w:r>
          </w:p>
        </w:tc>
        <w:tc>
          <w:tcPr>
            <w:tcW w:w="2260" w:type="dxa"/>
            <w:vAlign w:val="bottom"/>
            <w:gridSpan w:val="2"/>
          </w:tcPr>
          <w:p>
            <w:pPr>
              <w:jc w:val="center"/>
              <w:ind w:left="2"/>
              <w:spacing w:after="0" w:line="145" w:lineRule="exact"/>
              <w:rPr>
                <w:sz w:val="20"/>
                <w:szCs w:val="20"/>
                <w:color w:val="auto"/>
              </w:rPr>
            </w:pPr>
            <w:r>
              <w:rPr>
                <w:rFonts w:ascii="Arial" w:cs="Arial" w:eastAsia="Arial" w:hAnsi="Arial"/>
                <w:sz w:val="14"/>
                <w:szCs w:val="14"/>
                <w:b w:val="1"/>
                <w:bCs w:val="1"/>
                <w:color w:val="auto"/>
                <w:w w:val="92"/>
              </w:rPr>
              <w:t>Number of Securities</w:t>
            </w:r>
          </w:p>
        </w:tc>
        <w:tc>
          <w:tcPr>
            <w:tcW w:w="0" w:type="dxa"/>
            <w:vAlign w:val="bottom"/>
          </w:tcPr>
          <w:p>
            <w:pPr>
              <w:spacing w:after="0"/>
              <w:rPr>
                <w:sz w:val="1"/>
                <w:szCs w:val="1"/>
                <w:color w:val="auto"/>
              </w:rPr>
            </w:pPr>
          </w:p>
        </w:tc>
      </w:tr>
      <w:tr>
        <w:trPr>
          <w:trHeight w:val="135"/>
        </w:trPr>
        <w:tc>
          <w:tcPr>
            <w:tcW w:w="4900" w:type="dxa"/>
            <w:vAlign w:val="bottom"/>
          </w:tcPr>
          <w:p>
            <w:pPr>
              <w:spacing w:after="0"/>
              <w:rPr>
                <w:sz w:val="11"/>
                <w:szCs w:val="11"/>
                <w:color w:val="auto"/>
              </w:rPr>
            </w:pPr>
          </w:p>
        </w:tc>
        <w:tc>
          <w:tcPr>
            <w:tcW w:w="2720" w:type="dxa"/>
            <w:vAlign w:val="bottom"/>
            <w:gridSpan w:val="2"/>
            <w:vMerge w:val="restart"/>
          </w:tcPr>
          <w:p>
            <w:pPr>
              <w:jc w:val="center"/>
              <w:ind w:left="340"/>
              <w:spacing w:after="0"/>
              <w:rPr>
                <w:sz w:val="20"/>
                <w:szCs w:val="20"/>
                <w:color w:val="auto"/>
              </w:rPr>
            </w:pPr>
            <w:r>
              <w:rPr>
                <w:rFonts w:ascii="Arial" w:cs="Arial" w:eastAsia="Arial" w:hAnsi="Arial"/>
                <w:sz w:val="14"/>
                <w:szCs w:val="14"/>
                <w:b w:val="1"/>
                <w:bCs w:val="1"/>
                <w:color w:val="auto"/>
                <w:w w:val="90"/>
              </w:rPr>
              <w:t>Number of Securities to be Issued</w:t>
            </w:r>
          </w:p>
        </w:tc>
        <w:tc>
          <w:tcPr>
            <w:tcW w:w="13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Exercise Price of</w:t>
            </w:r>
          </w:p>
        </w:tc>
        <w:tc>
          <w:tcPr>
            <w:tcW w:w="226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4"/>
              </w:rPr>
              <w:t>Remaining Available for Future</w:t>
            </w:r>
          </w:p>
        </w:tc>
        <w:tc>
          <w:tcPr>
            <w:tcW w:w="0" w:type="dxa"/>
            <w:vAlign w:val="bottom"/>
          </w:tcPr>
          <w:p>
            <w:pPr>
              <w:spacing w:after="0"/>
              <w:rPr>
                <w:sz w:val="1"/>
                <w:szCs w:val="1"/>
                <w:color w:val="auto"/>
              </w:rPr>
            </w:pPr>
          </w:p>
        </w:tc>
      </w:tr>
      <w:tr>
        <w:trPr>
          <w:trHeight w:val="135"/>
        </w:trPr>
        <w:tc>
          <w:tcPr>
            <w:tcW w:w="4900" w:type="dxa"/>
            <w:vAlign w:val="bottom"/>
          </w:tcPr>
          <w:p>
            <w:pPr>
              <w:spacing w:after="0"/>
              <w:rPr>
                <w:sz w:val="11"/>
                <w:szCs w:val="11"/>
                <w:color w:val="auto"/>
              </w:rPr>
            </w:pPr>
          </w:p>
        </w:tc>
        <w:tc>
          <w:tcPr>
            <w:tcW w:w="2720" w:type="dxa"/>
            <w:vAlign w:val="bottom"/>
            <w:gridSpan w:val="2"/>
            <w:vMerge w:val="continue"/>
          </w:tcPr>
          <w:p>
            <w:pPr>
              <w:spacing w:after="0"/>
              <w:rPr>
                <w:sz w:val="11"/>
                <w:szCs w:val="11"/>
                <w:color w:val="auto"/>
              </w:rPr>
            </w:pPr>
          </w:p>
        </w:tc>
        <w:tc>
          <w:tcPr>
            <w:tcW w:w="13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Outstanding</w:t>
            </w:r>
          </w:p>
        </w:tc>
        <w:tc>
          <w:tcPr>
            <w:tcW w:w="2260" w:type="dxa"/>
            <w:vAlign w:val="bottom"/>
            <w:gridSpan w:val="2"/>
          </w:tcPr>
          <w:p>
            <w:pPr>
              <w:jc w:val="center"/>
              <w:ind w:left="2"/>
              <w:spacing w:after="0" w:line="135" w:lineRule="exact"/>
              <w:rPr>
                <w:sz w:val="20"/>
                <w:szCs w:val="20"/>
                <w:color w:val="auto"/>
              </w:rPr>
            </w:pPr>
            <w:r>
              <w:rPr>
                <w:rFonts w:ascii="Arial" w:cs="Arial" w:eastAsia="Arial" w:hAnsi="Arial"/>
                <w:sz w:val="14"/>
                <w:szCs w:val="14"/>
                <w:b w:val="1"/>
                <w:bCs w:val="1"/>
                <w:color w:val="auto"/>
                <w:w w:val="94"/>
              </w:rPr>
              <w:t>Issuance Under Equity</w:t>
            </w:r>
          </w:p>
        </w:tc>
        <w:tc>
          <w:tcPr>
            <w:tcW w:w="0" w:type="dxa"/>
            <w:vAlign w:val="bottom"/>
          </w:tcPr>
          <w:p>
            <w:pPr>
              <w:spacing w:after="0"/>
              <w:rPr>
                <w:sz w:val="1"/>
                <w:szCs w:val="1"/>
                <w:color w:val="auto"/>
              </w:rPr>
            </w:pPr>
          </w:p>
        </w:tc>
      </w:tr>
      <w:tr>
        <w:trPr>
          <w:trHeight w:val="135"/>
        </w:trPr>
        <w:tc>
          <w:tcPr>
            <w:tcW w:w="49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Plan Category</w:t>
            </w:r>
          </w:p>
        </w:tc>
        <w:tc>
          <w:tcPr>
            <w:tcW w:w="2720" w:type="dxa"/>
            <w:vAlign w:val="bottom"/>
            <w:gridSpan w:val="2"/>
          </w:tcPr>
          <w:p>
            <w:pPr>
              <w:jc w:val="center"/>
              <w:ind w:left="340"/>
              <w:spacing w:after="0" w:line="135" w:lineRule="exact"/>
              <w:rPr>
                <w:sz w:val="20"/>
                <w:szCs w:val="20"/>
                <w:color w:val="auto"/>
              </w:rPr>
            </w:pPr>
            <w:r>
              <w:rPr>
                <w:rFonts w:ascii="Arial" w:cs="Arial" w:eastAsia="Arial" w:hAnsi="Arial"/>
                <w:sz w:val="14"/>
                <w:szCs w:val="14"/>
                <w:b w:val="1"/>
                <w:bCs w:val="1"/>
                <w:color w:val="auto"/>
                <w:w w:val="92"/>
              </w:rPr>
              <w:t>Upon Exercise of Outstanding</w:t>
            </w:r>
          </w:p>
        </w:tc>
        <w:tc>
          <w:tcPr>
            <w:tcW w:w="13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5"/>
              </w:rPr>
              <w:t>Options, Warrants</w:t>
            </w:r>
          </w:p>
        </w:tc>
        <w:tc>
          <w:tcPr>
            <w:tcW w:w="226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1"/>
              </w:rPr>
              <w:t>Compensation Plans [Excluding</w:t>
            </w:r>
          </w:p>
        </w:tc>
        <w:tc>
          <w:tcPr>
            <w:tcW w:w="0" w:type="dxa"/>
            <w:vAlign w:val="bottom"/>
          </w:tcPr>
          <w:p>
            <w:pPr>
              <w:spacing w:after="0"/>
              <w:rPr>
                <w:sz w:val="1"/>
                <w:szCs w:val="1"/>
                <w:color w:val="auto"/>
              </w:rPr>
            </w:pPr>
          </w:p>
        </w:tc>
      </w:tr>
      <w:tr>
        <w:trPr>
          <w:trHeight w:val="189"/>
        </w:trPr>
        <w:tc>
          <w:tcPr>
            <w:tcW w:w="4900" w:type="dxa"/>
            <w:vAlign w:val="bottom"/>
            <w:tcBorders>
              <w:bottom w:val="single" w:sz="8" w:color="auto"/>
            </w:tcBorders>
            <w:vMerge w:val="continue"/>
          </w:tcPr>
          <w:p>
            <w:pPr>
              <w:spacing w:after="0"/>
              <w:rPr>
                <w:sz w:val="16"/>
                <w:szCs w:val="16"/>
                <w:color w:val="auto"/>
              </w:rPr>
            </w:pPr>
          </w:p>
        </w:tc>
        <w:tc>
          <w:tcPr>
            <w:tcW w:w="2720" w:type="dxa"/>
            <w:vAlign w:val="bottom"/>
            <w:tcBorders>
              <w:bottom w:val="single" w:sz="8" w:color="auto"/>
            </w:tcBorders>
            <w:gridSpan w:val="2"/>
          </w:tcPr>
          <w:p>
            <w:pPr>
              <w:jc w:val="center"/>
              <w:ind w:left="340"/>
              <w:spacing w:after="0"/>
              <w:rPr>
                <w:sz w:val="20"/>
                <w:szCs w:val="20"/>
                <w:color w:val="auto"/>
              </w:rPr>
            </w:pPr>
            <w:r>
              <w:rPr>
                <w:rFonts w:ascii="Arial" w:cs="Arial" w:eastAsia="Arial" w:hAnsi="Arial"/>
                <w:sz w:val="14"/>
                <w:szCs w:val="14"/>
                <w:b w:val="1"/>
                <w:bCs w:val="1"/>
                <w:color w:val="auto"/>
                <w:w w:val="94"/>
              </w:rPr>
              <w:t>Options, Warrants and Rights</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and Rights</w:t>
            </w:r>
          </w:p>
        </w:tc>
        <w:tc>
          <w:tcPr>
            <w:tcW w:w="2260" w:type="dxa"/>
            <w:vAlign w:val="bottom"/>
            <w:tcBorders>
              <w:bottom w:val="single" w:sz="8" w:color="auto"/>
            </w:tcBorders>
            <w:gridSpan w:val="2"/>
          </w:tcPr>
          <w:p>
            <w:pPr>
              <w:jc w:val="center"/>
              <w:ind w:left="2"/>
              <w:spacing w:after="0"/>
              <w:rPr>
                <w:sz w:val="20"/>
                <w:szCs w:val="20"/>
                <w:color w:val="auto"/>
              </w:rPr>
            </w:pPr>
            <w:r>
              <w:rPr>
                <w:rFonts w:ascii="Arial" w:cs="Arial" w:eastAsia="Arial" w:hAnsi="Arial"/>
                <w:sz w:val="14"/>
                <w:szCs w:val="14"/>
                <w:b w:val="1"/>
                <w:bCs w:val="1"/>
                <w:color w:val="auto"/>
                <w:w w:val="92"/>
              </w:rPr>
              <w:t>Securities Reflected in Column (a)]</w:t>
            </w:r>
          </w:p>
        </w:tc>
        <w:tc>
          <w:tcPr>
            <w:tcW w:w="0" w:type="dxa"/>
            <w:vAlign w:val="bottom"/>
          </w:tcPr>
          <w:p>
            <w:pPr>
              <w:spacing w:after="0"/>
              <w:rPr>
                <w:sz w:val="1"/>
                <w:szCs w:val="1"/>
                <w:color w:val="auto"/>
              </w:rPr>
            </w:pPr>
          </w:p>
        </w:tc>
      </w:tr>
      <w:tr>
        <w:trPr>
          <w:trHeight w:val="224"/>
        </w:trPr>
        <w:tc>
          <w:tcPr>
            <w:tcW w:w="4900" w:type="dxa"/>
            <w:vAlign w:val="bottom"/>
          </w:tcPr>
          <w:p>
            <w:pPr>
              <w:ind w:left="20"/>
              <w:spacing w:after="0"/>
              <w:rPr>
                <w:sz w:val="20"/>
                <w:szCs w:val="20"/>
                <w:color w:val="auto"/>
              </w:rPr>
            </w:pPr>
            <w:r>
              <w:rPr>
                <w:rFonts w:ascii="Arial" w:cs="Arial" w:eastAsia="Arial" w:hAnsi="Arial"/>
                <w:sz w:val="18"/>
                <w:szCs w:val="18"/>
                <w:color w:val="auto"/>
              </w:rPr>
              <w:t>Equity compensation plans approved by security holders</w:t>
            </w:r>
          </w:p>
        </w:tc>
        <w:tc>
          <w:tcPr>
            <w:tcW w:w="1840" w:type="dxa"/>
            <w:vAlign w:val="bottom"/>
          </w:tcPr>
          <w:p>
            <w:pPr>
              <w:jc w:val="right"/>
              <w:ind w:right="20"/>
              <w:spacing w:after="0"/>
              <w:rPr>
                <w:sz w:val="20"/>
                <w:szCs w:val="20"/>
                <w:color w:val="auto"/>
              </w:rPr>
            </w:pPr>
            <w:r>
              <w:rPr>
                <w:rFonts w:ascii="Arial" w:cs="Arial" w:eastAsia="Arial" w:hAnsi="Arial"/>
                <w:sz w:val="18"/>
                <w:szCs w:val="18"/>
                <w:color w:val="auto"/>
              </w:rPr>
              <w:t>42,039,960</w:t>
            </w:r>
          </w:p>
        </w:tc>
        <w:tc>
          <w:tcPr>
            <w:tcW w:w="880" w:type="dxa"/>
            <w:vAlign w:val="bottom"/>
          </w:tcPr>
          <w:p>
            <w:pPr>
              <w:jc w:val="right"/>
              <w:ind w:right="568"/>
              <w:spacing w:after="0"/>
              <w:rPr>
                <w:sz w:val="20"/>
                <w:szCs w:val="20"/>
                <w:color w:val="auto"/>
              </w:rPr>
            </w:pPr>
            <w:r>
              <w:rPr>
                <w:rFonts w:ascii="Arial" w:cs="Arial" w:eastAsia="Arial" w:hAnsi="Arial"/>
                <w:sz w:val="14"/>
                <w:szCs w:val="14"/>
                <w:i w:val="1"/>
                <w:iCs w:val="1"/>
                <w:color w:val="auto"/>
              </w:rPr>
              <w:t>(1)</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22"/>
              <w:spacing w:after="0"/>
              <w:rPr>
                <w:sz w:val="20"/>
                <w:szCs w:val="20"/>
                <w:color w:val="auto"/>
              </w:rPr>
            </w:pPr>
            <w:r>
              <w:rPr>
                <w:rFonts w:ascii="Arial" w:cs="Arial" w:eastAsia="Arial" w:hAnsi="Arial"/>
                <w:sz w:val="18"/>
                <w:szCs w:val="18"/>
                <w:color w:val="auto"/>
              </w:rPr>
              <w:t>66,104,769</w:t>
            </w:r>
          </w:p>
        </w:tc>
        <w:tc>
          <w:tcPr>
            <w:tcW w:w="920" w:type="dxa"/>
            <w:vAlign w:val="bottom"/>
          </w:tcPr>
          <w:p>
            <w:pPr>
              <w:jc w:val="right"/>
              <w:ind w:right="448"/>
              <w:spacing w:after="0"/>
              <w:rPr>
                <w:sz w:val="20"/>
                <w:szCs w:val="20"/>
                <w:color w:val="auto"/>
              </w:rPr>
            </w:pPr>
            <w:r>
              <w:rPr>
                <w:rFonts w:ascii="Arial" w:cs="Arial" w:eastAsia="Arial" w:hAnsi="Arial"/>
                <w:sz w:val="14"/>
                <w:szCs w:val="14"/>
                <w:i w:val="1"/>
                <w:iCs w:val="1"/>
                <w:color w:val="auto"/>
              </w:rPr>
              <w:t>(2)(3)</w:t>
            </w:r>
          </w:p>
        </w:tc>
        <w:tc>
          <w:tcPr>
            <w:tcW w:w="0" w:type="dxa"/>
            <w:vAlign w:val="bottom"/>
          </w:tcPr>
          <w:p>
            <w:pPr>
              <w:spacing w:after="0"/>
              <w:rPr>
                <w:sz w:val="1"/>
                <w:szCs w:val="1"/>
                <w:color w:val="auto"/>
              </w:rPr>
            </w:pPr>
          </w:p>
        </w:tc>
      </w:tr>
      <w:tr>
        <w:trPr>
          <w:trHeight w:val="445"/>
        </w:trPr>
        <w:tc>
          <w:tcPr>
            <w:tcW w:w="4900" w:type="dxa"/>
            <w:vAlign w:val="bottom"/>
          </w:tcPr>
          <w:p>
            <w:pPr>
              <w:ind w:left="20"/>
              <w:spacing w:after="0"/>
              <w:rPr>
                <w:sz w:val="20"/>
                <w:szCs w:val="20"/>
                <w:color w:val="auto"/>
              </w:rPr>
            </w:pPr>
            <w:r>
              <w:rPr>
                <w:rFonts w:ascii="Arial" w:cs="Arial" w:eastAsia="Arial" w:hAnsi="Arial"/>
                <w:sz w:val="18"/>
                <w:szCs w:val="18"/>
                <w:color w:val="auto"/>
              </w:rPr>
              <w:t>Equity compensation plans not approved by security holders</w:t>
            </w:r>
          </w:p>
        </w:tc>
        <w:tc>
          <w:tcPr>
            <w:tcW w:w="184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22"/>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4900" w:type="dxa"/>
            <w:vAlign w:val="bottom"/>
          </w:tcPr>
          <w:p>
            <w:pPr>
              <w:ind w:left="360"/>
              <w:spacing w:after="0"/>
              <w:rPr>
                <w:sz w:val="20"/>
                <w:szCs w:val="20"/>
                <w:color w:val="auto"/>
              </w:rPr>
            </w:pPr>
            <w:r>
              <w:rPr>
                <w:rFonts w:ascii="Arial" w:cs="Arial" w:eastAsia="Arial" w:hAnsi="Arial"/>
                <w:sz w:val="18"/>
                <w:szCs w:val="18"/>
                <w:color w:val="auto"/>
              </w:rPr>
              <w:t>Total</w:t>
            </w:r>
          </w:p>
        </w:tc>
        <w:tc>
          <w:tcPr>
            <w:tcW w:w="1840" w:type="dxa"/>
            <w:vAlign w:val="bottom"/>
          </w:tcPr>
          <w:p>
            <w:pPr>
              <w:jc w:val="right"/>
              <w:ind w:right="20"/>
              <w:spacing w:after="0"/>
              <w:rPr>
                <w:sz w:val="20"/>
                <w:szCs w:val="20"/>
                <w:color w:val="auto"/>
              </w:rPr>
            </w:pPr>
            <w:r>
              <w:rPr>
                <w:rFonts w:ascii="Arial" w:cs="Arial" w:eastAsia="Arial" w:hAnsi="Arial"/>
                <w:sz w:val="18"/>
                <w:szCs w:val="18"/>
                <w:color w:val="auto"/>
              </w:rPr>
              <w:t>42,039,960</w:t>
            </w:r>
          </w:p>
        </w:tc>
        <w:tc>
          <w:tcPr>
            <w:tcW w:w="88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22"/>
              <w:spacing w:after="0"/>
              <w:rPr>
                <w:sz w:val="20"/>
                <w:szCs w:val="20"/>
                <w:color w:val="auto"/>
              </w:rPr>
            </w:pPr>
            <w:r>
              <w:rPr>
                <w:rFonts w:ascii="Arial" w:cs="Arial" w:eastAsia="Arial" w:hAnsi="Arial"/>
                <w:sz w:val="18"/>
                <w:szCs w:val="18"/>
                <w:color w:val="auto"/>
              </w:rPr>
              <w:t>66,104,769</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640" w:hanging="308"/>
        <w:spacing w:after="0"/>
        <w:tabs>
          <w:tab w:leader="none" w:pos="64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The number of restricted stock units to be settled in shares.</w:t>
      </w:r>
    </w:p>
    <w:p>
      <w:pPr>
        <w:spacing w:after="0" w:line="63" w:lineRule="exact"/>
        <w:rPr>
          <w:rFonts w:ascii="Arial" w:cs="Arial" w:eastAsia="Arial" w:hAnsi="Arial"/>
          <w:sz w:val="18"/>
          <w:szCs w:val="18"/>
          <w:i w:val="1"/>
          <w:iCs w:val="1"/>
          <w:color w:val="auto"/>
        </w:rPr>
      </w:pPr>
    </w:p>
    <w:p>
      <w:pPr>
        <w:ind w:left="660" w:hanging="328"/>
        <w:spacing w:after="0" w:line="298" w:lineRule="auto"/>
        <w:tabs>
          <w:tab w:leader="none" w:pos="654" w:val="left"/>
        </w:tabs>
        <w:numPr>
          <w:ilvl w:val="0"/>
          <w:numId w:val="13"/>
        </w:numPr>
        <w:rPr>
          <w:rFonts w:ascii="Arial" w:cs="Arial" w:eastAsia="Arial" w:hAnsi="Arial"/>
          <w:sz w:val="17"/>
          <w:szCs w:val="17"/>
          <w:i w:val="1"/>
          <w:iCs w:val="1"/>
          <w:color w:val="auto"/>
        </w:rPr>
      </w:pPr>
      <w:r>
        <w:rPr>
          <w:rFonts w:ascii="Arial" w:cs="Arial" w:eastAsia="Arial" w:hAnsi="Arial"/>
          <w:sz w:val="17"/>
          <w:szCs w:val="17"/>
          <w:i w:val="1"/>
          <w:iCs w:val="1"/>
          <w:color w:val="auto"/>
        </w:rPr>
        <w:t>Available shares can be granted in the form of restricted stock or other stock-based awards. Includes 65,754,069 shares available for award under the 2003 Incentive Program and 350,700 shares available for award under the 2004 Non-Employee Director Restricted Stock Plan.</w:t>
      </w:r>
    </w:p>
    <w:p>
      <w:pPr>
        <w:jc w:val="both"/>
        <w:ind w:left="660" w:hanging="328"/>
        <w:spacing w:after="0" w:line="257" w:lineRule="auto"/>
        <w:tabs>
          <w:tab w:leader="none" w:pos="654"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Under the 2004 Non-Employee Director Restricted Stock Plan approved by shareholders in May 2004, and the related standing resolution adopted by the Board, each non-employee director automatically receives 8,000 shares of restricted stock when first elected to the Board and, if the director remains in office, an additional 2,500 restricted shares each following year. While on the Board, each non-employee director receives the same cash dividends on restricted shares as a holder of regular common stock, but the director is not allowed to sell the shares. The restricted shares may be forfeited if the director leaves the Board early.</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35" w:name="page36"/>
    <w:bookmarkEnd w:id="35"/>
    <w:p>
      <w:pPr>
        <w:spacing w:after="0"/>
        <w:rPr>
          <w:sz w:val="20"/>
          <w:szCs w:val="20"/>
          <w:color w:val="auto"/>
        </w:rPr>
      </w:pPr>
      <w:r>
        <w:rPr>
          <w:rFonts w:ascii="Arial" w:cs="Arial" w:eastAsia="Arial" w:hAnsi="Arial"/>
          <w:sz w:val="20"/>
          <w:szCs w:val="20"/>
          <w:b w:val="1"/>
          <w:bCs w:val="1"/>
          <w:color w:val="auto"/>
        </w:rPr>
        <w:t>ITEM 13. CERTAIN RELATIONSHIPS AND RELATED TRANSACTIONS, AND DIRECTOR INDEPENDENCE</w:t>
      </w:r>
    </w:p>
    <w:p>
      <w:pPr>
        <w:spacing w:after="0" w:line="1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Incorporated by reference to the portion entitled “Related Person Transactions and Procedures” of the section entitled “Director and Executive Officer Stock Ownership”; and the portion entitled “Director Independence” of the section entitled “Corporate Governance” of the registrant’s 2022 Proxy Statement.</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14. PRINCIPAL ACCOUNTING FEES AND SERVICES</w:t>
      </w:r>
    </w:p>
    <w:p>
      <w:pPr>
        <w:spacing w:after="0" w:line="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Incorporated by reference to the portion entitled “Audit Committee” of the section entitled “Corporate Governance” and the section entitled “Ratification of Independent Auditors” of the registrant’s 2022 Proxy Statement.</w:t>
      </w:r>
    </w:p>
    <w:p>
      <w:pPr>
        <w:spacing w:after="0" w:line="200" w:lineRule="exact"/>
        <w:rPr>
          <w:sz w:val="20"/>
          <w:szCs w:val="20"/>
          <w:color w:val="auto"/>
        </w:rPr>
      </w:pPr>
    </w:p>
    <w:p>
      <w:pPr>
        <w:spacing w:after="0" w:line="322" w:lineRule="exact"/>
        <w:rPr>
          <w:sz w:val="20"/>
          <w:szCs w:val="20"/>
          <w:color w:val="auto"/>
        </w:rPr>
      </w:pPr>
    </w:p>
    <w:p>
      <w:pPr>
        <w:ind w:left="5200"/>
        <w:spacing w:after="0"/>
        <w:rPr>
          <w:sz w:val="20"/>
          <w:szCs w:val="20"/>
          <w:color w:val="auto"/>
        </w:rPr>
      </w:pPr>
      <w:r>
        <w:rPr>
          <w:rFonts w:ascii="Arial" w:cs="Arial" w:eastAsia="Arial" w:hAnsi="Arial"/>
          <w:sz w:val="22"/>
          <w:szCs w:val="22"/>
          <w:b w:val="1"/>
          <w:bCs w:val="1"/>
          <w:color w:val="auto"/>
        </w:rPr>
        <w:t>PART IV</w:t>
      </w:r>
    </w:p>
    <w:p>
      <w:pPr>
        <w:spacing w:after="0" w:line="2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15. EXHIBITS, FINANCIAL STATEMENT SCHEDULES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(1) and (2) Financial Statements:</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See Table of Contents of the Financial Section of this report.</w:t>
      </w:r>
    </w:p>
    <w:p>
      <w:pPr>
        <w:spacing w:after="0" w:line="4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 (3) Exhibits:</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See Index to Exhibits of this report.</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16. FORM 10-K SUMMARY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6"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34"/>
        </w:trPr>
        <w:tc>
          <w:tcPr>
            <w:tcW w:w="8360" w:type="dxa"/>
            <w:vAlign w:val="bottom"/>
          </w:tcPr>
          <w:p>
            <w:pPr>
              <w:ind w:left="4340"/>
              <w:spacing w:after="0"/>
              <w:rPr>
                <w:sz w:val="20"/>
                <w:szCs w:val="20"/>
                <w:color w:val="auto"/>
              </w:rPr>
            </w:pPr>
            <w:r>
              <w:rPr>
                <w:rFonts w:ascii="Arial" w:cs="Arial" w:eastAsia="Arial" w:hAnsi="Arial"/>
                <w:sz w:val="18"/>
                <w:szCs w:val="18"/>
                <w:b w:val="1"/>
                <w:bCs w:val="1"/>
                <w:color w:val="auto"/>
              </w:rPr>
              <w:t>FINANCIAL SECTION</w:t>
            </w:r>
          </w:p>
        </w:tc>
        <w:tc>
          <w:tcPr>
            <w:tcW w:w="2160" w:type="dxa"/>
            <w:vAlign w:val="bottom"/>
          </w:tcPr>
          <w:p>
            <w:pPr>
              <w:spacing w:after="0"/>
              <w:rPr>
                <w:sz w:val="20"/>
                <w:szCs w:val="20"/>
                <w:color w:val="auto"/>
              </w:rPr>
            </w:pPr>
          </w:p>
        </w:tc>
      </w:tr>
      <w:tr>
        <w:trPr>
          <w:trHeight w:val="581"/>
        </w:trPr>
        <w:tc>
          <w:tcPr>
            <w:tcW w:w="8360" w:type="dxa"/>
            <w:vAlign w:val="bottom"/>
          </w:tcPr>
          <w:p>
            <w:pPr>
              <w:spacing w:after="0"/>
              <w:rPr>
                <w:sz w:val="20"/>
                <w:szCs w:val="20"/>
                <w:color w:val="auto"/>
              </w:rPr>
            </w:pPr>
            <w:r>
              <w:rPr>
                <w:rFonts w:ascii="Arial" w:cs="Arial" w:eastAsia="Arial" w:hAnsi="Arial"/>
                <w:sz w:val="18"/>
                <w:szCs w:val="18"/>
                <w:b w:val="1"/>
                <w:bCs w:val="1"/>
                <w:color w:val="auto"/>
              </w:rPr>
              <w:t>TABLE OF CONTENTS</w:t>
            </w:r>
          </w:p>
        </w:tc>
        <w:tc>
          <w:tcPr>
            <w:tcW w:w="2160" w:type="dxa"/>
            <w:vAlign w:val="bottom"/>
          </w:tcPr>
          <w:p>
            <w:pPr>
              <w:spacing w:after="0"/>
              <w:rPr>
                <w:sz w:val="24"/>
                <w:szCs w:val="24"/>
                <w:color w:val="auto"/>
              </w:rPr>
            </w:pPr>
          </w:p>
        </w:tc>
      </w:tr>
      <w:tr>
        <w:trPr>
          <w:trHeight w:val="391"/>
        </w:trPr>
        <w:tc>
          <w:tcPr>
            <w:tcW w:w="8360" w:type="dxa"/>
            <w:vAlign w:val="bottom"/>
          </w:tcPr>
          <w:p>
            <w:pPr>
              <w:spacing w:after="0"/>
              <w:rPr>
                <w:sz w:val="20"/>
                <w:szCs w:val="20"/>
                <w:color w:val="auto"/>
              </w:rPr>
            </w:pPr>
            <w:r>
              <w:rPr>
                <w:rFonts w:ascii="Arial" w:cs="Arial" w:eastAsia="Arial" w:hAnsi="Arial"/>
                <w:sz w:val="18"/>
                <w:szCs w:val="18"/>
                <w:color w:val="auto"/>
              </w:rPr>
              <w:t>Business Profile</w:t>
            </w:r>
          </w:p>
        </w:tc>
        <w:tc>
          <w:tcPr>
            <w:tcW w:w="21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29"/>
        </w:trPr>
        <w:tc>
          <w:tcPr>
            <w:tcW w:w="8360" w:type="dxa"/>
            <w:vAlign w:val="bottom"/>
          </w:tcPr>
          <w:p>
            <w:pPr>
              <w:spacing w:after="0"/>
              <w:rPr>
                <w:sz w:val="20"/>
                <w:szCs w:val="20"/>
                <w:color w:val="auto"/>
              </w:rPr>
            </w:pPr>
            <w:r>
              <w:rPr>
                <w:rFonts w:ascii="Arial" w:cs="Arial" w:eastAsia="Arial" w:hAnsi="Arial"/>
                <w:sz w:val="18"/>
                <w:szCs w:val="18"/>
                <w:color w:val="auto"/>
              </w:rPr>
              <w:t>Financial Information</w:t>
            </w:r>
          </w:p>
        </w:tc>
        <w:tc>
          <w:tcPr>
            <w:tcW w:w="21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29"/>
        </w:trPr>
        <w:tc>
          <w:tcPr>
            <w:tcW w:w="8360" w:type="dxa"/>
            <w:vAlign w:val="bottom"/>
          </w:tcPr>
          <w:p>
            <w:pPr>
              <w:spacing w:after="0"/>
              <w:rPr>
                <w:sz w:val="20"/>
                <w:szCs w:val="20"/>
                <w:color w:val="auto"/>
              </w:rPr>
            </w:pPr>
            <w:r>
              <w:rPr>
                <w:rFonts w:ascii="Arial" w:cs="Arial" w:eastAsia="Arial" w:hAnsi="Arial"/>
                <w:sz w:val="18"/>
                <w:szCs w:val="18"/>
                <w:color w:val="auto"/>
              </w:rPr>
              <w:t>Frequently Used Terms</w:t>
            </w:r>
          </w:p>
        </w:tc>
        <w:tc>
          <w:tcPr>
            <w:tcW w:w="21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30"/>
        </w:trPr>
        <w:tc>
          <w:tcPr>
            <w:tcW w:w="8360" w:type="dxa"/>
            <w:vAlign w:val="bottom"/>
          </w:tcPr>
          <w:p>
            <w:pPr>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2160" w:type="dxa"/>
            <w:vAlign w:val="bottom"/>
          </w:tcPr>
          <w:p>
            <w:pPr>
              <w:spacing w:after="0"/>
              <w:rPr>
                <w:sz w:val="19"/>
                <w:szCs w:val="19"/>
                <w:color w:val="auto"/>
              </w:rPr>
            </w:pPr>
          </w:p>
        </w:tc>
      </w:tr>
      <w:tr>
        <w:trPr>
          <w:trHeight w:val="229"/>
        </w:trPr>
        <w:tc>
          <w:tcPr>
            <w:tcW w:w="8360" w:type="dxa"/>
            <w:vAlign w:val="bottom"/>
          </w:tcPr>
          <w:p>
            <w:pPr>
              <w:ind w:left="440"/>
              <w:spacing w:after="0"/>
              <w:rPr>
                <w:sz w:val="20"/>
                <w:szCs w:val="20"/>
                <w:color w:val="auto"/>
              </w:rPr>
            </w:pPr>
            <w:r>
              <w:rPr>
                <w:rFonts w:ascii="Arial" w:cs="Arial" w:eastAsia="Arial" w:hAnsi="Arial"/>
                <w:sz w:val="18"/>
                <w:szCs w:val="18"/>
                <w:color w:val="auto"/>
              </w:rPr>
              <w:t>Forward-Looking Statements</w:t>
            </w:r>
          </w:p>
        </w:tc>
        <w:tc>
          <w:tcPr>
            <w:tcW w:w="21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30"/>
        </w:trPr>
        <w:tc>
          <w:tcPr>
            <w:tcW w:w="8360" w:type="dxa"/>
            <w:vAlign w:val="bottom"/>
          </w:tcPr>
          <w:p>
            <w:pPr>
              <w:ind w:left="440"/>
              <w:spacing w:after="0"/>
              <w:rPr>
                <w:sz w:val="20"/>
                <w:szCs w:val="20"/>
                <w:color w:val="auto"/>
              </w:rPr>
            </w:pPr>
            <w:r>
              <w:rPr>
                <w:rFonts w:ascii="Arial" w:cs="Arial" w:eastAsia="Arial" w:hAnsi="Arial"/>
                <w:sz w:val="18"/>
                <w:szCs w:val="18"/>
                <w:color w:val="auto"/>
              </w:rPr>
              <w:t>Overview</w:t>
            </w:r>
          </w:p>
        </w:tc>
        <w:tc>
          <w:tcPr>
            <w:tcW w:w="21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29"/>
        </w:trPr>
        <w:tc>
          <w:tcPr>
            <w:tcW w:w="8360" w:type="dxa"/>
            <w:vAlign w:val="bottom"/>
          </w:tcPr>
          <w:p>
            <w:pPr>
              <w:ind w:left="440"/>
              <w:spacing w:after="0"/>
              <w:rPr>
                <w:sz w:val="20"/>
                <w:szCs w:val="20"/>
                <w:color w:val="auto"/>
              </w:rPr>
            </w:pPr>
            <w:r>
              <w:rPr>
                <w:rFonts w:ascii="Arial" w:cs="Arial" w:eastAsia="Arial" w:hAnsi="Arial"/>
                <w:sz w:val="18"/>
                <w:szCs w:val="18"/>
                <w:color w:val="auto"/>
              </w:rPr>
              <w:t>Business Environment</w:t>
            </w:r>
          </w:p>
        </w:tc>
        <w:tc>
          <w:tcPr>
            <w:tcW w:w="21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29"/>
        </w:trPr>
        <w:tc>
          <w:tcPr>
            <w:tcW w:w="8360" w:type="dxa"/>
            <w:vAlign w:val="bottom"/>
          </w:tcPr>
          <w:p>
            <w:pPr>
              <w:ind w:left="440"/>
              <w:spacing w:after="0"/>
              <w:rPr>
                <w:sz w:val="20"/>
                <w:szCs w:val="20"/>
                <w:color w:val="auto"/>
              </w:rPr>
            </w:pPr>
            <w:r>
              <w:rPr>
                <w:rFonts w:ascii="Arial" w:cs="Arial" w:eastAsia="Arial" w:hAnsi="Arial"/>
                <w:sz w:val="18"/>
                <w:szCs w:val="18"/>
                <w:color w:val="auto"/>
              </w:rPr>
              <w:t>Business Results</w:t>
            </w:r>
          </w:p>
        </w:tc>
        <w:tc>
          <w:tcPr>
            <w:tcW w:w="21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30"/>
        </w:trPr>
        <w:tc>
          <w:tcPr>
            <w:tcW w:w="8360" w:type="dxa"/>
            <w:vAlign w:val="bottom"/>
          </w:tcPr>
          <w:p>
            <w:pPr>
              <w:ind w:left="440"/>
              <w:spacing w:after="0"/>
              <w:rPr>
                <w:sz w:val="20"/>
                <w:szCs w:val="20"/>
                <w:color w:val="auto"/>
              </w:rPr>
            </w:pPr>
            <w:r>
              <w:rPr>
                <w:rFonts w:ascii="Arial" w:cs="Arial" w:eastAsia="Arial" w:hAnsi="Arial"/>
                <w:sz w:val="18"/>
                <w:szCs w:val="18"/>
                <w:color w:val="auto"/>
              </w:rPr>
              <w:t>Liquidity and Capital Resources</w:t>
            </w:r>
          </w:p>
        </w:tc>
        <w:tc>
          <w:tcPr>
            <w:tcW w:w="21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29"/>
        </w:trPr>
        <w:tc>
          <w:tcPr>
            <w:tcW w:w="8360" w:type="dxa"/>
            <w:vAlign w:val="bottom"/>
          </w:tcPr>
          <w:p>
            <w:pPr>
              <w:ind w:left="440"/>
              <w:spacing w:after="0"/>
              <w:rPr>
                <w:sz w:val="20"/>
                <w:szCs w:val="20"/>
                <w:color w:val="auto"/>
              </w:rPr>
            </w:pPr>
            <w:r>
              <w:rPr>
                <w:rFonts w:ascii="Arial" w:cs="Arial" w:eastAsia="Arial" w:hAnsi="Arial"/>
                <w:sz w:val="18"/>
                <w:szCs w:val="18"/>
                <w:color w:val="auto"/>
              </w:rPr>
              <w:t>Capital and Exploration Expenditures</w:t>
            </w:r>
          </w:p>
        </w:tc>
        <w:tc>
          <w:tcPr>
            <w:tcW w:w="21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29"/>
        </w:trPr>
        <w:tc>
          <w:tcPr>
            <w:tcW w:w="8360" w:type="dxa"/>
            <w:vAlign w:val="bottom"/>
          </w:tcPr>
          <w:p>
            <w:pPr>
              <w:ind w:left="440"/>
              <w:spacing w:after="0"/>
              <w:rPr>
                <w:sz w:val="20"/>
                <w:szCs w:val="20"/>
                <w:color w:val="auto"/>
              </w:rPr>
            </w:pPr>
            <w:r>
              <w:rPr>
                <w:rFonts w:ascii="Arial" w:cs="Arial" w:eastAsia="Arial" w:hAnsi="Arial"/>
                <w:sz w:val="18"/>
                <w:szCs w:val="18"/>
                <w:color w:val="auto"/>
              </w:rPr>
              <w:t>Taxes</w:t>
            </w:r>
          </w:p>
        </w:tc>
        <w:tc>
          <w:tcPr>
            <w:tcW w:w="21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30"/>
        </w:trPr>
        <w:tc>
          <w:tcPr>
            <w:tcW w:w="8360" w:type="dxa"/>
            <w:vAlign w:val="bottom"/>
          </w:tcPr>
          <w:p>
            <w:pPr>
              <w:ind w:left="440"/>
              <w:spacing w:after="0"/>
              <w:rPr>
                <w:sz w:val="20"/>
                <w:szCs w:val="20"/>
                <w:color w:val="auto"/>
              </w:rPr>
            </w:pPr>
            <w:r>
              <w:rPr>
                <w:rFonts w:ascii="Arial" w:cs="Arial" w:eastAsia="Arial" w:hAnsi="Arial"/>
                <w:sz w:val="18"/>
                <w:szCs w:val="18"/>
                <w:color w:val="auto"/>
              </w:rPr>
              <w:t>Environmental Matters</w:t>
            </w:r>
          </w:p>
        </w:tc>
        <w:tc>
          <w:tcPr>
            <w:tcW w:w="21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29"/>
        </w:trPr>
        <w:tc>
          <w:tcPr>
            <w:tcW w:w="8360" w:type="dxa"/>
            <w:vAlign w:val="bottom"/>
          </w:tcPr>
          <w:p>
            <w:pPr>
              <w:ind w:left="440"/>
              <w:spacing w:after="0"/>
              <w:rPr>
                <w:sz w:val="20"/>
                <w:szCs w:val="20"/>
                <w:color w:val="auto"/>
              </w:rPr>
            </w:pPr>
            <w:r>
              <w:rPr>
                <w:rFonts w:ascii="Arial" w:cs="Arial" w:eastAsia="Arial" w:hAnsi="Arial"/>
                <w:sz w:val="18"/>
                <w:szCs w:val="18"/>
                <w:color w:val="auto"/>
              </w:rPr>
              <w:t>Market Risks</w:t>
            </w:r>
          </w:p>
        </w:tc>
        <w:tc>
          <w:tcPr>
            <w:tcW w:w="21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30"/>
        </w:trPr>
        <w:tc>
          <w:tcPr>
            <w:tcW w:w="8360" w:type="dxa"/>
            <w:vAlign w:val="bottom"/>
          </w:tcPr>
          <w:p>
            <w:pPr>
              <w:ind w:left="440"/>
              <w:spacing w:after="0"/>
              <w:rPr>
                <w:sz w:val="20"/>
                <w:szCs w:val="20"/>
                <w:color w:val="auto"/>
              </w:rPr>
            </w:pPr>
            <w:r>
              <w:rPr>
                <w:rFonts w:ascii="Arial" w:cs="Arial" w:eastAsia="Arial" w:hAnsi="Arial"/>
                <w:sz w:val="18"/>
                <w:szCs w:val="18"/>
                <w:color w:val="auto"/>
              </w:rPr>
              <w:t>Critical Accounting Estimates</w:t>
            </w:r>
          </w:p>
        </w:tc>
        <w:tc>
          <w:tcPr>
            <w:tcW w:w="21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29"/>
        </w:trPr>
        <w:tc>
          <w:tcPr>
            <w:tcW w:w="8360" w:type="dxa"/>
            <w:vAlign w:val="bottom"/>
          </w:tcPr>
          <w:p>
            <w:pPr>
              <w:spacing w:after="0"/>
              <w:rPr>
                <w:sz w:val="20"/>
                <w:szCs w:val="20"/>
                <w:color w:val="auto"/>
              </w:rPr>
            </w:pPr>
            <w:r>
              <w:rPr>
                <w:rFonts w:ascii="Arial" w:cs="Arial" w:eastAsia="Arial" w:hAnsi="Arial"/>
                <w:sz w:val="18"/>
                <w:szCs w:val="18"/>
                <w:color w:val="auto"/>
              </w:rPr>
              <w:t>Management’s Report on Internal Control Over Financial Reporting</w:t>
            </w:r>
          </w:p>
        </w:tc>
        <w:tc>
          <w:tcPr>
            <w:tcW w:w="21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29"/>
        </w:trPr>
        <w:tc>
          <w:tcPr>
            <w:tcW w:w="8360" w:type="dxa"/>
            <w:vAlign w:val="bottom"/>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21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30"/>
        </w:trPr>
        <w:tc>
          <w:tcPr>
            <w:tcW w:w="8360" w:type="dxa"/>
            <w:vAlign w:val="bottom"/>
          </w:tcPr>
          <w:p>
            <w:pPr>
              <w:spacing w:after="0"/>
              <w:rPr>
                <w:sz w:val="20"/>
                <w:szCs w:val="20"/>
                <w:color w:val="auto"/>
              </w:rPr>
            </w:pPr>
            <w:r>
              <w:rPr>
                <w:rFonts w:ascii="Arial" w:cs="Arial" w:eastAsia="Arial" w:hAnsi="Arial"/>
                <w:sz w:val="18"/>
                <w:szCs w:val="18"/>
                <w:color w:val="auto"/>
              </w:rPr>
              <w:t>Consolidated Financial Statements</w:t>
            </w:r>
          </w:p>
        </w:tc>
        <w:tc>
          <w:tcPr>
            <w:tcW w:w="2160" w:type="dxa"/>
            <w:vAlign w:val="bottom"/>
          </w:tcPr>
          <w:p>
            <w:pPr>
              <w:spacing w:after="0"/>
              <w:rPr>
                <w:sz w:val="19"/>
                <w:szCs w:val="19"/>
                <w:color w:val="auto"/>
              </w:rPr>
            </w:pPr>
          </w:p>
        </w:tc>
      </w:tr>
      <w:tr>
        <w:trPr>
          <w:trHeight w:val="229"/>
        </w:trPr>
        <w:tc>
          <w:tcPr>
            <w:tcW w:w="8360" w:type="dxa"/>
            <w:vAlign w:val="bottom"/>
          </w:tcPr>
          <w:p>
            <w:pPr>
              <w:ind w:left="440"/>
              <w:spacing w:after="0"/>
              <w:rPr>
                <w:sz w:val="20"/>
                <w:szCs w:val="20"/>
                <w:color w:val="auto"/>
              </w:rPr>
            </w:pPr>
            <w:r>
              <w:rPr>
                <w:rFonts w:ascii="Arial" w:cs="Arial" w:eastAsia="Arial" w:hAnsi="Arial"/>
                <w:sz w:val="18"/>
                <w:szCs w:val="18"/>
                <w:color w:val="auto"/>
              </w:rPr>
              <w:t>Statement of Income</w:t>
            </w:r>
          </w:p>
        </w:tc>
        <w:tc>
          <w:tcPr>
            <w:tcW w:w="21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29"/>
        </w:trPr>
        <w:tc>
          <w:tcPr>
            <w:tcW w:w="8360" w:type="dxa"/>
            <w:vAlign w:val="bottom"/>
          </w:tcPr>
          <w:p>
            <w:pPr>
              <w:ind w:left="440"/>
              <w:spacing w:after="0"/>
              <w:rPr>
                <w:sz w:val="20"/>
                <w:szCs w:val="20"/>
                <w:color w:val="auto"/>
              </w:rPr>
            </w:pPr>
            <w:r>
              <w:rPr>
                <w:rFonts w:ascii="Arial" w:cs="Arial" w:eastAsia="Arial" w:hAnsi="Arial"/>
                <w:sz w:val="18"/>
                <w:szCs w:val="18"/>
                <w:color w:val="auto"/>
              </w:rPr>
              <w:t>Statement of Comprehensive Income</w:t>
            </w:r>
          </w:p>
        </w:tc>
        <w:tc>
          <w:tcPr>
            <w:tcW w:w="21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30"/>
        </w:trPr>
        <w:tc>
          <w:tcPr>
            <w:tcW w:w="8360" w:type="dxa"/>
            <w:vAlign w:val="bottom"/>
          </w:tcPr>
          <w:p>
            <w:pPr>
              <w:ind w:left="440"/>
              <w:spacing w:after="0"/>
              <w:rPr>
                <w:sz w:val="20"/>
                <w:szCs w:val="20"/>
                <w:color w:val="auto"/>
              </w:rPr>
            </w:pPr>
            <w:r>
              <w:rPr>
                <w:rFonts w:ascii="Arial" w:cs="Arial" w:eastAsia="Arial" w:hAnsi="Arial"/>
                <w:sz w:val="18"/>
                <w:szCs w:val="18"/>
                <w:color w:val="auto"/>
              </w:rPr>
              <w:t>Balance Sheet</w:t>
            </w:r>
          </w:p>
        </w:tc>
        <w:tc>
          <w:tcPr>
            <w:tcW w:w="216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29"/>
        </w:trPr>
        <w:tc>
          <w:tcPr>
            <w:tcW w:w="8360" w:type="dxa"/>
            <w:vAlign w:val="bottom"/>
          </w:tcPr>
          <w:p>
            <w:pPr>
              <w:ind w:left="440"/>
              <w:spacing w:after="0"/>
              <w:rPr>
                <w:sz w:val="20"/>
                <w:szCs w:val="20"/>
                <w:color w:val="auto"/>
              </w:rPr>
            </w:pPr>
            <w:r>
              <w:rPr>
                <w:rFonts w:ascii="Arial" w:cs="Arial" w:eastAsia="Arial" w:hAnsi="Arial"/>
                <w:sz w:val="18"/>
                <w:szCs w:val="18"/>
                <w:color w:val="auto"/>
              </w:rPr>
              <w:t>Statement of Cash Flows</w:t>
            </w:r>
          </w:p>
        </w:tc>
        <w:tc>
          <w:tcPr>
            <w:tcW w:w="216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30"/>
        </w:trPr>
        <w:tc>
          <w:tcPr>
            <w:tcW w:w="8360" w:type="dxa"/>
            <w:vAlign w:val="bottom"/>
          </w:tcPr>
          <w:p>
            <w:pPr>
              <w:ind w:left="440"/>
              <w:spacing w:after="0"/>
              <w:rPr>
                <w:sz w:val="20"/>
                <w:szCs w:val="20"/>
                <w:color w:val="auto"/>
              </w:rPr>
            </w:pPr>
            <w:r>
              <w:rPr>
                <w:rFonts w:ascii="Arial" w:cs="Arial" w:eastAsia="Arial" w:hAnsi="Arial"/>
                <w:sz w:val="18"/>
                <w:szCs w:val="18"/>
                <w:color w:val="auto"/>
              </w:rPr>
              <w:t>Statement of Changes in Equity</w:t>
            </w:r>
          </w:p>
        </w:tc>
        <w:tc>
          <w:tcPr>
            <w:tcW w:w="216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30"/>
        </w:trPr>
        <w:tc>
          <w:tcPr>
            <w:tcW w:w="8360" w:type="dxa"/>
            <w:vAlign w:val="bottom"/>
          </w:tcPr>
          <w:p>
            <w:pPr>
              <w:spacing w:after="0"/>
              <w:rPr>
                <w:sz w:val="20"/>
                <w:szCs w:val="20"/>
                <w:color w:val="auto"/>
              </w:rPr>
            </w:pPr>
            <w:r>
              <w:rPr>
                <w:rFonts w:ascii="Arial" w:cs="Arial" w:eastAsia="Arial" w:hAnsi="Arial"/>
                <w:sz w:val="18"/>
                <w:szCs w:val="18"/>
                <w:color w:val="auto"/>
              </w:rPr>
              <w:t>Notes to Consolidated Financial Statements</w:t>
            </w:r>
          </w:p>
        </w:tc>
        <w:tc>
          <w:tcPr>
            <w:tcW w:w="2160" w:type="dxa"/>
            <w:vAlign w:val="bottom"/>
          </w:tcPr>
          <w:p>
            <w:pPr>
              <w:spacing w:after="0"/>
              <w:rPr>
                <w:sz w:val="19"/>
                <w:szCs w:val="19"/>
                <w:color w:val="auto"/>
              </w:rPr>
            </w:pPr>
          </w:p>
        </w:tc>
      </w:tr>
      <w:tr>
        <w:trPr>
          <w:trHeight w:val="230"/>
        </w:trPr>
        <w:tc>
          <w:tcPr>
            <w:tcW w:w="8360" w:type="dxa"/>
            <w:vAlign w:val="bottom"/>
          </w:tcPr>
          <w:p>
            <w:pPr>
              <w:ind w:left="440"/>
              <w:spacing w:after="0"/>
              <w:rPr>
                <w:sz w:val="20"/>
                <w:szCs w:val="20"/>
                <w:color w:val="auto"/>
              </w:rPr>
            </w:pPr>
            <w:r>
              <w:rPr>
                <w:rFonts w:ascii="Arial" w:cs="Arial" w:eastAsia="Arial" w:hAnsi="Arial"/>
                <w:sz w:val="18"/>
                <w:szCs w:val="18"/>
                <w:color w:val="auto"/>
              </w:rPr>
              <w:t>1. Summary of Accounting Policies</w:t>
            </w:r>
          </w:p>
        </w:tc>
        <w:tc>
          <w:tcPr>
            <w:tcW w:w="216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29"/>
        </w:trPr>
        <w:tc>
          <w:tcPr>
            <w:tcW w:w="8360" w:type="dxa"/>
            <w:vAlign w:val="bottom"/>
          </w:tcPr>
          <w:p>
            <w:pPr>
              <w:ind w:left="440"/>
              <w:spacing w:after="0"/>
              <w:rPr>
                <w:sz w:val="20"/>
                <w:szCs w:val="20"/>
                <w:color w:val="auto"/>
              </w:rPr>
            </w:pPr>
            <w:r>
              <w:rPr>
                <w:rFonts w:ascii="Arial" w:cs="Arial" w:eastAsia="Arial" w:hAnsi="Arial"/>
                <w:sz w:val="18"/>
                <w:szCs w:val="18"/>
                <w:color w:val="auto"/>
              </w:rPr>
              <w:t>2. Restructuring Activities</w:t>
            </w:r>
          </w:p>
        </w:tc>
        <w:tc>
          <w:tcPr>
            <w:tcW w:w="216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30"/>
        </w:trPr>
        <w:tc>
          <w:tcPr>
            <w:tcW w:w="8360" w:type="dxa"/>
            <w:vAlign w:val="bottom"/>
          </w:tcPr>
          <w:p>
            <w:pPr>
              <w:ind w:left="440"/>
              <w:spacing w:after="0"/>
              <w:rPr>
                <w:sz w:val="20"/>
                <w:szCs w:val="20"/>
                <w:color w:val="auto"/>
              </w:rPr>
            </w:pPr>
            <w:r>
              <w:rPr>
                <w:rFonts w:ascii="Arial" w:cs="Arial" w:eastAsia="Arial" w:hAnsi="Arial"/>
                <w:sz w:val="18"/>
                <w:szCs w:val="18"/>
                <w:color w:val="auto"/>
              </w:rPr>
              <w:t>3. Miscellaneous Financial Information</w:t>
            </w:r>
          </w:p>
        </w:tc>
        <w:tc>
          <w:tcPr>
            <w:tcW w:w="216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30"/>
        </w:trPr>
        <w:tc>
          <w:tcPr>
            <w:tcW w:w="8360" w:type="dxa"/>
            <w:vAlign w:val="bottom"/>
          </w:tcPr>
          <w:p>
            <w:pPr>
              <w:ind w:left="440"/>
              <w:spacing w:after="0"/>
              <w:rPr>
                <w:sz w:val="20"/>
                <w:szCs w:val="20"/>
                <w:color w:val="auto"/>
              </w:rPr>
            </w:pPr>
            <w:r>
              <w:rPr>
                <w:rFonts w:ascii="Arial" w:cs="Arial" w:eastAsia="Arial" w:hAnsi="Arial"/>
                <w:sz w:val="18"/>
                <w:szCs w:val="18"/>
                <w:color w:val="auto"/>
              </w:rPr>
              <w:t>4. Other Comprehensive Income Information</w:t>
            </w:r>
          </w:p>
        </w:tc>
        <w:tc>
          <w:tcPr>
            <w:tcW w:w="216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30"/>
        </w:trPr>
        <w:tc>
          <w:tcPr>
            <w:tcW w:w="8360" w:type="dxa"/>
            <w:vAlign w:val="bottom"/>
          </w:tcPr>
          <w:p>
            <w:pPr>
              <w:ind w:left="440"/>
              <w:spacing w:after="0"/>
              <w:rPr>
                <w:sz w:val="20"/>
                <w:szCs w:val="20"/>
                <w:color w:val="auto"/>
              </w:rPr>
            </w:pPr>
            <w:r>
              <w:rPr>
                <w:rFonts w:ascii="Arial" w:cs="Arial" w:eastAsia="Arial" w:hAnsi="Arial"/>
                <w:sz w:val="18"/>
                <w:szCs w:val="18"/>
                <w:color w:val="auto"/>
              </w:rPr>
              <w:t>5. Cash Flow Information</w:t>
            </w:r>
          </w:p>
        </w:tc>
        <w:tc>
          <w:tcPr>
            <w:tcW w:w="216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29"/>
        </w:trPr>
        <w:tc>
          <w:tcPr>
            <w:tcW w:w="8360" w:type="dxa"/>
            <w:vAlign w:val="bottom"/>
          </w:tcPr>
          <w:p>
            <w:pPr>
              <w:ind w:left="440"/>
              <w:spacing w:after="0"/>
              <w:rPr>
                <w:sz w:val="20"/>
                <w:szCs w:val="20"/>
                <w:color w:val="auto"/>
              </w:rPr>
            </w:pPr>
            <w:r>
              <w:rPr>
                <w:rFonts w:ascii="Arial" w:cs="Arial" w:eastAsia="Arial" w:hAnsi="Arial"/>
                <w:sz w:val="18"/>
                <w:szCs w:val="18"/>
                <w:color w:val="auto"/>
              </w:rPr>
              <w:t>6. Additional Working Capital Information</w:t>
            </w:r>
          </w:p>
        </w:tc>
        <w:tc>
          <w:tcPr>
            <w:tcW w:w="216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30"/>
        </w:trPr>
        <w:tc>
          <w:tcPr>
            <w:tcW w:w="8360" w:type="dxa"/>
            <w:vAlign w:val="bottom"/>
          </w:tcPr>
          <w:p>
            <w:pPr>
              <w:ind w:left="440"/>
              <w:spacing w:after="0"/>
              <w:rPr>
                <w:sz w:val="20"/>
                <w:szCs w:val="20"/>
                <w:color w:val="auto"/>
              </w:rPr>
            </w:pPr>
            <w:r>
              <w:rPr>
                <w:rFonts w:ascii="Arial" w:cs="Arial" w:eastAsia="Arial" w:hAnsi="Arial"/>
                <w:sz w:val="18"/>
                <w:szCs w:val="18"/>
                <w:color w:val="auto"/>
              </w:rPr>
              <w:t>7. Equity Company Information</w:t>
            </w:r>
          </w:p>
        </w:tc>
        <w:tc>
          <w:tcPr>
            <w:tcW w:w="216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30"/>
        </w:trPr>
        <w:tc>
          <w:tcPr>
            <w:tcW w:w="8360" w:type="dxa"/>
            <w:vAlign w:val="bottom"/>
          </w:tcPr>
          <w:p>
            <w:pPr>
              <w:ind w:left="440"/>
              <w:spacing w:after="0"/>
              <w:rPr>
                <w:sz w:val="20"/>
                <w:szCs w:val="20"/>
                <w:color w:val="auto"/>
              </w:rPr>
            </w:pPr>
            <w:r>
              <w:rPr>
                <w:rFonts w:ascii="Arial" w:cs="Arial" w:eastAsia="Arial" w:hAnsi="Arial"/>
                <w:sz w:val="18"/>
                <w:szCs w:val="18"/>
                <w:color w:val="auto"/>
              </w:rPr>
              <w:t>8. Investments, Advances and Long-Term Receivables</w:t>
            </w:r>
          </w:p>
        </w:tc>
        <w:tc>
          <w:tcPr>
            <w:tcW w:w="216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30"/>
        </w:trPr>
        <w:tc>
          <w:tcPr>
            <w:tcW w:w="8360" w:type="dxa"/>
            <w:vAlign w:val="bottom"/>
          </w:tcPr>
          <w:p>
            <w:pPr>
              <w:ind w:left="440"/>
              <w:spacing w:after="0"/>
              <w:rPr>
                <w:sz w:val="20"/>
                <w:szCs w:val="20"/>
                <w:color w:val="auto"/>
              </w:rPr>
            </w:pPr>
            <w:r>
              <w:rPr>
                <w:rFonts w:ascii="Arial" w:cs="Arial" w:eastAsia="Arial" w:hAnsi="Arial"/>
                <w:sz w:val="18"/>
                <w:szCs w:val="18"/>
                <w:color w:val="auto"/>
              </w:rPr>
              <w:t>9. Property, Plant and Equipment and Asset Retirement Obligations</w:t>
            </w:r>
          </w:p>
        </w:tc>
        <w:tc>
          <w:tcPr>
            <w:tcW w:w="216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29"/>
        </w:trPr>
        <w:tc>
          <w:tcPr>
            <w:tcW w:w="8360" w:type="dxa"/>
            <w:vAlign w:val="bottom"/>
          </w:tcPr>
          <w:p>
            <w:pPr>
              <w:ind w:left="440"/>
              <w:spacing w:after="0"/>
              <w:rPr>
                <w:sz w:val="20"/>
                <w:szCs w:val="20"/>
                <w:color w:val="auto"/>
              </w:rPr>
            </w:pPr>
            <w:r>
              <w:rPr>
                <w:rFonts w:ascii="Arial" w:cs="Arial" w:eastAsia="Arial" w:hAnsi="Arial"/>
                <w:sz w:val="18"/>
                <w:szCs w:val="18"/>
                <w:color w:val="auto"/>
              </w:rPr>
              <w:t>10. Accounting for Suspended Exploratory Well Costs</w:t>
            </w:r>
          </w:p>
        </w:tc>
        <w:tc>
          <w:tcPr>
            <w:tcW w:w="216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30"/>
        </w:trPr>
        <w:tc>
          <w:tcPr>
            <w:tcW w:w="8360" w:type="dxa"/>
            <w:vAlign w:val="bottom"/>
          </w:tcPr>
          <w:p>
            <w:pPr>
              <w:ind w:left="440"/>
              <w:spacing w:after="0"/>
              <w:rPr>
                <w:sz w:val="20"/>
                <w:szCs w:val="20"/>
                <w:color w:val="auto"/>
              </w:rPr>
            </w:pPr>
            <w:r>
              <w:rPr>
                <w:rFonts w:ascii="Arial" w:cs="Arial" w:eastAsia="Arial" w:hAnsi="Arial"/>
                <w:sz w:val="18"/>
                <w:szCs w:val="18"/>
                <w:color w:val="auto"/>
              </w:rPr>
              <w:t>11. Leases</w:t>
            </w:r>
          </w:p>
        </w:tc>
        <w:tc>
          <w:tcPr>
            <w:tcW w:w="216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30"/>
        </w:trPr>
        <w:tc>
          <w:tcPr>
            <w:tcW w:w="8360" w:type="dxa"/>
            <w:vAlign w:val="bottom"/>
          </w:tcPr>
          <w:p>
            <w:pPr>
              <w:ind w:left="440"/>
              <w:spacing w:after="0"/>
              <w:rPr>
                <w:sz w:val="20"/>
                <w:szCs w:val="20"/>
                <w:color w:val="auto"/>
              </w:rPr>
            </w:pPr>
            <w:r>
              <w:rPr>
                <w:rFonts w:ascii="Arial" w:cs="Arial" w:eastAsia="Arial" w:hAnsi="Arial"/>
                <w:sz w:val="18"/>
                <w:szCs w:val="18"/>
                <w:color w:val="auto"/>
              </w:rPr>
              <w:t>12. Earnings Per Share</w:t>
            </w:r>
          </w:p>
        </w:tc>
        <w:tc>
          <w:tcPr>
            <w:tcW w:w="216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30"/>
        </w:trPr>
        <w:tc>
          <w:tcPr>
            <w:tcW w:w="8360" w:type="dxa"/>
            <w:vAlign w:val="bottom"/>
          </w:tcPr>
          <w:p>
            <w:pPr>
              <w:ind w:left="440"/>
              <w:spacing w:after="0"/>
              <w:rPr>
                <w:sz w:val="20"/>
                <w:szCs w:val="20"/>
                <w:color w:val="auto"/>
              </w:rPr>
            </w:pPr>
            <w:r>
              <w:rPr>
                <w:rFonts w:ascii="Arial" w:cs="Arial" w:eastAsia="Arial" w:hAnsi="Arial"/>
                <w:sz w:val="18"/>
                <w:szCs w:val="18"/>
                <w:color w:val="auto"/>
              </w:rPr>
              <w:t>13. Financial Instruments and Derivatives</w:t>
            </w:r>
          </w:p>
        </w:tc>
        <w:tc>
          <w:tcPr>
            <w:tcW w:w="216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30"/>
        </w:trPr>
        <w:tc>
          <w:tcPr>
            <w:tcW w:w="8360" w:type="dxa"/>
            <w:vAlign w:val="bottom"/>
          </w:tcPr>
          <w:p>
            <w:pPr>
              <w:ind w:left="440"/>
              <w:spacing w:after="0"/>
              <w:rPr>
                <w:sz w:val="20"/>
                <w:szCs w:val="20"/>
                <w:color w:val="auto"/>
              </w:rPr>
            </w:pPr>
            <w:r>
              <w:rPr>
                <w:rFonts w:ascii="Arial" w:cs="Arial" w:eastAsia="Arial" w:hAnsi="Arial"/>
                <w:sz w:val="18"/>
                <w:szCs w:val="18"/>
                <w:color w:val="auto"/>
              </w:rPr>
              <w:t>14. Long-Term Debt</w:t>
            </w:r>
          </w:p>
        </w:tc>
        <w:tc>
          <w:tcPr>
            <w:tcW w:w="216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29"/>
        </w:trPr>
        <w:tc>
          <w:tcPr>
            <w:tcW w:w="8360" w:type="dxa"/>
            <w:vAlign w:val="bottom"/>
          </w:tcPr>
          <w:p>
            <w:pPr>
              <w:ind w:left="440"/>
              <w:spacing w:after="0"/>
              <w:rPr>
                <w:sz w:val="20"/>
                <w:szCs w:val="20"/>
                <w:color w:val="auto"/>
              </w:rPr>
            </w:pPr>
            <w:r>
              <w:rPr>
                <w:rFonts w:ascii="Arial" w:cs="Arial" w:eastAsia="Arial" w:hAnsi="Arial"/>
                <w:sz w:val="18"/>
                <w:szCs w:val="18"/>
                <w:color w:val="auto"/>
              </w:rPr>
              <w:t>15. Incentive Program</w:t>
            </w:r>
          </w:p>
        </w:tc>
        <w:tc>
          <w:tcPr>
            <w:tcW w:w="216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30"/>
        </w:trPr>
        <w:tc>
          <w:tcPr>
            <w:tcW w:w="8360" w:type="dxa"/>
            <w:vAlign w:val="bottom"/>
          </w:tcPr>
          <w:p>
            <w:pPr>
              <w:ind w:left="440"/>
              <w:spacing w:after="0"/>
              <w:rPr>
                <w:sz w:val="20"/>
                <w:szCs w:val="20"/>
                <w:color w:val="auto"/>
              </w:rPr>
            </w:pPr>
            <w:r>
              <w:rPr>
                <w:rFonts w:ascii="Arial" w:cs="Arial" w:eastAsia="Arial" w:hAnsi="Arial"/>
                <w:sz w:val="18"/>
                <w:szCs w:val="18"/>
                <w:color w:val="auto"/>
              </w:rPr>
              <w:t>16. Litigation and Other Contingencies</w:t>
            </w:r>
          </w:p>
        </w:tc>
        <w:tc>
          <w:tcPr>
            <w:tcW w:w="216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30"/>
        </w:trPr>
        <w:tc>
          <w:tcPr>
            <w:tcW w:w="8360" w:type="dxa"/>
            <w:vAlign w:val="bottom"/>
          </w:tcPr>
          <w:p>
            <w:pPr>
              <w:ind w:left="440"/>
              <w:spacing w:after="0"/>
              <w:rPr>
                <w:sz w:val="20"/>
                <w:szCs w:val="20"/>
                <w:color w:val="auto"/>
              </w:rPr>
            </w:pPr>
            <w:r>
              <w:rPr>
                <w:rFonts w:ascii="Arial" w:cs="Arial" w:eastAsia="Arial" w:hAnsi="Arial"/>
                <w:sz w:val="18"/>
                <w:szCs w:val="18"/>
                <w:color w:val="auto"/>
              </w:rPr>
              <w:t>17. Pension and Other Postretirement Benefits</w:t>
            </w:r>
          </w:p>
        </w:tc>
        <w:tc>
          <w:tcPr>
            <w:tcW w:w="216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30"/>
        </w:trPr>
        <w:tc>
          <w:tcPr>
            <w:tcW w:w="8360" w:type="dxa"/>
            <w:vAlign w:val="bottom"/>
          </w:tcPr>
          <w:p>
            <w:pPr>
              <w:ind w:left="440"/>
              <w:spacing w:after="0"/>
              <w:rPr>
                <w:sz w:val="20"/>
                <w:szCs w:val="20"/>
                <w:color w:val="auto"/>
              </w:rPr>
            </w:pPr>
            <w:r>
              <w:rPr>
                <w:rFonts w:ascii="Arial" w:cs="Arial" w:eastAsia="Arial" w:hAnsi="Arial"/>
                <w:sz w:val="18"/>
                <w:szCs w:val="18"/>
                <w:color w:val="auto"/>
              </w:rPr>
              <w:t>18. Disclosures about Segments and Related Information</w:t>
            </w:r>
          </w:p>
        </w:tc>
        <w:tc>
          <w:tcPr>
            <w:tcW w:w="216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29"/>
        </w:trPr>
        <w:tc>
          <w:tcPr>
            <w:tcW w:w="8360" w:type="dxa"/>
            <w:vAlign w:val="bottom"/>
          </w:tcPr>
          <w:p>
            <w:pPr>
              <w:ind w:left="440"/>
              <w:spacing w:after="0"/>
              <w:rPr>
                <w:sz w:val="20"/>
                <w:szCs w:val="20"/>
                <w:color w:val="auto"/>
              </w:rPr>
            </w:pPr>
            <w:r>
              <w:rPr>
                <w:rFonts w:ascii="Arial" w:cs="Arial" w:eastAsia="Arial" w:hAnsi="Arial"/>
                <w:sz w:val="18"/>
                <w:szCs w:val="18"/>
                <w:color w:val="auto"/>
              </w:rPr>
              <w:t>19. Income and Other Taxes</w:t>
            </w:r>
          </w:p>
        </w:tc>
        <w:tc>
          <w:tcPr>
            <w:tcW w:w="216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30"/>
        </w:trPr>
        <w:tc>
          <w:tcPr>
            <w:tcW w:w="8360" w:type="dxa"/>
            <w:vAlign w:val="bottom"/>
          </w:tcPr>
          <w:p>
            <w:pPr>
              <w:spacing w:after="0"/>
              <w:rPr>
                <w:sz w:val="20"/>
                <w:szCs w:val="20"/>
                <w:color w:val="auto"/>
              </w:rPr>
            </w:pPr>
            <w:r>
              <w:rPr>
                <w:rFonts w:ascii="Arial" w:cs="Arial" w:eastAsia="Arial" w:hAnsi="Arial"/>
                <w:sz w:val="18"/>
                <w:szCs w:val="18"/>
                <w:color w:val="auto"/>
              </w:rPr>
              <w:t>Supplemental Information on Oil and Gas Exploration and Production Activities</w:t>
            </w:r>
          </w:p>
        </w:tc>
        <w:tc>
          <w:tcPr>
            <w:tcW w:w="2160" w:type="dxa"/>
            <w:vAlign w:val="bottom"/>
          </w:tcPr>
          <w:p>
            <w:pPr>
              <w:jc w:val="right"/>
              <w:spacing w:after="0"/>
              <w:rPr>
                <w:sz w:val="20"/>
                <w:szCs w:val="20"/>
                <w:color w:val="auto"/>
              </w:rPr>
            </w:pPr>
            <w:r>
              <w:rPr>
                <w:rFonts w:ascii="Arial" w:cs="Arial" w:eastAsia="Arial" w:hAnsi="Arial"/>
                <w:sz w:val="18"/>
                <w:szCs w:val="18"/>
                <w:color w:val="auto"/>
              </w:rPr>
              <w:t>110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62230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20"/>
          </w:cols>
          <w:pgMar w:left="660" w:top="918" w:right="71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BUSINESS PROFILE</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40" w:type="dxa"/>
            <w:vAlign w:val="bottom"/>
          </w:tcPr>
          <w:p>
            <w:pPr>
              <w:spacing w:after="0"/>
              <w:rPr>
                <w:sz w:val="14"/>
                <w:szCs w:val="14"/>
                <w:color w:val="auto"/>
              </w:rPr>
            </w:pPr>
          </w:p>
        </w:tc>
        <w:tc>
          <w:tcPr>
            <w:tcW w:w="2160" w:type="dxa"/>
            <w:vAlign w:val="bottom"/>
            <w:gridSpan w:val="2"/>
            <w:vMerge w:val="restart"/>
          </w:tcPr>
          <w:p>
            <w:pPr>
              <w:jc w:val="right"/>
              <w:ind w:right="413"/>
              <w:spacing w:after="0"/>
              <w:rPr>
                <w:sz w:val="20"/>
                <w:szCs w:val="20"/>
                <w:color w:val="auto"/>
              </w:rPr>
            </w:pPr>
            <w:r>
              <w:rPr>
                <w:rFonts w:ascii="Arial" w:cs="Arial" w:eastAsia="Arial" w:hAnsi="Arial"/>
                <w:sz w:val="14"/>
                <w:szCs w:val="14"/>
                <w:b w:val="1"/>
                <w:bCs w:val="1"/>
                <w:color w:val="auto"/>
              </w:rPr>
              <w:t>Earnings (Loss) After</w:t>
            </w:r>
          </w:p>
        </w:tc>
        <w:tc>
          <w:tcPr>
            <w:tcW w:w="2100" w:type="dxa"/>
            <w:vAlign w:val="bottom"/>
            <w:gridSpan w:val="2"/>
            <w:vMerge w:val="restart"/>
          </w:tcPr>
          <w:p>
            <w:pPr>
              <w:jc w:val="right"/>
              <w:ind w:right="612"/>
              <w:spacing w:after="0"/>
              <w:rPr>
                <w:sz w:val="20"/>
                <w:szCs w:val="20"/>
                <w:color w:val="auto"/>
              </w:rPr>
            </w:pPr>
            <w:r>
              <w:rPr>
                <w:rFonts w:ascii="Arial" w:cs="Arial" w:eastAsia="Arial" w:hAnsi="Arial"/>
                <w:sz w:val="14"/>
                <w:szCs w:val="14"/>
                <w:b w:val="1"/>
                <w:bCs w:val="1"/>
                <w:color w:val="auto"/>
              </w:rPr>
              <w:t>Average Capital</w:t>
            </w:r>
          </w:p>
        </w:tc>
        <w:tc>
          <w:tcPr>
            <w:tcW w:w="1220" w:type="dxa"/>
            <w:vAlign w:val="bottom"/>
          </w:tcPr>
          <w:p>
            <w:pPr>
              <w:jc w:val="center"/>
              <w:ind w:left="456"/>
              <w:spacing w:after="0"/>
              <w:rPr>
                <w:sz w:val="20"/>
                <w:szCs w:val="20"/>
                <w:color w:val="auto"/>
              </w:rPr>
            </w:pPr>
            <w:r>
              <w:rPr>
                <w:rFonts w:ascii="Arial" w:cs="Arial" w:eastAsia="Arial" w:hAnsi="Arial"/>
                <w:sz w:val="14"/>
                <w:szCs w:val="14"/>
                <w:b w:val="1"/>
                <w:bCs w:val="1"/>
                <w:color w:val="auto"/>
                <w:w w:val="96"/>
              </w:rPr>
              <w:t>Return on</w:t>
            </w:r>
          </w:p>
        </w:tc>
        <w:tc>
          <w:tcPr>
            <w:tcW w:w="840" w:type="dxa"/>
            <w:vAlign w:val="bottom"/>
          </w:tcPr>
          <w:p>
            <w:pPr>
              <w:spacing w:after="0"/>
              <w:rPr>
                <w:sz w:val="14"/>
                <w:szCs w:val="14"/>
                <w:color w:val="auto"/>
              </w:rPr>
            </w:pPr>
          </w:p>
        </w:tc>
        <w:tc>
          <w:tcPr>
            <w:tcW w:w="1260" w:type="dxa"/>
            <w:vAlign w:val="bottom"/>
          </w:tcPr>
          <w:p>
            <w:pPr>
              <w:jc w:val="center"/>
              <w:ind w:left="456"/>
              <w:spacing w:after="0"/>
              <w:rPr>
                <w:sz w:val="20"/>
                <w:szCs w:val="20"/>
                <w:color w:val="auto"/>
              </w:rPr>
            </w:pPr>
            <w:r>
              <w:rPr>
                <w:rFonts w:ascii="Arial" w:cs="Arial" w:eastAsia="Arial" w:hAnsi="Arial"/>
                <w:sz w:val="14"/>
                <w:szCs w:val="14"/>
                <w:b w:val="1"/>
                <w:bCs w:val="1"/>
                <w:color w:val="auto"/>
                <w:w w:val="95"/>
              </w:rPr>
              <w:t>Capital and</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040" w:type="dxa"/>
            <w:vAlign w:val="bottom"/>
          </w:tcPr>
          <w:p>
            <w:pPr>
              <w:spacing w:after="0"/>
              <w:rPr>
                <w:sz w:val="11"/>
                <w:szCs w:val="11"/>
                <w:color w:val="auto"/>
              </w:rPr>
            </w:pPr>
          </w:p>
        </w:tc>
        <w:tc>
          <w:tcPr>
            <w:tcW w:w="2160" w:type="dxa"/>
            <w:vAlign w:val="bottom"/>
            <w:gridSpan w:val="2"/>
            <w:vMerge w:val="continue"/>
          </w:tcPr>
          <w:p>
            <w:pPr>
              <w:spacing w:after="0"/>
              <w:rPr>
                <w:sz w:val="11"/>
                <w:szCs w:val="11"/>
                <w:color w:val="auto"/>
              </w:rPr>
            </w:pPr>
          </w:p>
        </w:tc>
        <w:tc>
          <w:tcPr>
            <w:tcW w:w="2100" w:type="dxa"/>
            <w:vAlign w:val="bottom"/>
            <w:gridSpan w:val="2"/>
            <w:vMerge w:val="continue"/>
          </w:tcPr>
          <w:p>
            <w:pPr>
              <w:spacing w:after="0"/>
              <w:rPr>
                <w:sz w:val="11"/>
                <w:szCs w:val="11"/>
                <w:color w:val="auto"/>
              </w:rPr>
            </w:pPr>
          </w:p>
        </w:tc>
        <w:tc>
          <w:tcPr>
            <w:tcW w:w="2060" w:type="dxa"/>
            <w:vAlign w:val="bottom"/>
            <w:gridSpan w:val="2"/>
          </w:tcPr>
          <w:p>
            <w:pPr>
              <w:jc w:val="center"/>
              <w:ind w:right="212"/>
              <w:spacing w:after="0" w:line="135" w:lineRule="exact"/>
              <w:rPr>
                <w:sz w:val="20"/>
                <w:szCs w:val="20"/>
                <w:color w:val="auto"/>
              </w:rPr>
            </w:pPr>
            <w:r>
              <w:rPr>
                <w:rFonts w:ascii="Arial" w:cs="Arial" w:eastAsia="Arial" w:hAnsi="Arial"/>
                <w:sz w:val="14"/>
                <w:szCs w:val="14"/>
                <w:b w:val="1"/>
                <w:bCs w:val="1"/>
                <w:color w:val="auto"/>
                <w:w w:val="94"/>
              </w:rPr>
              <w:t>Average Capital</w:t>
            </w:r>
          </w:p>
        </w:tc>
        <w:tc>
          <w:tcPr>
            <w:tcW w:w="1260" w:type="dxa"/>
            <w:vAlign w:val="bottom"/>
          </w:tcPr>
          <w:p>
            <w:pPr>
              <w:jc w:val="center"/>
              <w:ind w:left="436"/>
              <w:spacing w:after="0" w:line="135" w:lineRule="exact"/>
              <w:rPr>
                <w:sz w:val="20"/>
                <w:szCs w:val="20"/>
                <w:color w:val="auto"/>
              </w:rPr>
            </w:pPr>
            <w:r>
              <w:rPr>
                <w:rFonts w:ascii="Arial" w:cs="Arial" w:eastAsia="Arial" w:hAnsi="Arial"/>
                <w:sz w:val="14"/>
                <w:szCs w:val="14"/>
                <w:b w:val="1"/>
                <w:bCs w:val="1"/>
                <w:color w:val="auto"/>
                <w:w w:val="96"/>
              </w:rPr>
              <w:t>Exploration</w:t>
            </w: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3040" w:type="dxa"/>
            <w:vAlign w:val="bottom"/>
          </w:tcPr>
          <w:p>
            <w:pPr>
              <w:spacing w:after="0"/>
              <w:rPr>
                <w:sz w:val="16"/>
                <w:szCs w:val="16"/>
                <w:color w:val="auto"/>
              </w:rPr>
            </w:pPr>
          </w:p>
        </w:tc>
        <w:tc>
          <w:tcPr>
            <w:tcW w:w="2160" w:type="dxa"/>
            <w:vAlign w:val="bottom"/>
            <w:tcBorders>
              <w:bottom w:val="single" w:sz="8" w:color="auto"/>
            </w:tcBorders>
            <w:gridSpan w:val="2"/>
          </w:tcPr>
          <w:p>
            <w:pPr>
              <w:jc w:val="right"/>
              <w:ind w:right="653"/>
              <w:spacing w:after="0"/>
              <w:rPr>
                <w:sz w:val="20"/>
                <w:szCs w:val="20"/>
                <w:color w:val="auto"/>
              </w:rPr>
            </w:pPr>
            <w:r>
              <w:rPr>
                <w:rFonts w:ascii="Arial" w:cs="Arial" w:eastAsia="Arial" w:hAnsi="Arial"/>
                <w:sz w:val="14"/>
                <w:szCs w:val="14"/>
                <w:b w:val="1"/>
                <w:bCs w:val="1"/>
                <w:color w:val="auto"/>
              </w:rPr>
              <w:t>Income Taxes</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Employed</w:t>
            </w:r>
          </w:p>
        </w:tc>
        <w:tc>
          <w:tcPr>
            <w:tcW w:w="8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left="476"/>
              <w:spacing w:after="0"/>
              <w:rPr>
                <w:sz w:val="20"/>
                <w:szCs w:val="20"/>
                <w:color w:val="auto"/>
              </w:rPr>
            </w:pPr>
            <w:r>
              <w:rPr>
                <w:rFonts w:ascii="Arial" w:cs="Arial" w:eastAsia="Arial" w:hAnsi="Arial"/>
                <w:sz w:val="14"/>
                <w:szCs w:val="14"/>
                <w:b w:val="1"/>
                <w:bCs w:val="1"/>
                <w:color w:val="auto"/>
                <w:w w:val="92"/>
              </w:rPr>
              <w:t>Employed</w:t>
            </w:r>
          </w:p>
        </w:tc>
        <w:tc>
          <w:tcPr>
            <w:tcW w:w="8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jc w:val="center"/>
              <w:ind w:right="12"/>
              <w:spacing w:after="0"/>
              <w:rPr>
                <w:sz w:val="20"/>
                <w:szCs w:val="20"/>
                <w:color w:val="auto"/>
              </w:rPr>
            </w:pPr>
            <w:r>
              <w:rPr>
                <w:rFonts w:ascii="Arial" w:cs="Arial" w:eastAsia="Arial" w:hAnsi="Arial"/>
                <w:sz w:val="14"/>
                <w:szCs w:val="14"/>
                <w:b w:val="1"/>
                <w:bCs w:val="1"/>
                <w:color w:val="auto"/>
                <w:w w:val="92"/>
              </w:rPr>
              <w:t>Expenditures</w:t>
            </w:r>
          </w:p>
        </w:tc>
        <w:tc>
          <w:tcPr>
            <w:tcW w:w="0" w:type="dxa"/>
            <w:vAlign w:val="bottom"/>
          </w:tcPr>
          <w:p>
            <w:pPr>
              <w:spacing w:after="0"/>
              <w:rPr>
                <w:sz w:val="1"/>
                <w:szCs w:val="1"/>
                <w:color w:val="auto"/>
              </w:rPr>
            </w:pPr>
          </w:p>
        </w:tc>
      </w:tr>
      <w:tr>
        <w:trPr>
          <w:trHeight w:val="212"/>
        </w:trPr>
        <w:tc>
          <w:tcPr>
            <w:tcW w:w="30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Financial</w:t>
            </w:r>
          </w:p>
        </w:tc>
        <w:tc>
          <w:tcPr>
            <w:tcW w:w="11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2021</w:t>
            </w:r>
          </w:p>
        </w:tc>
        <w:tc>
          <w:tcPr>
            <w:tcW w:w="104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124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2021</w:t>
            </w:r>
          </w:p>
        </w:tc>
        <w:tc>
          <w:tcPr>
            <w:tcW w:w="8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1220" w:type="dxa"/>
            <w:vAlign w:val="bottom"/>
            <w:tcBorders>
              <w:bottom w:val="single" w:sz="8" w:color="auto"/>
            </w:tcBorders>
          </w:tcPr>
          <w:p>
            <w:pPr>
              <w:jc w:val="right"/>
              <w:ind w:right="636"/>
              <w:spacing w:after="0"/>
              <w:rPr>
                <w:sz w:val="20"/>
                <w:szCs w:val="20"/>
                <w:color w:val="auto"/>
              </w:rPr>
            </w:pPr>
            <w:r>
              <w:rPr>
                <w:rFonts w:ascii="Arial" w:cs="Arial" w:eastAsia="Arial" w:hAnsi="Arial"/>
                <w:sz w:val="14"/>
                <w:szCs w:val="14"/>
                <w:b w:val="1"/>
                <w:bCs w:val="1"/>
                <w:color w:val="auto"/>
              </w:rPr>
              <w:t>2021</w:t>
            </w:r>
          </w:p>
        </w:tc>
        <w:tc>
          <w:tcPr>
            <w:tcW w:w="8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w w:val="96"/>
              </w:rPr>
              <w:t>2020</w:t>
            </w:r>
          </w:p>
        </w:tc>
        <w:tc>
          <w:tcPr>
            <w:tcW w:w="126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184"/>
        </w:trPr>
        <w:tc>
          <w:tcPr>
            <w:tcW w:w="30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80" w:type="dxa"/>
            <w:vAlign w:val="bottom"/>
            <w:gridSpan w:val="2"/>
          </w:tcPr>
          <w:p>
            <w:pPr>
              <w:jc w:val="right"/>
              <w:ind w:right="714"/>
              <w:spacing w:after="0"/>
              <w:rPr>
                <w:sz w:val="20"/>
                <w:szCs w:val="20"/>
                <w:color w:val="auto"/>
              </w:rPr>
            </w:pPr>
            <w:r>
              <w:rPr>
                <w:rFonts w:ascii="Arial" w:cs="Arial" w:eastAsia="Arial" w:hAnsi="Arial"/>
                <w:sz w:val="14"/>
                <w:szCs w:val="14"/>
                <w:i w:val="1"/>
                <w:iCs w:val="1"/>
                <w:color w:val="auto"/>
              </w:rPr>
              <w:t>(millions of dollars)</w:t>
            </w:r>
          </w:p>
        </w:tc>
        <w:tc>
          <w:tcPr>
            <w:tcW w:w="860" w:type="dxa"/>
            <w:vAlign w:val="bottom"/>
          </w:tcPr>
          <w:p>
            <w:pPr>
              <w:spacing w:after="0"/>
              <w:rPr>
                <w:sz w:val="16"/>
                <w:szCs w:val="16"/>
                <w:color w:val="auto"/>
              </w:rPr>
            </w:pPr>
          </w:p>
        </w:tc>
        <w:tc>
          <w:tcPr>
            <w:tcW w:w="1220" w:type="dxa"/>
            <w:vAlign w:val="bottom"/>
          </w:tcPr>
          <w:p>
            <w:pPr>
              <w:jc w:val="center"/>
              <w:ind w:left="456"/>
              <w:spacing w:after="0"/>
              <w:rPr>
                <w:sz w:val="20"/>
                <w:szCs w:val="20"/>
                <w:color w:val="auto"/>
              </w:rPr>
            </w:pPr>
            <w:r>
              <w:rPr>
                <w:rFonts w:ascii="Arial" w:cs="Arial" w:eastAsia="Arial" w:hAnsi="Arial"/>
                <w:sz w:val="14"/>
                <w:szCs w:val="14"/>
                <w:i w:val="1"/>
                <w:iCs w:val="1"/>
                <w:color w:val="auto"/>
                <w:w w:val="92"/>
              </w:rPr>
              <w:t>(percent)</w:t>
            </w:r>
          </w:p>
        </w:tc>
        <w:tc>
          <w:tcPr>
            <w:tcW w:w="840" w:type="dxa"/>
            <w:vAlign w:val="bottom"/>
          </w:tcPr>
          <w:p>
            <w:pPr>
              <w:spacing w:after="0"/>
              <w:rPr>
                <w:sz w:val="16"/>
                <w:szCs w:val="16"/>
                <w:color w:val="auto"/>
              </w:rPr>
            </w:pPr>
          </w:p>
        </w:tc>
        <w:tc>
          <w:tcPr>
            <w:tcW w:w="1880" w:type="dxa"/>
            <w:vAlign w:val="bottom"/>
            <w:gridSpan w:val="2"/>
          </w:tcPr>
          <w:p>
            <w:pPr>
              <w:jc w:val="center"/>
              <w:spacing w:after="0"/>
              <w:rPr>
                <w:sz w:val="20"/>
                <w:szCs w:val="20"/>
                <w:color w:val="auto"/>
              </w:rPr>
            </w:pPr>
            <w:r>
              <w:rPr>
                <w:rFonts w:ascii="Arial" w:cs="Arial" w:eastAsia="Arial" w:hAnsi="Arial"/>
                <w:sz w:val="14"/>
                <w:szCs w:val="14"/>
                <w:i w:val="1"/>
                <w:iCs w:val="1"/>
                <w:color w:val="auto"/>
                <w:w w:val="99"/>
              </w:rPr>
              <w:t>(millions of dollars)</w:t>
            </w:r>
          </w:p>
        </w:tc>
        <w:tc>
          <w:tcPr>
            <w:tcW w:w="0" w:type="dxa"/>
            <w:vAlign w:val="bottom"/>
          </w:tcPr>
          <w:p>
            <w:pPr>
              <w:spacing w:after="0"/>
              <w:rPr>
                <w:sz w:val="1"/>
                <w:szCs w:val="1"/>
                <w:color w:val="auto"/>
              </w:rPr>
            </w:pPr>
          </w:p>
        </w:tc>
      </w:tr>
      <w:tr>
        <w:trPr>
          <w:trHeight w:val="268"/>
        </w:trPr>
        <w:tc>
          <w:tcPr>
            <w:tcW w:w="3040" w:type="dxa"/>
            <w:vAlign w:val="bottom"/>
          </w:tcPr>
          <w:p>
            <w:pPr>
              <w:ind w:left="20"/>
              <w:spacing w:after="0"/>
              <w:rPr>
                <w:sz w:val="20"/>
                <w:szCs w:val="20"/>
                <w:color w:val="auto"/>
              </w:rPr>
            </w:pPr>
            <w:r>
              <w:rPr>
                <w:rFonts w:ascii="Arial" w:cs="Arial" w:eastAsia="Arial" w:hAnsi="Arial"/>
                <w:sz w:val="18"/>
                <w:szCs w:val="18"/>
                <w:color w:val="auto"/>
              </w:rPr>
              <w:t>Upstream</w:t>
            </w:r>
          </w:p>
        </w:tc>
        <w:tc>
          <w:tcPr>
            <w:tcW w:w="1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040" w:type="dxa"/>
            <w:vAlign w:val="bottom"/>
          </w:tcPr>
          <w:p>
            <w:pPr>
              <w:ind w:left="480"/>
              <w:spacing w:after="0"/>
              <w:rPr>
                <w:sz w:val="20"/>
                <w:szCs w:val="20"/>
                <w:color w:val="auto"/>
              </w:rPr>
            </w:pPr>
            <w:r>
              <w:rPr>
                <w:rFonts w:ascii="Arial" w:cs="Arial" w:eastAsia="Arial" w:hAnsi="Arial"/>
                <w:sz w:val="18"/>
                <w:szCs w:val="18"/>
                <w:color w:val="auto"/>
              </w:rPr>
              <w:t>United States</w:t>
            </w:r>
          </w:p>
        </w:tc>
        <w:tc>
          <w:tcPr>
            <w:tcW w:w="1120" w:type="dxa"/>
            <w:vAlign w:val="bottom"/>
          </w:tcPr>
          <w:p>
            <w:pPr>
              <w:jc w:val="right"/>
              <w:ind w:right="174"/>
              <w:spacing w:after="0"/>
              <w:rPr>
                <w:sz w:val="20"/>
                <w:szCs w:val="20"/>
                <w:color w:val="auto"/>
              </w:rPr>
            </w:pPr>
            <w:r>
              <w:rPr>
                <w:rFonts w:ascii="Arial" w:cs="Arial" w:eastAsia="Arial" w:hAnsi="Arial"/>
                <w:sz w:val="18"/>
                <w:szCs w:val="18"/>
                <w:color w:val="auto"/>
              </w:rPr>
              <w:t>3,663</w:t>
            </w:r>
          </w:p>
        </w:tc>
        <w:tc>
          <w:tcPr>
            <w:tcW w:w="1040" w:type="dxa"/>
            <w:vAlign w:val="bottom"/>
          </w:tcPr>
          <w:p>
            <w:pPr>
              <w:jc w:val="right"/>
              <w:ind w:right="133"/>
              <w:spacing w:after="0"/>
              <w:rPr>
                <w:sz w:val="20"/>
                <w:szCs w:val="20"/>
                <w:color w:val="auto"/>
              </w:rPr>
            </w:pPr>
            <w:r>
              <w:rPr>
                <w:rFonts w:ascii="Arial" w:cs="Arial" w:eastAsia="Arial" w:hAnsi="Arial"/>
                <w:sz w:val="18"/>
                <w:szCs w:val="18"/>
                <w:color w:val="auto"/>
              </w:rPr>
              <w:t>(19,385)</w:t>
            </w:r>
          </w:p>
        </w:tc>
        <w:tc>
          <w:tcPr>
            <w:tcW w:w="1240" w:type="dxa"/>
            <w:vAlign w:val="bottom"/>
          </w:tcPr>
          <w:p>
            <w:pPr>
              <w:jc w:val="right"/>
              <w:ind w:right="374"/>
              <w:spacing w:after="0"/>
              <w:rPr>
                <w:sz w:val="20"/>
                <w:szCs w:val="20"/>
                <w:color w:val="auto"/>
              </w:rPr>
            </w:pPr>
            <w:r>
              <w:rPr>
                <w:rFonts w:ascii="Arial" w:cs="Arial" w:eastAsia="Arial" w:hAnsi="Arial"/>
                <w:sz w:val="18"/>
                <w:szCs w:val="18"/>
                <w:color w:val="auto"/>
              </w:rPr>
              <w:t>55,305</w:t>
            </w:r>
          </w:p>
        </w:tc>
        <w:tc>
          <w:tcPr>
            <w:tcW w:w="860" w:type="dxa"/>
            <w:vAlign w:val="bottom"/>
          </w:tcPr>
          <w:p>
            <w:pPr>
              <w:jc w:val="right"/>
              <w:ind w:right="192"/>
              <w:spacing w:after="0"/>
              <w:rPr>
                <w:sz w:val="20"/>
                <w:szCs w:val="20"/>
                <w:color w:val="auto"/>
              </w:rPr>
            </w:pPr>
            <w:r>
              <w:rPr>
                <w:rFonts w:ascii="Arial" w:cs="Arial" w:eastAsia="Arial" w:hAnsi="Arial"/>
                <w:sz w:val="18"/>
                <w:szCs w:val="18"/>
                <w:color w:val="auto"/>
              </w:rPr>
              <w:t>65,780</w:t>
            </w:r>
          </w:p>
        </w:tc>
        <w:tc>
          <w:tcPr>
            <w:tcW w:w="1220" w:type="dxa"/>
            <w:vAlign w:val="bottom"/>
          </w:tcPr>
          <w:p>
            <w:pPr>
              <w:jc w:val="right"/>
              <w:ind w:right="336"/>
              <w:spacing w:after="0"/>
              <w:rPr>
                <w:sz w:val="20"/>
                <w:szCs w:val="20"/>
                <w:color w:val="auto"/>
              </w:rPr>
            </w:pPr>
            <w:r>
              <w:rPr>
                <w:rFonts w:ascii="Arial" w:cs="Arial" w:eastAsia="Arial" w:hAnsi="Arial"/>
                <w:sz w:val="18"/>
                <w:szCs w:val="18"/>
                <w:color w:val="auto"/>
              </w:rPr>
              <w:t>6.6</w:t>
            </w:r>
          </w:p>
        </w:tc>
        <w:tc>
          <w:tcPr>
            <w:tcW w:w="840" w:type="dxa"/>
            <w:vAlign w:val="bottom"/>
          </w:tcPr>
          <w:p>
            <w:pPr>
              <w:jc w:val="right"/>
              <w:ind w:right="132"/>
              <w:spacing w:after="0"/>
              <w:rPr>
                <w:sz w:val="20"/>
                <w:szCs w:val="20"/>
                <w:color w:val="auto"/>
              </w:rPr>
            </w:pPr>
            <w:r>
              <w:rPr>
                <w:rFonts w:ascii="Arial" w:cs="Arial" w:eastAsia="Arial" w:hAnsi="Arial"/>
                <w:sz w:val="18"/>
                <w:szCs w:val="18"/>
                <w:color w:val="auto"/>
              </w:rPr>
              <w:t>(29.5)</w:t>
            </w:r>
          </w:p>
        </w:tc>
        <w:tc>
          <w:tcPr>
            <w:tcW w:w="1260" w:type="dxa"/>
            <w:vAlign w:val="bottom"/>
          </w:tcPr>
          <w:p>
            <w:pPr>
              <w:jc w:val="right"/>
              <w:ind w:right="416"/>
              <w:spacing w:after="0"/>
              <w:rPr>
                <w:sz w:val="20"/>
                <w:szCs w:val="20"/>
                <w:color w:val="auto"/>
              </w:rPr>
            </w:pPr>
            <w:r>
              <w:rPr>
                <w:rFonts w:ascii="Arial" w:cs="Arial" w:eastAsia="Arial" w:hAnsi="Arial"/>
                <w:sz w:val="18"/>
                <w:szCs w:val="18"/>
                <w:color w:val="auto"/>
              </w:rPr>
              <w:t>4,018</w:t>
            </w:r>
          </w:p>
        </w:tc>
        <w:tc>
          <w:tcPr>
            <w:tcW w:w="620" w:type="dxa"/>
            <w:vAlign w:val="bottom"/>
          </w:tcPr>
          <w:p>
            <w:pPr>
              <w:jc w:val="right"/>
              <w:spacing w:after="0"/>
              <w:rPr>
                <w:sz w:val="20"/>
                <w:szCs w:val="20"/>
                <w:color w:val="auto"/>
              </w:rPr>
            </w:pPr>
            <w:r>
              <w:rPr>
                <w:rFonts w:ascii="Arial" w:cs="Arial" w:eastAsia="Arial" w:hAnsi="Arial"/>
                <w:sz w:val="18"/>
                <w:szCs w:val="18"/>
                <w:color w:val="auto"/>
              </w:rPr>
              <w:t>6,817</w:t>
            </w:r>
          </w:p>
        </w:tc>
        <w:tc>
          <w:tcPr>
            <w:tcW w:w="0" w:type="dxa"/>
            <w:vAlign w:val="bottom"/>
          </w:tcPr>
          <w:p>
            <w:pPr>
              <w:spacing w:after="0"/>
              <w:rPr>
                <w:sz w:val="1"/>
                <w:szCs w:val="1"/>
                <w:color w:val="auto"/>
              </w:rPr>
            </w:pPr>
          </w:p>
        </w:tc>
      </w:tr>
      <w:tr>
        <w:trPr>
          <w:trHeight w:val="230"/>
        </w:trPr>
        <w:tc>
          <w:tcPr>
            <w:tcW w:w="3040" w:type="dxa"/>
            <w:vAlign w:val="bottom"/>
          </w:tcPr>
          <w:p>
            <w:pPr>
              <w:ind w:left="480"/>
              <w:spacing w:after="0"/>
              <w:rPr>
                <w:sz w:val="20"/>
                <w:szCs w:val="20"/>
                <w:color w:val="auto"/>
              </w:rPr>
            </w:pPr>
            <w:r>
              <w:rPr>
                <w:rFonts w:ascii="Arial" w:cs="Arial" w:eastAsia="Arial" w:hAnsi="Arial"/>
                <w:sz w:val="18"/>
                <w:szCs w:val="18"/>
                <w:color w:val="auto"/>
              </w:rPr>
              <w:t>Non-U.S.</w:t>
            </w:r>
          </w:p>
        </w:tc>
        <w:tc>
          <w:tcPr>
            <w:tcW w:w="112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color w:val="auto"/>
              </w:rPr>
              <w:t>12,112</w:t>
            </w:r>
          </w:p>
        </w:tc>
        <w:tc>
          <w:tcPr>
            <w:tcW w:w="10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(645)</w:t>
            </w:r>
          </w:p>
        </w:tc>
        <w:tc>
          <w:tcPr>
            <w:tcW w:w="1240" w:type="dxa"/>
            <w:vAlign w:val="bottom"/>
            <w:tcBorders>
              <w:bottom w:val="single" w:sz="8" w:color="auto"/>
            </w:tcBorders>
          </w:tcPr>
          <w:p>
            <w:pPr>
              <w:jc w:val="right"/>
              <w:ind w:right="374"/>
              <w:spacing w:after="0"/>
              <w:rPr>
                <w:sz w:val="20"/>
                <w:szCs w:val="20"/>
                <w:color w:val="auto"/>
              </w:rPr>
            </w:pPr>
            <w:r>
              <w:rPr>
                <w:rFonts w:ascii="Arial" w:cs="Arial" w:eastAsia="Arial" w:hAnsi="Arial"/>
                <w:sz w:val="18"/>
                <w:szCs w:val="18"/>
                <w:color w:val="auto"/>
              </w:rPr>
              <w:t>101,645</w:t>
            </w:r>
          </w:p>
        </w:tc>
        <w:tc>
          <w:tcPr>
            <w:tcW w:w="8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86"/>
              </w:rPr>
              <w:t>107,506</w:t>
            </w:r>
          </w:p>
        </w:tc>
        <w:tc>
          <w:tcPr>
            <w:tcW w:w="1220" w:type="dxa"/>
            <w:vAlign w:val="bottom"/>
            <w:tcBorders>
              <w:bottom w:val="single" w:sz="8" w:color="auto"/>
            </w:tcBorders>
          </w:tcPr>
          <w:p>
            <w:pPr>
              <w:jc w:val="right"/>
              <w:ind w:right="336"/>
              <w:spacing w:after="0"/>
              <w:rPr>
                <w:sz w:val="20"/>
                <w:szCs w:val="20"/>
                <w:color w:val="auto"/>
              </w:rPr>
            </w:pPr>
            <w:r>
              <w:rPr>
                <w:rFonts w:ascii="Arial" w:cs="Arial" w:eastAsia="Arial" w:hAnsi="Arial"/>
                <w:sz w:val="18"/>
                <w:szCs w:val="18"/>
                <w:color w:val="auto"/>
              </w:rPr>
              <w:t>11.9</w:t>
            </w:r>
          </w:p>
        </w:tc>
        <w:tc>
          <w:tcPr>
            <w:tcW w:w="8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(0.6)</w:t>
            </w:r>
          </w:p>
        </w:tc>
        <w:tc>
          <w:tcPr>
            <w:tcW w:w="1260" w:type="dxa"/>
            <w:vAlign w:val="bottom"/>
            <w:tcBorders>
              <w:bottom w:val="single" w:sz="8" w:color="auto"/>
            </w:tcBorders>
          </w:tcPr>
          <w:p>
            <w:pPr>
              <w:jc w:val="right"/>
              <w:ind w:right="416"/>
              <w:spacing w:after="0"/>
              <w:rPr>
                <w:sz w:val="20"/>
                <w:szCs w:val="20"/>
                <w:color w:val="auto"/>
              </w:rPr>
            </w:pPr>
            <w:r>
              <w:rPr>
                <w:rFonts w:ascii="Arial" w:cs="Arial" w:eastAsia="Arial" w:hAnsi="Arial"/>
                <w:sz w:val="18"/>
                <w:szCs w:val="18"/>
                <w:color w:val="auto"/>
              </w:rPr>
              <w:t>8,236</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7,614</w:t>
            </w:r>
          </w:p>
        </w:tc>
        <w:tc>
          <w:tcPr>
            <w:tcW w:w="0" w:type="dxa"/>
            <w:vAlign w:val="bottom"/>
          </w:tcPr>
          <w:p>
            <w:pPr>
              <w:spacing w:after="0"/>
              <w:rPr>
                <w:sz w:val="1"/>
                <w:szCs w:val="1"/>
                <w:color w:val="auto"/>
              </w:rPr>
            </w:pPr>
          </w:p>
        </w:tc>
      </w:tr>
      <w:tr>
        <w:trPr>
          <w:trHeight w:val="223"/>
        </w:trPr>
        <w:tc>
          <w:tcPr>
            <w:tcW w:w="3040" w:type="dxa"/>
            <w:vAlign w:val="bottom"/>
          </w:tcPr>
          <w:p>
            <w:pPr>
              <w:ind w:left="880"/>
              <w:spacing w:after="0"/>
              <w:rPr>
                <w:sz w:val="20"/>
                <w:szCs w:val="20"/>
                <w:color w:val="auto"/>
              </w:rPr>
            </w:pPr>
            <w:r>
              <w:rPr>
                <w:rFonts w:ascii="Arial" w:cs="Arial" w:eastAsia="Arial" w:hAnsi="Arial"/>
                <w:sz w:val="18"/>
                <w:szCs w:val="18"/>
                <w:color w:val="auto"/>
              </w:rPr>
              <w:t>Total</w:t>
            </w:r>
          </w:p>
        </w:tc>
        <w:tc>
          <w:tcPr>
            <w:tcW w:w="112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color w:val="auto"/>
              </w:rPr>
              <w:t>15,775</w:t>
            </w:r>
          </w:p>
        </w:tc>
        <w:tc>
          <w:tcPr>
            <w:tcW w:w="10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(20,030)</w:t>
            </w:r>
          </w:p>
        </w:tc>
        <w:tc>
          <w:tcPr>
            <w:tcW w:w="1240" w:type="dxa"/>
            <w:vAlign w:val="bottom"/>
            <w:tcBorders>
              <w:bottom w:val="single" w:sz="8" w:color="auto"/>
            </w:tcBorders>
          </w:tcPr>
          <w:p>
            <w:pPr>
              <w:jc w:val="right"/>
              <w:ind w:right="374"/>
              <w:spacing w:after="0"/>
              <w:rPr>
                <w:sz w:val="20"/>
                <w:szCs w:val="20"/>
                <w:color w:val="auto"/>
              </w:rPr>
            </w:pPr>
            <w:r>
              <w:rPr>
                <w:rFonts w:ascii="Arial" w:cs="Arial" w:eastAsia="Arial" w:hAnsi="Arial"/>
                <w:sz w:val="18"/>
                <w:szCs w:val="18"/>
                <w:color w:val="auto"/>
              </w:rPr>
              <w:t>156,950</w:t>
            </w:r>
          </w:p>
        </w:tc>
        <w:tc>
          <w:tcPr>
            <w:tcW w:w="8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86"/>
              </w:rPr>
              <w:t>173,286</w:t>
            </w:r>
          </w:p>
        </w:tc>
        <w:tc>
          <w:tcPr>
            <w:tcW w:w="1220" w:type="dxa"/>
            <w:vAlign w:val="bottom"/>
            <w:tcBorders>
              <w:bottom w:val="single" w:sz="8" w:color="auto"/>
            </w:tcBorders>
          </w:tcPr>
          <w:p>
            <w:pPr>
              <w:jc w:val="right"/>
              <w:ind w:right="336"/>
              <w:spacing w:after="0"/>
              <w:rPr>
                <w:sz w:val="20"/>
                <w:szCs w:val="20"/>
                <w:color w:val="auto"/>
              </w:rPr>
            </w:pPr>
            <w:r>
              <w:rPr>
                <w:rFonts w:ascii="Arial" w:cs="Arial" w:eastAsia="Arial" w:hAnsi="Arial"/>
                <w:sz w:val="18"/>
                <w:szCs w:val="18"/>
                <w:color w:val="auto"/>
              </w:rPr>
              <w:t>10.1</w:t>
            </w:r>
          </w:p>
        </w:tc>
        <w:tc>
          <w:tcPr>
            <w:tcW w:w="8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(11.6)</w:t>
            </w:r>
          </w:p>
        </w:tc>
        <w:tc>
          <w:tcPr>
            <w:tcW w:w="1260" w:type="dxa"/>
            <w:vAlign w:val="bottom"/>
            <w:tcBorders>
              <w:bottom w:val="single" w:sz="8" w:color="auto"/>
            </w:tcBorders>
          </w:tcPr>
          <w:p>
            <w:pPr>
              <w:jc w:val="right"/>
              <w:ind w:right="416"/>
              <w:spacing w:after="0"/>
              <w:rPr>
                <w:sz w:val="20"/>
                <w:szCs w:val="20"/>
                <w:color w:val="auto"/>
              </w:rPr>
            </w:pPr>
            <w:r>
              <w:rPr>
                <w:rFonts w:ascii="Arial" w:cs="Arial" w:eastAsia="Arial" w:hAnsi="Arial"/>
                <w:sz w:val="18"/>
                <w:szCs w:val="18"/>
                <w:color w:val="auto"/>
              </w:rPr>
              <w:t>12,254</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14,431</w:t>
            </w:r>
          </w:p>
        </w:tc>
        <w:tc>
          <w:tcPr>
            <w:tcW w:w="0" w:type="dxa"/>
            <w:vAlign w:val="bottom"/>
          </w:tcPr>
          <w:p>
            <w:pPr>
              <w:spacing w:after="0"/>
              <w:rPr>
                <w:sz w:val="1"/>
                <w:szCs w:val="1"/>
                <w:color w:val="auto"/>
              </w:rPr>
            </w:pPr>
          </w:p>
        </w:tc>
      </w:tr>
      <w:tr>
        <w:trPr>
          <w:trHeight w:val="209"/>
        </w:trPr>
        <w:tc>
          <w:tcPr>
            <w:tcW w:w="3040" w:type="dxa"/>
            <w:vAlign w:val="bottom"/>
          </w:tcPr>
          <w:p>
            <w:pPr>
              <w:ind w:left="20"/>
              <w:spacing w:after="0"/>
              <w:rPr>
                <w:sz w:val="20"/>
                <w:szCs w:val="20"/>
                <w:color w:val="auto"/>
              </w:rPr>
            </w:pPr>
            <w:r>
              <w:rPr>
                <w:rFonts w:ascii="Arial" w:cs="Arial" w:eastAsia="Arial" w:hAnsi="Arial"/>
                <w:sz w:val="18"/>
                <w:szCs w:val="18"/>
                <w:color w:val="auto"/>
              </w:rPr>
              <w:t>Downstream</w:t>
            </w:r>
          </w:p>
        </w:tc>
        <w:tc>
          <w:tcPr>
            <w:tcW w:w="1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040" w:type="dxa"/>
            <w:vAlign w:val="bottom"/>
          </w:tcPr>
          <w:p>
            <w:pPr>
              <w:ind w:left="480"/>
              <w:spacing w:after="0"/>
              <w:rPr>
                <w:sz w:val="20"/>
                <w:szCs w:val="20"/>
                <w:color w:val="auto"/>
              </w:rPr>
            </w:pPr>
            <w:r>
              <w:rPr>
                <w:rFonts w:ascii="Arial" w:cs="Arial" w:eastAsia="Arial" w:hAnsi="Arial"/>
                <w:sz w:val="18"/>
                <w:szCs w:val="18"/>
                <w:color w:val="auto"/>
              </w:rPr>
              <w:t>United States</w:t>
            </w:r>
          </w:p>
        </w:tc>
        <w:tc>
          <w:tcPr>
            <w:tcW w:w="1120" w:type="dxa"/>
            <w:vAlign w:val="bottom"/>
          </w:tcPr>
          <w:p>
            <w:pPr>
              <w:jc w:val="right"/>
              <w:ind w:right="174"/>
              <w:spacing w:after="0"/>
              <w:rPr>
                <w:sz w:val="20"/>
                <w:szCs w:val="20"/>
                <w:color w:val="auto"/>
              </w:rPr>
            </w:pPr>
            <w:r>
              <w:rPr>
                <w:rFonts w:ascii="Arial" w:cs="Arial" w:eastAsia="Arial" w:hAnsi="Arial"/>
                <w:sz w:val="18"/>
                <w:szCs w:val="18"/>
                <w:color w:val="auto"/>
              </w:rPr>
              <w:t>1,314</w:t>
            </w:r>
          </w:p>
        </w:tc>
        <w:tc>
          <w:tcPr>
            <w:tcW w:w="1040" w:type="dxa"/>
            <w:vAlign w:val="bottom"/>
          </w:tcPr>
          <w:p>
            <w:pPr>
              <w:jc w:val="right"/>
              <w:ind w:right="133"/>
              <w:spacing w:after="0"/>
              <w:rPr>
                <w:sz w:val="20"/>
                <w:szCs w:val="20"/>
                <w:color w:val="auto"/>
              </w:rPr>
            </w:pPr>
            <w:r>
              <w:rPr>
                <w:rFonts w:ascii="Arial" w:cs="Arial" w:eastAsia="Arial" w:hAnsi="Arial"/>
                <w:sz w:val="18"/>
                <w:szCs w:val="18"/>
                <w:color w:val="auto"/>
              </w:rPr>
              <w:t>(852)</w:t>
            </w:r>
          </w:p>
        </w:tc>
        <w:tc>
          <w:tcPr>
            <w:tcW w:w="1240" w:type="dxa"/>
            <w:vAlign w:val="bottom"/>
          </w:tcPr>
          <w:p>
            <w:pPr>
              <w:jc w:val="right"/>
              <w:ind w:right="374"/>
              <w:spacing w:after="0"/>
              <w:rPr>
                <w:sz w:val="20"/>
                <w:szCs w:val="20"/>
                <w:color w:val="auto"/>
              </w:rPr>
            </w:pPr>
            <w:r>
              <w:rPr>
                <w:rFonts w:ascii="Arial" w:cs="Arial" w:eastAsia="Arial" w:hAnsi="Arial"/>
                <w:sz w:val="18"/>
                <w:szCs w:val="18"/>
                <w:color w:val="auto"/>
              </w:rPr>
              <w:t>12,292</w:t>
            </w:r>
          </w:p>
        </w:tc>
        <w:tc>
          <w:tcPr>
            <w:tcW w:w="860" w:type="dxa"/>
            <w:vAlign w:val="bottom"/>
          </w:tcPr>
          <w:p>
            <w:pPr>
              <w:jc w:val="right"/>
              <w:ind w:right="192"/>
              <w:spacing w:after="0"/>
              <w:rPr>
                <w:sz w:val="20"/>
                <w:szCs w:val="20"/>
                <w:color w:val="auto"/>
              </w:rPr>
            </w:pPr>
            <w:r>
              <w:rPr>
                <w:rFonts w:ascii="Arial" w:cs="Arial" w:eastAsia="Arial" w:hAnsi="Arial"/>
                <w:sz w:val="18"/>
                <w:szCs w:val="18"/>
                <w:color w:val="auto"/>
              </w:rPr>
              <w:t>11,472</w:t>
            </w:r>
          </w:p>
        </w:tc>
        <w:tc>
          <w:tcPr>
            <w:tcW w:w="1220" w:type="dxa"/>
            <w:vAlign w:val="bottom"/>
          </w:tcPr>
          <w:p>
            <w:pPr>
              <w:jc w:val="right"/>
              <w:ind w:right="336"/>
              <w:spacing w:after="0"/>
              <w:rPr>
                <w:sz w:val="20"/>
                <w:szCs w:val="20"/>
                <w:color w:val="auto"/>
              </w:rPr>
            </w:pPr>
            <w:r>
              <w:rPr>
                <w:rFonts w:ascii="Arial" w:cs="Arial" w:eastAsia="Arial" w:hAnsi="Arial"/>
                <w:sz w:val="18"/>
                <w:szCs w:val="18"/>
                <w:color w:val="auto"/>
              </w:rPr>
              <w:t>10.7</w:t>
            </w:r>
          </w:p>
        </w:tc>
        <w:tc>
          <w:tcPr>
            <w:tcW w:w="840" w:type="dxa"/>
            <w:vAlign w:val="bottom"/>
          </w:tcPr>
          <w:p>
            <w:pPr>
              <w:jc w:val="right"/>
              <w:ind w:right="132"/>
              <w:spacing w:after="0"/>
              <w:rPr>
                <w:sz w:val="20"/>
                <w:szCs w:val="20"/>
                <w:color w:val="auto"/>
              </w:rPr>
            </w:pPr>
            <w:r>
              <w:rPr>
                <w:rFonts w:ascii="Arial" w:cs="Arial" w:eastAsia="Arial" w:hAnsi="Arial"/>
                <w:sz w:val="18"/>
                <w:szCs w:val="18"/>
                <w:color w:val="auto"/>
              </w:rPr>
              <w:t>(7.4)</w:t>
            </w:r>
          </w:p>
        </w:tc>
        <w:tc>
          <w:tcPr>
            <w:tcW w:w="1260" w:type="dxa"/>
            <w:vAlign w:val="bottom"/>
          </w:tcPr>
          <w:p>
            <w:pPr>
              <w:jc w:val="right"/>
              <w:ind w:right="416"/>
              <w:spacing w:after="0"/>
              <w:rPr>
                <w:sz w:val="20"/>
                <w:szCs w:val="20"/>
                <w:color w:val="auto"/>
              </w:rPr>
            </w:pPr>
            <w:r>
              <w:rPr>
                <w:rFonts w:ascii="Arial" w:cs="Arial" w:eastAsia="Arial" w:hAnsi="Arial"/>
                <w:sz w:val="18"/>
                <w:szCs w:val="18"/>
                <w:color w:val="auto"/>
              </w:rPr>
              <w:t>1,000</w:t>
            </w:r>
          </w:p>
        </w:tc>
        <w:tc>
          <w:tcPr>
            <w:tcW w:w="620" w:type="dxa"/>
            <w:vAlign w:val="bottom"/>
          </w:tcPr>
          <w:p>
            <w:pPr>
              <w:jc w:val="right"/>
              <w:spacing w:after="0"/>
              <w:rPr>
                <w:sz w:val="20"/>
                <w:szCs w:val="20"/>
                <w:color w:val="auto"/>
              </w:rPr>
            </w:pPr>
            <w:r>
              <w:rPr>
                <w:rFonts w:ascii="Arial" w:cs="Arial" w:eastAsia="Arial" w:hAnsi="Arial"/>
                <w:sz w:val="18"/>
                <w:szCs w:val="18"/>
                <w:color w:val="auto"/>
              </w:rPr>
              <w:t>2,344</w:t>
            </w:r>
          </w:p>
        </w:tc>
        <w:tc>
          <w:tcPr>
            <w:tcW w:w="0" w:type="dxa"/>
            <w:vAlign w:val="bottom"/>
          </w:tcPr>
          <w:p>
            <w:pPr>
              <w:spacing w:after="0"/>
              <w:rPr>
                <w:sz w:val="1"/>
                <w:szCs w:val="1"/>
                <w:color w:val="auto"/>
              </w:rPr>
            </w:pPr>
          </w:p>
        </w:tc>
      </w:tr>
      <w:tr>
        <w:trPr>
          <w:trHeight w:val="230"/>
        </w:trPr>
        <w:tc>
          <w:tcPr>
            <w:tcW w:w="3040" w:type="dxa"/>
            <w:vAlign w:val="bottom"/>
          </w:tcPr>
          <w:p>
            <w:pPr>
              <w:ind w:left="480"/>
              <w:spacing w:after="0"/>
              <w:rPr>
                <w:sz w:val="20"/>
                <w:szCs w:val="20"/>
                <w:color w:val="auto"/>
              </w:rPr>
            </w:pPr>
            <w:r>
              <w:rPr>
                <w:rFonts w:ascii="Arial" w:cs="Arial" w:eastAsia="Arial" w:hAnsi="Arial"/>
                <w:sz w:val="18"/>
                <w:szCs w:val="18"/>
                <w:color w:val="auto"/>
              </w:rPr>
              <w:t>Non-U.S.</w:t>
            </w:r>
          </w:p>
        </w:tc>
        <w:tc>
          <w:tcPr>
            <w:tcW w:w="112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color w:val="auto"/>
              </w:rPr>
              <w:t>791</w:t>
            </w:r>
          </w:p>
        </w:tc>
        <w:tc>
          <w:tcPr>
            <w:tcW w:w="10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(225)</w:t>
            </w:r>
          </w:p>
        </w:tc>
        <w:tc>
          <w:tcPr>
            <w:tcW w:w="1240" w:type="dxa"/>
            <w:vAlign w:val="bottom"/>
            <w:tcBorders>
              <w:bottom w:val="single" w:sz="8" w:color="auto"/>
            </w:tcBorders>
          </w:tcPr>
          <w:p>
            <w:pPr>
              <w:jc w:val="right"/>
              <w:ind w:right="374"/>
              <w:spacing w:after="0"/>
              <w:rPr>
                <w:sz w:val="20"/>
                <w:szCs w:val="20"/>
                <w:color w:val="auto"/>
              </w:rPr>
            </w:pPr>
            <w:r>
              <w:rPr>
                <w:rFonts w:ascii="Arial" w:cs="Arial" w:eastAsia="Arial" w:hAnsi="Arial"/>
                <w:sz w:val="18"/>
                <w:szCs w:val="18"/>
                <w:color w:val="auto"/>
              </w:rPr>
              <w:t>18,929</w:t>
            </w:r>
          </w:p>
        </w:tc>
        <w:tc>
          <w:tcPr>
            <w:tcW w:w="8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18,682</w:t>
            </w:r>
          </w:p>
        </w:tc>
        <w:tc>
          <w:tcPr>
            <w:tcW w:w="1220" w:type="dxa"/>
            <w:vAlign w:val="bottom"/>
            <w:tcBorders>
              <w:bottom w:val="single" w:sz="8" w:color="auto"/>
            </w:tcBorders>
          </w:tcPr>
          <w:p>
            <w:pPr>
              <w:jc w:val="right"/>
              <w:ind w:right="336"/>
              <w:spacing w:after="0"/>
              <w:rPr>
                <w:sz w:val="20"/>
                <w:szCs w:val="20"/>
                <w:color w:val="auto"/>
              </w:rPr>
            </w:pPr>
            <w:r>
              <w:rPr>
                <w:rFonts w:ascii="Arial" w:cs="Arial" w:eastAsia="Arial" w:hAnsi="Arial"/>
                <w:sz w:val="18"/>
                <w:szCs w:val="18"/>
                <w:color w:val="auto"/>
              </w:rPr>
              <w:t>4.2</w:t>
            </w:r>
          </w:p>
        </w:tc>
        <w:tc>
          <w:tcPr>
            <w:tcW w:w="8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(1.2)</w:t>
            </w:r>
          </w:p>
        </w:tc>
        <w:tc>
          <w:tcPr>
            <w:tcW w:w="1260" w:type="dxa"/>
            <w:vAlign w:val="bottom"/>
            <w:tcBorders>
              <w:bottom w:val="single" w:sz="8" w:color="auto"/>
            </w:tcBorders>
          </w:tcPr>
          <w:p>
            <w:pPr>
              <w:jc w:val="right"/>
              <w:ind w:right="416"/>
              <w:spacing w:after="0"/>
              <w:rPr>
                <w:sz w:val="20"/>
                <w:szCs w:val="20"/>
                <w:color w:val="auto"/>
              </w:rPr>
            </w:pPr>
            <w:r>
              <w:rPr>
                <w:rFonts w:ascii="Arial" w:cs="Arial" w:eastAsia="Arial" w:hAnsi="Arial"/>
                <w:sz w:val="18"/>
                <w:szCs w:val="18"/>
                <w:color w:val="auto"/>
              </w:rPr>
              <w:t>1,095</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1,877</w:t>
            </w:r>
          </w:p>
        </w:tc>
        <w:tc>
          <w:tcPr>
            <w:tcW w:w="0" w:type="dxa"/>
            <w:vAlign w:val="bottom"/>
          </w:tcPr>
          <w:p>
            <w:pPr>
              <w:spacing w:after="0"/>
              <w:rPr>
                <w:sz w:val="1"/>
                <w:szCs w:val="1"/>
                <w:color w:val="auto"/>
              </w:rPr>
            </w:pPr>
          </w:p>
        </w:tc>
      </w:tr>
      <w:tr>
        <w:trPr>
          <w:trHeight w:val="223"/>
        </w:trPr>
        <w:tc>
          <w:tcPr>
            <w:tcW w:w="3040" w:type="dxa"/>
            <w:vAlign w:val="bottom"/>
          </w:tcPr>
          <w:p>
            <w:pPr>
              <w:ind w:left="880"/>
              <w:spacing w:after="0"/>
              <w:rPr>
                <w:sz w:val="20"/>
                <w:szCs w:val="20"/>
                <w:color w:val="auto"/>
              </w:rPr>
            </w:pPr>
            <w:r>
              <w:rPr>
                <w:rFonts w:ascii="Arial" w:cs="Arial" w:eastAsia="Arial" w:hAnsi="Arial"/>
                <w:sz w:val="18"/>
                <w:szCs w:val="18"/>
                <w:color w:val="auto"/>
              </w:rPr>
              <w:t>Total</w:t>
            </w:r>
          </w:p>
        </w:tc>
        <w:tc>
          <w:tcPr>
            <w:tcW w:w="112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color w:val="auto"/>
              </w:rPr>
              <w:t>2,105</w:t>
            </w:r>
          </w:p>
        </w:tc>
        <w:tc>
          <w:tcPr>
            <w:tcW w:w="10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(1,077)</w:t>
            </w:r>
          </w:p>
        </w:tc>
        <w:tc>
          <w:tcPr>
            <w:tcW w:w="1240" w:type="dxa"/>
            <w:vAlign w:val="bottom"/>
            <w:tcBorders>
              <w:bottom w:val="single" w:sz="8" w:color="auto"/>
            </w:tcBorders>
          </w:tcPr>
          <w:p>
            <w:pPr>
              <w:jc w:val="right"/>
              <w:ind w:right="374"/>
              <w:spacing w:after="0"/>
              <w:rPr>
                <w:sz w:val="20"/>
                <w:szCs w:val="20"/>
                <w:color w:val="auto"/>
              </w:rPr>
            </w:pPr>
            <w:r>
              <w:rPr>
                <w:rFonts w:ascii="Arial" w:cs="Arial" w:eastAsia="Arial" w:hAnsi="Arial"/>
                <w:sz w:val="18"/>
                <w:szCs w:val="18"/>
                <w:color w:val="auto"/>
              </w:rPr>
              <w:t>31,221</w:t>
            </w:r>
          </w:p>
        </w:tc>
        <w:tc>
          <w:tcPr>
            <w:tcW w:w="8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30,154</w:t>
            </w:r>
          </w:p>
        </w:tc>
        <w:tc>
          <w:tcPr>
            <w:tcW w:w="1220" w:type="dxa"/>
            <w:vAlign w:val="bottom"/>
            <w:tcBorders>
              <w:bottom w:val="single" w:sz="8" w:color="auto"/>
            </w:tcBorders>
          </w:tcPr>
          <w:p>
            <w:pPr>
              <w:jc w:val="right"/>
              <w:ind w:right="336"/>
              <w:spacing w:after="0"/>
              <w:rPr>
                <w:sz w:val="20"/>
                <w:szCs w:val="20"/>
                <w:color w:val="auto"/>
              </w:rPr>
            </w:pPr>
            <w:r>
              <w:rPr>
                <w:rFonts w:ascii="Arial" w:cs="Arial" w:eastAsia="Arial" w:hAnsi="Arial"/>
                <w:sz w:val="18"/>
                <w:szCs w:val="18"/>
                <w:color w:val="auto"/>
              </w:rPr>
              <w:t>6.7</w:t>
            </w:r>
          </w:p>
        </w:tc>
        <w:tc>
          <w:tcPr>
            <w:tcW w:w="8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(3.6)</w:t>
            </w:r>
          </w:p>
        </w:tc>
        <w:tc>
          <w:tcPr>
            <w:tcW w:w="1260" w:type="dxa"/>
            <w:vAlign w:val="bottom"/>
            <w:tcBorders>
              <w:bottom w:val="single" w:sz="8" w:color="auto"/>
            </w:tcBorders>
          </w:tcPr>
          <w:p>
            <w:pPr>
              <w:jc w:val="right"/>
              <w:ind w:right="416"/>
              <w:spacing w:after="0"/>
              <w:rPr>
                <w:sz w:val="20"/>
                <w:szCs w:val="20"/>
                <w:color w:val="auto"/>
              </w:rPr>
            </w:pPr>
            <w:r>
              <w:rPr>
                <w:rFonts w:ascii="Arial" w:cs="Arial" w:eastAsia="Arial" w:hAnsi="Arial"/>
                <w:sz w:val="18"/>
                <w:szCs w:val="18"/>
                <w:color w:val="auto"/>
              </w:rPr>
              <w:t>2,095</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4,221</w:t>
            </w:r>
          </w:p>
        </w:tc>
        <w:tc>
          <w:tcPr>
            <w:tcW w:w="0" w:type="dxa"/>
            <w:vAlign w:val="bottom"/>
          </w:tcPr>
          <w:p>
            <w:pPr>
              <w:spacing w:after="0"/>
              <w:rPr>
                <w:sz w:val="1"/>
                <w:szCs w:val="1"/>
                <w:color w:val="auto"/>
              </w:rPr>
            </w:pPr>
          </w:p>
        </w:tc>
      </w:tr>
      <w:tr>
        <w:trPr>
          <w:trHeight w:val="209"/>
        </w:trPr>
        <w:tc>
          <w:tcPr>
            <w:tcW w:w="3040" w:type="dxa"/>
            <w:vAlign w:val="bottom"/>
          </w:tcPr>
          <w:p>
            <w:pPr>
              <w:ind w:left="20"/>
              <w:spacing w:after="0"/>
              <w:rPr>
                <w:sz w:val="20"/>
                <w:szCs w:val="20"/>
                <w:color w:val="auto"/>
              </w:rPr>
            </w:pPr>
            <w:r>
              <w:rPr>
                <w:rFonts w:ascii="Arial" w:cs="Arial" w:eastAsia="Arial" w:hAnsi="Arial"/>
                <w:sz w:val="18"/>
                <w:szCs w:val="18"/>
                <w:color w:val="auto"/>
              </w:rPr>
              <w:t>Chemical</w:t>
            </w:r>
          </w:p>
        </w:tc>
        <w:tc>
          <w:tcPr>
            <w:tcW w:w="1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40" w:type="dxa"/>
            <w:vAlign w:val="bottom"/>
          </w:tcPr>
          <w:p>
            <w:pPr>
              <w:ind w:left="480"/>
              <w:spacing w:after="0"/>
              <w:rPr>
                <w:sz w:val="20"/>
                <w:szCs w:val="20"/>
                <w:color w:val="auto"/>
              </w:rPr>
            </w:pPr>
            <w:r>
              <w:rPr>
                <w:rFonts w:ascii="Arial" w:cs="Arial" w:eastAsia="Arial" w:hAnsi="Arial"/>
                <w:sz w:val="18"/>
                <w:szCs w:val="18"/>
                <w:color w:val="auto"/>
              </w:rPr>
              <w:t>United States</w:t>
            </w:r>
          </w:p>
        </w:tc>
        <w:tc>
          <w:tcPr>
            <w:tcW w:w="1120" w:type="dxa"/>
            <w:vAlign w:val="bottom"/>
          </w:tcPr>
          <w:p>
            <w:pPr>
              <w:jc w:val="right"/>
              <w:ind w:right="174"/>
              <w:spacing w:after="0"/>
              <w:rPr>
                <w:sz w:val="20"/>
                <w:szCs w:val="20"/>
                <w:color w:val="auto"/>
              </w:rPr>
            </w:pPr>
            <w:r>
              <w:rPr>
                <w:rFonts w:ascii="Arial" w:cs="Arial" w:eastAsia="Arial" w:hAnsi="Arial"/>
                <w:sz w:val="18"/>
                <w:szCs w:val="18"/>
                <w:color w:val="auto"/>
              </w:rPr>
              <w:t>4,502</w:t>
            </w:r>
          </w:p>
        </w:tc>
        <w:tc>
          <w:tcPr>
            <w:tcW w:w="1040" w:type="dxa"/>
            <w:vAlign w:val="bottom"/>
          </w:tcPr>
          <w:p>
            <w:pPr>
              <w:jc w:val="right"/>
              <w:ind w:right="173"/>
              <w:spacing w:after="0"/>
              <w:rPr>
                <w:sz w:val="20"/>
                <w:szCs w:val="20"/>
                <w:color w:val="auto"/>
              </w:rPr>
            </w:pPr>
            <w:r>
              <w:rPr>
                <w:rFonts w:ascii="Arial" w:cs="Arial" w:eastAsia="Arial" w:hAnsi="Arial"/>
                <w:sz w:val="18"/>
                <w:szCs w:val="18"/>
                <w:color w:val="auto"/>
              </w:rPr>
              <w:t>1,277</w:t>
            </w:r>
          </w:p>
        </w:tc>
        <w:tc>
          <w:tcPr>
            <w:tcW w:w="1240" w:type="dxa"/>
            <w:vAlign w:val="bottom"/>
          </w:tcPr>
          <w:p>
            <w:pPr>
              <w:jc w:val="right"/>
              <w:ind w:right="374"/>
              <w:spacing w:after="0"/>
              <w:rPr>
                <w:sz w:val="20"/>
                <w:szCs w:val="20"/>
                <w:color w:val="auto"/>
              </w:rPr>
            </w:pPr>
            <w:r>
              <w:rPr>
                <w:rFonts w:ascii="Arial" w:cs="Arial" w:eastAsia="Arial" w:hAnsi="Arial"/>
                <w:sz w:val="18"/>
                <w:szCs w:val="18"/>
                <w:color w:val="auto"/>
              </w:rPr>
              <w:t>15,714</w:t>
            </w:r>
          </w:p>
        </w:tc>
        <w:tc>
          <w:tcPr>
            <w:tcW w:w="860" w:type="dxa"/>
            <w:vAlign w:val="bottom"/>
          </w:tcPr>
          <w:p>
            <w:pPr>
              <w:jc w:val="right"/>
              <w:ind w:right="192"/>
              <w:spacing w:after="0"/>
              <w:rPr>
                <w:sz w:val="20"/>
                <w:szCs w:val="20"/>
                <w:color w:val="auto"/>
              </w:rPr>
            </w:pPr>
            <w:r>
              <w:rPr>
                <w:rFonts w:ascii="Arial" w:cs="Arial" w:eastAsia="Arial" w:hAnsi="Arial"/>
                <w:sz w:val="18"/>
                <w:szCs w:val="18"/>
                <w:color w:val="auto"/>
              </w:rPr>
              <w:t>14,436</w:t>
            </w:r>
          </w:p>
        </w:tc>
        <w:tc>
          <w:tcPr>
            <w:tcW w:w="1220" w:type="dxa"/>
            <w:vAlign w:val="bottom"/>
          </w:tcPr>
          <w:p>
            <w:pPr>
              <w:jc w:val="right"/>
              <w:ind w:right="336"/>
              <w:spacing w:after="0"/>
              <w:rPr>
                <w:sz w:val="20"/>
                <w:szCs w:val="20"/>
                <w:color w:val="auto"/>
              </w:rPr>
            </w:pPr>
            <w:r>
              <w:rPr>
                <w:rFonts w:ascii="Arial" w:cs="Arial" w:eastAsia="Arial" w:hAnsi="Arial"/>
                <w:sz w:val="18"/>
                <w:szCs w:val="18"/>
                <w:color w:val="auto"/>
              </w:rPr>
              <w:t>28.6</w:t>
            </w:r>
          </w:p>
        </w:tc>
        <w:tc>
          <w:tcPr>
            <w:tcW w:w="840" w:type="dxa"/>
            <w:vAlign w:val="bottom"/>
          </w:tcPr>
          <w:p>
            <w:pPr>
              <w:jc w:val="right"/>
              <w:ind w:right="132"/>
              <w:spacing w:after="0"/>
              <w:rPr>
                <w:sz w:val="20"/>
                <w:szCs w:val="20"/>
                <w:color w:val="auto"/>
              </w:rPr>
            </w:pPr>
            <w:r>
              <w:rPr>
                <w:rFonts w:ascii="Arial" w:cs="Arial" w:eastAsia="Arial" w:hAnsi="Arial"/>
                <w:sz w:val="18"/>
                <w:szCs w:val="18"/>
                <w:color w:val="auto"/>
              </w:rPr>
              <w:t>8.8</w:t>
            </w:r>
          </w:p>
        </w:tc>
        <w:tc>
          <w:tcPr>
            <w:tcW w:w="1260" w:type="dxa"/>
            <w:vAlign w:val="bottom"/>
          </w:tcPr>
          <w:p>
            <w:pPr>
              <w:jc w:val="right"/>
              <w:ind w:right="416"/>
              <w:spacing w:after="0"/>
              <w:rPr>
                <w:sz w:val="20"/>
                <w:szCs w:val="20"/>
                <w:color w:val="auto"/>
              </w:rPr>
            </w:pPr>
            <w:r>
              <w:rPr>
                <w:rFonts w:ascii="Arial" w:cs="Arial" w:eastAsia="Arial" w:hAnsi="Arial"/>
                <w:sz w:val="18"/>
                <w:szCs w:val="18"/>
                <w:color w:val="auto"/>
              </w:rPr>
              <w:t>1,367</w:t>
            </w:r>
          </w:p>
        </w:tc>
        <w:tc>
          <w:tcPr>
            <w:tcW w:w="620" w:type="dxa"/>
            <w:vAlign w:val="bottom"/>
          </w:tcPr>
          <w:p>
            <w:pPr>
              <w:jc w:val="right"/>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230"/>
        </w:trPr>
        <w:tc>
          <w:tcPr>
            <w:tcW w:w="3040" w:type="dxa"/>
            <w:vAlign w:val="bottom"/>
          </w:tcPr>
          <w:p>
            <w:pPr>
              <w:ind w:left="480"/>
              <w:spacing w:after="0"/>
              <w:rPr>
                <w:sz w:val="20"/>
                <w:szCs w:val="20"/>
                <w:color w:val="auto"/>
              </w:rPr>
            </w:pPr>
            <w:r>
              <w:rPr>
                <w:rFonts w:ascii="Arial" w:cs="Arial" w:eastAsia="Arial" w:hAnsi="Arial"/>
                <w:sz w:val="18"/>
                <w:szCs w:val="18"/>
                <w:color w:val="auto"/>
              </w:rPr>
              <w:t>Non-U.S.</w:t>
            </w:r>
          </w:p>
        </w:tc>
        <w:tc>
          <w:tcPr>
            <w:tcW w:w="112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color w:val="auto"/>
              </w:rPr>
              <w:t>3,294</w:t>
            </w:r>
          </w:p>
        </w:tc>
        <w:tc>
          <w:tcPr>
            <w:tcW w:w="104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686</w:t>
            </w:r>
          </w:p>
        </w:tc>
        <w:tc>
          <w:tcPr>
            <w:tcW w:w="1240" w:type="dxa"/>
            <w:vAlign w:val="bottom"/>
            <w:tcBorders>
              <w:bottom w:val="single" w:sz="8" w:color="auto"/>
            </w:tcBorders>
          </w:tcPr>
          <w:p>
            <w:pPr>
              <w:jc w:val="right"/>
              <w:ind w:right="374"/>
              <w:spacing w:after="0"/>
              <w:rPr>
                <w:sz w:val="20"/>
                <w:szCs w:val="20"/>
                <w:color w:val="auto"/>
              </w:rPr>
            </w:pPr>
            <w:r>
              <w:rPr>
                <w:rFonts w:ascii="Arial" w:cs="Arial" w:eastAsia="Arial" w:hAnsi="Arial"/>
                <w:sz w:val="18"/>
                <w:szCs w:val="18"/>
                <w:color w:val="auto"/>
              </w:rPr>
              <w:t>17,281</w:t>
            </w:r>
          </w:p>
        </w:tc>
        <w:tc>
          <w:tcPr>
            <w:tcW w:w="8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17,600</w:t>
            </w:r>
          </w:p>
        </w:tc>
        <w:tc>
          <w:tcPr>
            <w:tcW w:w="1220" w:type="dxa"/>
            <w:vAlign w:val="bottom"/>
            <w:tcBorders>
              <w:bottom w:val="single" w:sz="8" w:color="auto"/>
            </w:tcBorders>
          </w:tcPr>
          <w:p>
            <w:pPr>
              <w:jc w:val="right"/>
              <w:ind w:right="336"/>
              <w:spacing w:after="0"/>
              <w:rPr>
                <w:sz w:val="20"/>
                <w:szCs w:val="20"/>
                <w:color w:val="auto"/>
              </w:rPr>
            </w:pPr>
            <w:r>
              <w:rPr>
                <w:rFonts w:ascii="Arial" w:cs="Arial" w:eastAsia="Arial" w:hAnsi="Arial"/>
                <w:sz w:val="18"/>
                <w:szCs w:val="18"/>
                <w:color w:val="auto"/>
              </w:rPr>
              <w:t>19.1</w:t>
            </w:r>
          </w:p>
        </w:tc>
        <w:tc>
          <w:tcPr>
            <w:tcW w:w="8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3.9</w:t>
            </w:r>
          </w:p>
        </w:tc>
        <w:tc>
          <w:tcPr>
            <w:tcW w:w="1260" w:type="dxa"/>
            <w:vAlign w:val="bottom"/>
            <w:tcBorders>
              <w:bottom w:val="single" w:sz="8" w:color="auto"/>
            </w:tcBorders>
          </w:tcPr>
          <w:p>
            <w:pPr>
              <w:jc w:val="right"/>
              <w:ind w:right="416"/>
              <w:spacing w:after="0"/>
              <w:rPr>
                <w:sz w:val="20"/>
                <w:szCs w:val="20"/>
                <w:color w:val="auto"/>
              </w:rPr>
            </w:pPr>
            <w:r>
              <w:rPr>
                <w:rFonts w:ascii="Arial" w:cs="Arial" w:eastAsia="Arial" w:hAnsi="Arial"/>
                <w:sz w:val="18"/>
                <w:szCs w:val="18"/>
                <w:color w:val="auto"/>
              </w:rPr>
              <w:t>876</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w:t>
            </w:r>
          </w:p>
        </w:tc>
        <w:tc>
          <w:tcPr>
            <w:tcW w:w="0" w:type="dxa"/>
            <w:vAlign w:val="bottom"/>
          </w:tcPr>
          <w:p>
            <w:pPr>
              <w:spacing w:after="0"/>
              <w:rPr>
                <w:sz w:val="1"/>
                <w:szCs w:val="1"/>
                <w:color w:val="auto"/>
              </w:rPr>
            </w:pPr>
          </w:p>
        </w:tc>
      </w:tr>
      <w:tr>
        <w:trPr>
          <w:trHeight w:val="223"/>
        </w:trPr>
        <w:tc>
          <w:tcPr>
            <w:tcW w:w="3040" w:type="dxa"/>
            <w:vAlign w:val="bottom"/>
          </w:tcPr>
          <w:p>
            <w:pPr>
              <w:ind w:left="880"/>
              <w:spacing w:after="0"/>
              <w:rPr>
                <w:sz w:val="20"/>
                <w:szCs w:val="20"/>
                <w:color w:val="auto"/>
              </w:rPr>
            </w:pPr>
            <w:r>
              <w:rPr>
                <w:rFonts w:ascii="Arial" w:cs="Arial" w:eastAsia="Arial" w:hAnsi="Arial"/>
                <w:sz w:val="18"/>
                <w:szCs w:val="18"/>
                <w:color w:val="auto"/>
              </w:rPr>
              <w:t>Total</w:t>
            </w:r>
          </w:p>
        </w:tc>
        <w:tc>
          <w:tcPr>
            <w:tcW w:w="112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color w:val="auto"/>
              </w:rPr>
              <w:t>7,796</w:t>
            </w:r>
          </w:p>
        </w:tc>
        <w:tc>
          <w:tcPr>
            <w:tcW w:w="104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1,963</w:t>
            </w:r>
          </w:p>
        </w:tc>
        <w:tc>
          <w:tcPr>
            <w:tcW w:w="1240" w:type="dxa"/>
            <w:vAlign w:val="bottom"/>
            <w:tcBorders>
              <w:bottom w:val="single" w:sz="8" w:color="auto"/>
            </w:tcBorders>
          </w:tcPr>
          <w:p>
            <w:pPr>
              <w:jc w:val="right"/>
              <w:ind w:right="374"/>
              <w:spacing w:after="0"/>
              <w:rPr>
                <w:sz w:val="20"/>
                <w:szCs w:val="20"/>
                <w:color w:val="auto"/>
              </w:rPr>
            </w:pPr>
            <w:r>
              <w:rPr>
                <w:rFonts w:ascii="Arial" w:cs="Arial" w:eastAsia="Arial" w:hAnsi="Arial"/>
                <w:sz w:val="18"/>
                <w:szCs w:val="18"/>
                <w:color w:val="auto"/>
              </w:rPr>
              <w:t>32,995</w:t>
            </w:r>
          </w:p>
        </w:tc>
        <w:tc>
          <w:tcPr>
            <w:tcW w:w="8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32,036</w:t>
            </w:r>
          </w:p>
        </w:tc>
        <w:tc>
          <w:tcPr>
            <w:tcW w:w="1220" w:type="dxa"/>
            <w:vAlign w:val="bottom"/>
            <w:tcBorders>
              <w:bottom w:val="single" w:sz="8" w:color="auto"/>
            </w:tcBorders>
          </w:tcPr>
          <w:p>
            <w:pPr>
              <w:jc w:val="right"/>
              <w:ind w:right="336"/>
              <w:spacing w:after="0"/>
              <w:rPr>
                <w:sz w:val="20"/>
                <w:szCs w:val="20"/>
                <w:color w:val="auto"/>
              </w:rPr>
            </w:pPr>
            <w:r>
              <w:rPr>
                <w:rFonts w:ascii="Arial" w:cs="Arial" w:eastAsia="Arial" w:hAnsi="Arial"/>
                <w:sz w:val="18"/>
                <w:szCs w:val="18"/>
                <w:color w:val="auto"/>
              </w:rPr>
              <w:t>23.6</w:t>
            </w:r>
          </w:p>
        </w:tc>
        <w:tc>
          <w:tcPr>
            <w:tcW w:w="8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6.1</w:t>
            </w:r>
          </w:p>
        </w:tc>
        <w:tc>
          <w:tcPr>
            <w:tcW w:w="1260" w:type="dxa"/>
            <w:vAlign w:val="bottom"/>
            <w:tcBorders>
              <w:bottom w:val="single" w:sz="8" w:color="auto"/>
            </w:tcBorders>
          </w:tcPr>
          <w:p>
            <w:pPr>
              <w:jc w:val="right"/>
              <w:ind w:right="416"/>
              <w:spacing w:after="0"/>
              <w:rPr>
                <w:sz w:val="20"/>
                <w:szCs w:val="20"/>
                <w:color w:val="auto"/>
              </w:rPr>
            </w:pPr>
            <w:r>
              <w:rPr>
                <w:rFonts w:ascii="Arial" w:cs="Arial" w:eastAsia="Arial" w:hAnsi="Arial"/>
                <w:sz w:val="18"/>
                <w:szCs w:val="18"/>
                <w:color w:val="auto"/>
              </w:rPr>
              <w:t>2,243</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2,716</w:t>
            </w:r>
          </w:p>
        </w:tc>
        <w:tc>
          <w:tcPr>
            <w:tcW w:w="0" w:type="dxa"/>
            <w:vAlign w:val="bottom"/>
          </w:tcPr>
          <w:p>
            <w:pPr>
              <w:spacing w:after="0"/>
              <w:rPr>
                <w:sz w:val="1"/>
                <w:szCs w:val="1"/>
                <w:color w:val="auto"/>
              </w:rPr>
            </w:pPr>
          </w:p>
        </w:tc>
      </w:tr>
      <w:tr>
        <w:trPr>
          <w:trHeight w:val="223"/>
        </w:trPr>
        <w:tc>
          <w:tcPr>
            <w:tcW w:w="3040" w:type="dxa"/>
            <w:vAlign w:val="bottom"/>
          </w:tcPr>
          <w:p>
            <w:pPr>
              <w:ind w:left="20"/>
              <w:spacing w:after="0"/>
              <w:rPr>
                <w:sz w:val="20"/>
                <w:szCs w:val="20"/>
                <w:color w:val="auto"/>
              </w:rPr>
            </w:pPr>
            <w:r>
              <w:rPr>
                <w:rFonts w:ascii="Arial" w:cs="Arial" w:eastAsia="Arial" w:hAnsi="Arial"/>
                <w:sz w:val="18"/>
                <w:szCs w:val="18"/>
                <w:color w:val="auto"/>
              </w:rPr>
              <w:t>Corporate and Financing</w:t>
            </w:r>
          </w:p>
        </w:tc>
        <w:tc>
          <w:tcPr>
            <w:tcW w:w="112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(2,636)</w:t>
            </w:r>
          </w:p>
        </w:tc>
        <w:tc>
          <w:tcPr>
            <w:tcW w:w="10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(3,296)</w:t>
            </w:r>
          </w:p>
        </w:tc>
        <w:tc>
          <w:tcPr>
            <w:tcW w:w="1240" w:type="dxa"/>
            <w:vAlign w:val="bottom"/>
            <w:tcBorders>
              <w:bottom w:val="single" w:sz="8" w:color="auto"/>
            </w:tcBorders>
          </w:tcPr>
          <w:p>
            <w:pPr>
              <w:jc w:val="right"/>
              <w:ind w:right="374"/>
              <w:spacing w:after="0"/>
              <w:rPr>
                <w:sz w:val="20"/>
                <w:szCs w:val="20"/>
                <w:color w:val="auto"/>
              </w:rPr>
            </w:pPr>
            <w:r>
              <w:rPr>
                <w:rFonts w:ascii="Arial" w:cs="Arial" w:eastAsia="Arial" w:hAnsi="Arial"/>
                <w:sz w:val="18"/>
                <w:szCs w:val="18"/>
                <w:color w:val="auto"/>
              </w:rPr>
              <w:t>1,724</w:t>
            </w:r>
          </w:p>
        </w:tc>
        <w:tc>
          <w:tcPr>
            <w:tcW w:w="8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(1,445)</w:t>
            </w:r>
          </w:p>
        </w:tc>
        <w:tc>
          <w:tcPr>
            <w:tcW w:w="1220" w:type="dxa"/>
            <w:vAlign w:val="bottom"/>
            <w:tcBorders>
              <w:bottom w:val="single" w:sz="8" w:color="auto"/>
            </w:tcBorders>
          </w:tcPr>
          <w:p>
            <w:pPr>
              <w:jc w:val="right"/>
              <w:ind w:right="336"/>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416"/>
              <w:spacing w:after="0"/>
              <w:rPr>
                <w:sz w:val="20"/>
                <w:szCs w:val="20"/>
                <w:color w:val="auto"/>
              </w:rPr>
            </w:pPr>
            <w:r>
              <w:rPr>
                <w:rFonts w:ascii="Arial" w:cs="Arial" w:eastAsia="Arial" w:hAnsi="Arial"/>
                <w:sz w:val="18"/>
                <w:szCs w:val="18"/>
                <w:color w:val="auto"/>
              </w:rPr>
              <w:t>3</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3040" w:type="dxa"/>
            <w:vAlign w:val="bottom"/>
          </w:tcPr>
          <w:p>
            <w:pPr>
              <w:ind w:left="880"/>
              <w:spacing w:after="0"/>
              <w:rPr>
                <w:sz w:val="20"/>
                <w:szCs w:val="20"/>
                <w:color w:val="auto"/>
              </w:rPr>
            </w:pPr>
            <w:r>
              <w:rPr>
                <w:rFonts w:ascii="Arial" w:cs="Arial" w:eastAsia="Arial" w:hAnsi="Arial"/>
                <w:sz w:val="18"/>
                <w:szCs w:val="18"/>
                <w:color w:val="auto"/>
              </w:rPr>
              <w:t>Total</w:t>
            </w:r>
          </w:p>
        </w:tc>
        <w:tc>
          <w:tcPr>
            <w:tcW w:w="112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color w:val="auto"/>
              </w:rPr>
              <w:t>23,040</w:t>
            </w:r>
          </w:p>
        </w:tc>
        <w:tc>
          <w:tcPr>
            <w:tcW w:w="10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(22,440)</w:t>
            </w:r>
          </w:p>
        </w:tc>
        <w:tc>
          <w:tcPr>
            <w:tcW w:w="1240" w:type="dxa"/>
            <w:vAlign w:val="bottom"/>
            <w:tcBorders>
              <w:bottom w:val="single" w:sz="8" w:color="auto"/>
            </w:tcBorders>
          </w:tcPr>
          <w:p>
            <w:pPr>
              <w:jc w:val="right"/>
              <w:ind w:right="374"/>
              <w:spacing w:after="0"/>
              <w:rPr>
                <w:sz w:val="20"/>
                <w:szCs w:val="20"/>
                <w:color w:val="auto"/>
              </w:rPr>
            </w:pPr>
            <w:r>
              <w:rPr>
                <w:rFonts w:ascii="Arial" w:cs="Arial" w:eastAsia="Arial" w:hAnsi="Arial"/>
                <w:sz w:val="18"/>
                <w:szCs w:val="18"/>
                <w:color w:val="auto"/>
              </w:rPr>
              <w:t>222,890</w:t>
            </w:r>
          </w:p>
        </w:tc>
        <w:tc>
          <w:tcPr>
            <w:tcW w:w="8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86"/>
              </w:rPr>
              <w:t>234,031</w:t>
            </w:r>
          </w:p>
        </w:tc>
        <w:tc>
          <w:tcPr>
            <w:tcW w:w="1220" w:type="dxa"/>
            <w:vAlign w:val="bottom"/>
            <w:tcBorders>
              <w:bottom w:val="single" w:sz="8" w:color="auto"/>
            </w:tcBorders>
          </w:tcPr>
          <w:p>
            <w:pPr>
              <w:jc w:val="right"/>
              <w:ind w:right="336"/>
              <w:spacing w:after="0"/>
              <w:rPr>
                <w:sz w:val="20"/>
                <w:szCs w:val="20"/>
                <w:color w:val="auto"/>
              </w:rPr>
            </w:pPr>
            <w:r>
              <w:rPr>
                <w:rFonts w:ascii="Arial" w:cs="Arial" w:eastAsia="Arial" w:hAnsi="Arial"/>
                <w:sz w:val="18"/>
                <w:szCs w:val="18"/>
                <w:color w:val="auto"/>
              </w:rPr>
              <w:t>10.9</w:t>
            </w:r>
          </w:p>
        </w:tc>
        <w:tc>
          <w:tcPr>
            <w:tcW w:w="8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(9.3)</w:t>
            </w:r>
          </w:p>
        </w:tc>
        <w:tc>
          <w:tcPr>
            <w:tcW w:w="1260" w:type="dxa"/>
            <w:vAlign w:val="bottom"/>
            <w:tcBorders>
              <w:bottom w:val="single" w:sz="8" w:color="auto"/>
            </w:tcBorders>
          </w:tcPr>
          <w:p>
            <w:pPr>
              <w:jc w:val="right"/>
              <w:ind w:right="416"/>
              <w:spacing w:after="0"/>
              <w:rPr>
                <w:sz w:val="20"/>
                <w:szCs w:val="20"/>
                <w:color w:val="auto"/>
              </w:rPr>
            </w:pPr>
            <w:r>
              <w:rPr>
                <w:rFonts w:ascii="Arial" w:cs="Arial" w:eastAsia="Arial" w:hAnsi="Arial"/>
                <w:sz w:val="18"/>
                <w:szCs w:val="18"/>
                <w:color w:val="auto"/>
              </w:rPr>
              <w:t>16,595</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21,374</w:t>
            </w:r>
          </w:p>
        </w:tc>
        <w:tc>
          <w:tcPr>
            <w:tcW w:w="0" w:type="dxa"/>
            <w:vAlign w:val="bottom"/>
          </w:tcPr>
          <w:p>
            <w:pPr>
              <w:spacing w:after="0"/>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Frequently Used Terms for a definition and calculation of capital employed and return on average capital employed.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Operating</w:t>
            </w:r>
          </w:p>
        </w:tc>
        <w:tc>
          <w:tcPr>
            <w:tcW w:w="106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2021</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2021</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r>
      <w:tr>
        <w:trPr>
          <w:trHeight w:val="176"/>
        </w:trPr>
        <w:tc>
          <w:tcPr>
            <w:tcW w:w="3580" w:type="dxa"/>
            <w:vAlign w:val="bottom"/>
          </w:tcPr>
          <w:p>
            <w:pPr>
              <w:spacing w:after="0"/>
              <w:rPr>
                <w:sz w:val="15"/>
                <w:szCs w:val="15"/>
                <w:color w:val="auto"/>
              </w:rPr>
            </w:pPr>
          </w:p>
        </w:tc>
        <w:tc>
          <w:tcPr>
            <w:tcW w:w="1780" w:type="dxa"/>
            <w:vAlign w:val="bottom"/>
            <w:gridSpan w:val="2"/>
          </w:tcPr>
          <w:p>
            <w:pPr>
              <w:jc w:val="right"/>
              <w:spacing w:after="0"/>
              <w:rPr>
                <w:sz w:val="20"/>
                <w:szCs w:val="20"/>
                <w:color w:val="auto"/>
              </w:rPr>
            </w:pPr>
            <w:r>
              <w:rPr>
                <w:rFonts w:ascii="Arial" w:cs="Arial" w:eastAsia="Arial" w:hAnsi="Arial"/>
                <w:sz w:val="14"/>
                <w:szCs w:val="14"/>
                <w:i w:val="1"/>
                <w:iCs w:val="1"/>
                <w:color w:val="auto"/>
              </w:rPr>
              <w:t>(thousands of barrels daily)</w:t>
            </w:r>
          </w:p>
        </w:tc>
        <w:tc>
          <w:tcPr>
            <w:tcW w:w="4100" w:type="dxa"/>
            <w:vAlign w:val="bottom"/>
          </w:tcPr>
          <w:p>
            <w:pPr>
              <w:spacing w:after="0"/>
              <w:rPr>
                <w:sz w:val="15"/>
                <w:szCs w:val="15"/>
                <w:color w:val="auto"/>
              </w:rPr>
            </w:pPr>
          </w:p>
        </w:tc>
        <w:tc>
          <w:tcPr>
            <w:tcW w:w="1780" w:type="dxa"/>
            <w:vAlign w:val="bottom"/>
            <w:gridSpan w:val="2"/>
          </w:tcPr>
          <w:p>
            <w:pPr>
              <w:jc w:val="right"/>
              <w:spacing w:after="0"/>
              <w:rPr>
                <w:sz w:val="20"/>
                <w:szCs w:val="20"/>
                <w:color w:val="auto"/>
              </w:rPr>
            </w:pPr>
            <w:r>
              <w:rPr>
                <w:rFonts w:ascii="Arial" w:cs="Arial" w:eastAsia="Arial" w:hAnsi="Arial"/>
                <w:sz w:val="14"/>
                <w:szCs w:val="14"/>
                <w:i w:val="1"/>
                <w:iCs w:val="1"/>
                <w:color w:val="auto"/>
              </w:rPr>
              <w:t>(thousands of barrels daily)</w:t>
            </w:r>
          </w:p>
        </w:tc>
      </w:tr>
      <w:tr>
        <w:trPr>
          <w:trHeight w:val="235"/>
        </w:trPr>
        <w:tc>
          <w:tcPr>
            <w:tcW w:w="3580" w:type="dxa"/>
            <w:vAlign w:val="bottom"/>
          </w:tcPr>
          <w:p>
            <w:pPr>
              <w:ind w:left="20"/>
              <w:spacing w:after="0"/>
              <w:rPr>
                <w:sz w:val="20"/>
                <w:szCs w:val="20"/>
                <w:color w:val="auto"/>
              </w:rPr>
            </w:pPr>
            <w:r>
              <w:rPr>
                <w:rFonts w:ascii="Arial" w:cs="Arial" w:eastAsia="Arial" w:hAnsi="Arial"/>
                <w:sz w:val="18"/>
                <w:szCs w:val="18"/>
                <w:color w:val="auto"/>
              </w:rPr>
              <w:t>Net liquids production</w:t>
            </w:r>
          </w:p>
        </w:tc>
        <w:tc>
          <w:tcPr>
            <w:tcW w:w="10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100" w:type="dxa"/>
            <w:vAlign w:val="bottom"/>
          </w:tcPr>
          <w:p>
            <w:pPr>
              <w:ind w:left="380"/>
              <w:spacing w:after="0"/>
              <w:rPr>
                <w:sz w:val="20"/>
                <w:szCs w:val="20"/>
                <w:color w:val="auto"/>
              </w:rPr>
            </w:pPr>
            <w:r>
              <w:rPr>
                <w:rFonts w:ascii="Arial" w:cs="Arial" w:eastAsia="Arial" w:hAnsi="Arial"/>
                <w:sz w:val="18"/>
                <w:szCs w:val="18"/>
                <w:color w:val="auto"/>
              </w:rPr>
              <w:t>Refinery throughput</w:t>
            </w:r>
          </w:p>
        </w:tc>
        <w:tc>
          <w:tcPr>
            <w:tcW w:w="102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30"/>
        </w:trPr>
        <w:tc>
          <w:tcPr>
            <w:tcW w:w="3580" w:type="dxa"/>
            <w:vAlign w:val="bottom"/>
          </w:tcPr>
          <w:p>
            <w:pPr>
              <w:ind w:left="480"/>
              <w:spacing w:after="0"/>
              <w:rPr>
                <w:sz w:val="20"/>
                <w:szCs w:val="20"/>
                <w:color w:val="auto"/>
              </w:rPr>
            </w:pPr>
            <w:r>
              <w:rPr>
                <w:rFonts w:ascii="Arial" w:cs="Arial" w:eastAsia="Arial" w:hAnsi="Arial"/>
                <w:sz w:val="18"/>
                <w:szCs w:val="18"/>
                <w:color w:val="auto"/>
              </w:rPr>
              <w:t>United States</w:t>
            </w:r>
          </w:p>
        </w:tc>
        <w:tc>
          <w:tcPr>
            <w:tcW w:w="1060" w:type="dxa"/>
            <w:vAlign w:val="bottom"/>
          </w:tcPr>
          <w:p>
            <w:pPr>
              <w:jc w:val="right"/>
              <w:ind w:right="195"/>
              <w:spacing w:after="0"/>
              <w:rPr>
                <w:sz w:val="20"/>
                <w:szCs w:val="20"/>
                <w:color w:val="auto"/>
              </w:rPr>
            </w:pPr>
            <w:r>
              <w:rPr>
                <w:rFonts w:ascii="Arial" w:cs="Arial" w:eastAsia="Arial" w:hAnsi="Arial"/>
                <w:sz w:val="18"/>
                <w:szCs w:val="18"/>
                <w:color w:val="auto"/>
              </w:rPr>
              <w:t>721</w:t>
            </w:r>
          </w:p>
        </w:tc>
        <w:tc>
          <w:tcPr>
            <w:tcW w:w="720" w:type="dxa"/>
            <w:vAlign w:val="bottom"/>
          </w:tcPr>
          <w:p>
            <w:pPr>
              <w:jc w:val="right"/>
              <w:spacing w:after="0"/>
              <w:rPr>
                <w:sz w:val="20"/>
                <w:szCs w:val="20"/>
                <w:color w:val="auto"/>
              </w:rPr>
            </w:pPr>
            <w:r>
              <w:rPr>
                <w:rFonts w:ascii="Arial" w:cs="Arial" w:eastAsia="Arial" w:hAnsi="Arial"/>
                <w:sz w:val="18"/>
                <w:szCs w:val="18"/>
                <w:color w:val="auto"/>
              </w:rPr>
              <w:t>685</w:t>
            </w:r>
          </w:p>
        </w:tc>
        <w:tc>
          <w:tcPr>
            <w:tcW w:w="4100" w:type="dxa"/>
            <w:vAlign w:val="bottom"/>
          </w:tcPr>
          <w:p>
            <w:pPr>
              <w:ind w:left="820"/>
              <w:spacing w:after="0"/>
              <w:rPr>
                <w:sz w:val="20"/>
                <w:szCs w:val="20"/>
                <w:color w:val="auto"/>
              </w:rPr>
            </w:pPr>
            <w:r>
              <w:rPr>
                <w:rFonts w:ascii="Arial" w:cs="Arial" w:eastAsia="Arial" w:hAnsi="Arial"/>
                <w:sz w:val="18"/>
                <w:szCs w:val="18"/>
                <w:color w:val="auto"/>
              </w:rPr>
              <w:t>United States</w:t>
            </w:r>
          </w:p>
        </w:tc>
        <w:tc>
          <w:tcPr>
            <w:tcW w:w="1020" w:type="dxa"/>
            <w:vAlign w:val="bottom"/>
          </w:tcPr>
          <w:p>
            <w:pPr>
              <w:jc w:val="right"/>
              <w:ind w:right="176"/>
              <w:spacing w:after="0"/>
              <w:rPr>
                <w:sz w:val="20"/>
                <w:szCs w:val="20"/>
                <w:color w:val="auto"/>
              </w:rPr>
            </w:pPr>
            <w:r>
              <w:rPr>
                <w:rFonts w:ascii="Arial" w:cs="Arial" w:eastAsia="Arial" w:hAnsi="Arial"/>
                <w:sz w:val="18"/>
                <w:szCs w:val="18"/>
                <w:color w:val="auto"/>
              </w:rPr>
              <w:t>1,623</w:t>
            </w:r>
          </w:p>
        </w:tc>
        <w:tc>
          <w:tcPr>
            <w:tcW w:w="760" w:type="dxa"/>
            <w:vAlign w:val="bottom"/>
          </w:tcPr>
          <w:p>
            <w:pPr>
              <w:jc w:val="right"/>
              <w:spacing w:after="0"/>
              <w:rPr>
                <w:sz w:val="20"/>
                <w:szCs w:val="20"/>
                <w:color w:val="auto"/>
              </w:rPr>
            </w:pPr>
            <w:r>
              <w:rPr>
                <w:rFonts w:ascii="Arial" w:cs="Arial" w:eastAsia="Arial" w:hAnsi="Arial"/>
                <w:sz w:val="18"/>
                <w:szCs w:val="18"/>
                <w:color w:val="auto"/>
              </w:rPr>
              <w:t>1,549</w:t>
            </w:r>
          </w:p>
        </w:tc>
      </w:tr>
      <w:tr>
        <w:trPr>
          <w:trHeight w:val="230"/>
        </w:trPr>
        <w:tc>
          <w:tcPr>
            <w:tcW w:w="3580" w:type="dxa"/>
            <w:vAlign w:val="bottom"/>
          </w:tcPr>
          <w:p>
            <w:pPr>
              <w:ind w:left="480"/>
              <w:spacing w:after="0"/>
              <w:rPr>
                <w:sz w:val="20"/>
                <w:szCs w:val="20"/>
                <w:color w:val="auto"/>
              </w:rPr>
            </w:pPr>
            <w:r>
              <w:rPr>
                <w:rFonts w:ascii="Arial" w:cs="Arial" w:eastAsia="Arial" w:hAnsi="Arial"/>
                <w:sz w:val="18"/>
                <w:szCs w:val="18"/>
                <w:color w:val="auto"/>
              </w:rPr>
              <w:t>Non-U.S.</w:t>
            </w:r>
          </w:p>
        </w:tc>
        <w:tc>
          <w:tcPr>
            <w:tcW w:w="1060" w:type="dxa"/>
            <w:vAlign w:val="bottom"/>
            <w:tcBorders>
              <w:bottom w:val="single" w:sz="8" w:color="auto"/>
            </w:tcBorders>
          </w:tcPr>
          <w:p>
            <w:pPr>
              <w:jc w:val="right"/>
              <w:ind w:right="195"/>
              <w:spacing w:after="0"/>
              <w:rPr>
                <w:sz w:val="20"/>
                <w:szCs w:val="20"/>
                <w:color w:val="auto"/>
              </w:rPr>
            </w:pPr>
            <w:r>
              <w:rPr>
                <w:rFonts w:ascii="Arial" w:cs="Arial" w:eastAsia="Arial" w:hAnsi="Arial"/>
                <w:sz w:val="18"/>
                <w:szCs w:val="18"/>
                <w:color w:val="auto"/>
              </w:rPr>
              <w:t>1,568</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1,664</w:t>
            </w:r>
          </w:p>
        </w:tc>
        <w:tc>
          <w:tcPr>
            <w:tcW w:w="4100" w:type="dxa"/>
            <w:vAlign w:val="bottom"/>
          </w:tcPr>
          <w:p>
            <w:pPr>
              <w:ind w:left="820"/>
              <w:spacing w:after="0"/>
              <w:rPr>
                <w:sz w:val="20"/>
                <w:szCs w:val="20"/>
                <w:color w:val="auto"/>
              </w:rPr>
            </w:pPr>
            <w:r>
              <w:rPr>
                <w:rFonts w:ascii="Arial" w:cs="Arial" w:eastAsia="Arial" w:hAnsi="Arial"/>
                <w:sz w:val="18"/>
                <w:szCs w:val="18"/>
                <w:color w:val="auto"/>
              </w:rPr>
              <w:t>Non-U.S.</w:t>
            </w:r>
          </w:p>
        </w:tc>
        <w:tc>
          <w:tcPr>
            <w:tcW w:w="1020" w:type="dxa"/>
            <w:vAlign w:val="bottom"/>
            <w:tcBorders>
              <w:bottom w:val="single" w:sz="8" w:color="auto"/>
            </w:tcBorders>
          </w:tcPr>
          <w:p>
            <w:pPr>
              <w:jc w:val="right"/>
              <w:ind w:right="176"/>
              <w:spacing w:after="0"/>
              <w:rPr>
                <w:sz w:val="20"/>
                <w:szCs w:val="20"/>
                <w:color w:val="auto"/>
              </w:rPr>
            </w:pPr>
            <w:r>
              <w:rPr>
                <w:rFonts w:ascii="Arial" w:cs="Arial" w:eastAsia="Arial" w:hAnsi="Arial"/>
                <w:sz w:val="18"/>
                <w:szCs w:val="18"/>
                <w:color w:val="auto"/>
              </w:rPr>
              <w:t>2,322</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2,224</w:t>
            </w:r>
          </w:p>
        </w:tc>
      </w:tr>
      <w:tr>
        <w:trPr>
          <w:trHeight w:val="223"/>
        </w:trPr>
        <w:tc>
          <w:tcPr>
            <w:tcW w:w="3580" w:type="dxa"/>
            <w:vAlign w:val="bottom"/>
          </w:tcPr>
          <w:p>
            <w:pPr>
              <w:ind w:left="880"/>
              <w:spacing w:after="0"/>
              <w:rPr>
                <w:sz w:val="20"/>
                <w:szCs w:val="20"/>
                <w:color w:val="auto"/>
              </w:rPr>
            </w:pPr>
            <w:r>
              <w:rPr>
                <w:rFonts w:ascii="Arial" w:cs="Arial" w:eastAsia="Arial" w:hAnsi="Arial"/>
                <w:sz w:val="18"/>
                <w:szCs w:val="18"/>
                <w:color w:val="auto"/>
              </w:rPr>
              <w:t>Total</w:t>
            </w:r>
          </w:p>
        </w:tc>
        <w:tc>
          <w:tcPr>
            <w:tcW w:w="1060" w:type="dxa"/>
            <w:vAlign w:val="bottom"/>
            <w:tcBorders>
              <w:bottom w:val="single" w:sz="8" w:color="auto"/>
            </w:tcBorders>
          </w:tcPr>
          <w:p>
            <w:pPr>
              <w:jc w:val="right"/>
              <w:ind w:right="195"/>
              <w:spacing w:after="0"/>
              <w:rPr>
                <w:sz w:val="20"/>
                <w:szCs w:val="20"/>
                <w:color w:val="auto"/>
              </w:rPr>
            </w:pPr>
            <w:r>
              <w:rPr>
                <w:rFonts w:ascii="Arial" w:cs="Arial" w:eastAsia="Arial" w:hAnsi="Arial"/>
                <w:sz w:val="18"/>
                <w:szCs w:val="18"/>
                <w:color w:val="auto"/>
              </w:rPr>
              <w:t>2,289</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2,349</w:t>
            </w:r>
          </w:p>
        </w:tc>
        <w:tc>
          <w:tcPr>
            <w:tcW w:w="4100" w:type="dxa"/>
            <w:vAlign w:val="bottom"/>
          </w:tcPr>
          <w:p>
            <w:pPr>
              <w:ind w:left="1220"/>
              <w:spacing w:after="0"/>
              <w:rPr>
                <w:sz w:val="20"/>
                <w:szCs w:val="20"/>
                <w:color w:val="auto"/>
              </w:rPr>
            </w:pPr>
            <w:r>
              <w:rPr>
                <w:rFonts w:ascii="Arial" w:cs="Arial" w:eastAsia="Arial" w:hAnsi="Arial"/>
                <w:sz w:val="18"/>
                <w:szCs w:val="18"/>
                <w:color w:val="auto"/>
              </w:rPr>
              <w:t>Total</w:t>
            </w:r>
          </w:p>
        </w:tc>
        <w:tc>
          <w:tcPr>
            <w:tcW w:w="1020" w:type="dxa"/>
            <w:vAlign w:val="bottom"/>
            <w:tcBorders>
              <w:bottom w:val="single" w:sz="8" w:color="auto"/>
            </w:tcBorders>
          </w:tcPr>
          <w:p>
            <w:pPr>
              <w:jc w:val="right"/>
              <w:ind w:right="176"/>
              <w:spacing w:after="0"/>
              <w:rPr>
                <w:sz w:val="20"/>
                <w:szCs w:val="20"/>
                <w:color w:val="auto"/>
              </w:rPr>
            </w:pPr>
            <w:r>
              <w:rPr>
                <w:rFonts w:ascii="Arial" w:cs="Arial" w:eastAsia="Arial" w:hAnsi="Arial"/>
                <w:sz w:val="18"/>
                <w:szCs w:val="18"/>
                <w:color w:val="auto"/>
              </w:rPr>
              <w:t>3,945</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3,773</w:t>
            </w:r>
          </w:p>
        </w:tc>
      </w:tr>
      <w:tr>
        <w:trPr>
          <w:trHeight w:val="413"/>
        </w:trPr>
        <w:tc>
          <w:tcPr>
            <w:tcW w:w="3580" w:type="dxa"/>
            <w:vAlign w:val="bottom"/>
          </w:tcPr>
          <w:p>
            <w:pPr>
              <w:spacing w:after="0"/>
              <w:rPr>
                <w:sz w:val="24"/>
                <w:szCs w:val="24"/>
                <w:color w:val="auto"/>
              </w:rPr>
            </w:pPr>
          </w:p>
        </w:tc>
        <w:tc>
          <w:tcPr>
            <w:tcW w:w="1780" w:type="dxa"/>
            <w:vAlign w:val="bottom"/>
            <w:gridSpan w:val="2"/>
          </w:tcPr>
          <w:p>
            <w:pPr>
              <w:jc w:val="right"/>
              <w:spacing w:after="0"/>
              <w:rPr>
                <w:sz w:val="20"/>
                <w:szCs w:val="20"/>
                <w:color w:val="auto"/>
              </w:rPr>
            </w:pPr>
            <w:r>
              <w:rPr>
                <w:rFonts w:ascii="Arial" w:cs="Arial" w:eastAsia="Arial" w:hAnsi="Arial"/>
                <w:sz w:val="14"/>
                <w:szCs w:val="14"/>
                <w:i w:val="1"/>
                <w:iCs w:val="1"/>
                <w:color w:val="auto"/>
              </w:rPr>
              <w:t>(millions of cubic feet daily)</w:t>
            </w:r>
          </w:p>
        </w:tc>
        <w:tc>
          <w:tcPr>
            <w:tcW w:w="4100" w:type="dxa"/>
            <w:vAlign w:val="bottom"/>
          </w:tcPr>
          <w:p>
            <w:pPr>
              <w:spacing w:after="0"/>
              <w:rPr>
                <w:sz w:val="24"/>
                <w:szCs w:val="24"/>
                <w:color w:val="auto"/>
              </w:rPr>
            </w:pPr>
          </w:p>
        </w:tc>
        <w:tc>
          <w:tcPr>
            <w:tcW w:w="1780" w:type="dxa"/>
            <w:vAlign w:val="bottom"/>
            <w:gridSpan w:val="2"/>
          </w:tcPr>
          <w:p>
            <w:pPr>
              <w:jc w:val="right"/>
              <w:spacing w:after="0"/>
              <w:rPr>
                <w:sz w:val="20"/>
                <w:szCs w:val="20"/>
                <w:color w:val="auto"/>
              </w:rPr>
            </w:pPr>
            <w:r>
              <w:rPr>
                <w:rFonts w:ascii="Arial" w:cs="Arial" w:eastAsia="Arial" w:hAnsi="Arial"/>
                <w:sz w:val="14"/>
                <w:szCs w:val="14"/>
                <w:i w:val="1"/>
                <w:iCs w:val="1"/>
                <w:color w:val="auto"/>
              </w:rPr>
              <w:t>(thousands of barrels daily)</w:t>
            </w:r>
          </w:p>
        </w:tc>
      </w:tr>
      <w:tr>
        <w:trPr>
          <w:trHeight w:val="241"/>
        </w:trPr>
        <w:tc>
          <w:tcPr>
            <w:tcW w:w="3580" w:type="dxa"/>
            <w:vAlign w:val="bottom"/>
          </w:tcPr>
          <w:p>
            <w:pPr>
              <w:ind w:left="20"/>
              <w:spacing w:after="0"/>
              <w:rPr>
                <w:sz w:val="20"/>
                <w:szCs w:val="20"/>
                <w:color w:val="auto"/>
              </w:rPr>
            </w:pPr>
            <w:r>
              <w:rPr>
                <w:rFonts w:ascii="Arial" w:cs="Arial" w:eastAsia="Arial" w:hAnsi="Arial"/>
                <w:sz w:val="18"/>
                <w:szCs w:val="18"/>
                <w:color w:val="auto"/>
              </w:rPr>
              <w:t>Natural gas production available for sale</w:t>
            </w:r>
          </w:p>
        </w:tc>
        <w:tc>
          <w:tcPr>
            <w:tcW w:w="10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100" w:type="dxa"/>
            <w:vAlign w:val="bottom"/>
          </w:tcPr>
          <w:p>
            <w:pPr>
              <w:ind w:left="380"/>
              <w:spacing w:after="0"/>
              <w:rPr>
                <w:sz w:val="20"/>
                <w:szCs w:val="20"/>
                <w:color w:val="auto"/>
              </w:rPr>
            </w:pPr>
            <w:r>
              <w:rPr>
                <w:rFonts w:ascii="Arial" w:cs="Arial" w:eastAsia="Arial" w:hAnsi="Arial"/>
                <w:sz w:val="18"/>
                <w:szCs w:val="18"/>
                <w:color w:val="auto"/>
              </w:rPr>
              <w:t xml:space="preserve">Petroleum product sales </w:t>
            </w:r>
            <w:r>
              <w:rPr>
                <w:rFonts w:ascii="Arial" w:cs="Arial" w:eastAsia="Arial" w:hAnsi="Arial"/>
                <w:sz w:val="14"/>
                <w:szCs w:val="14"/>
                <w:i w:val="1"/>
                <w:iCs w:val="1"/>
                <w:color w:val="auto"/>
              </w:rPr>
              <w:t>(2)</w:t>
            </w:r>
          </w:p>
        </w:tc>
        <w:tc>
          <w:tcPr>
            <w:tcW w:w="102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29"/>
        </w:trPr>
        <w:tc>
          <w:tcPr>
            <w:tcW w:w="3580" w:type="dxa"/>
            <w:vAlign w:val="bottom"/>
          </w:tcPr>
          <w:p>
            <w:pPr>
              <w:ind w:left="480"/>
              <w:spacing w:after="0"/>
              <w:rPr>
                <w:sz w:val="20"/>
                <w:szCs w:val="20"/>
                <w:color w:val="auto"/>
              </w:rPr>
            </w:pPr>
            <w:r>
              <w:rPr>
                <w:rFonts w:ascii="Arial" w:cs="Arial" w:eastAsia="Arial" w:hAnsi="Arial"/>
                <w:sz w:val="18"/>
                <w:szCs w:val="18"/>
                <w:color w:val="auto"/>
              </w:rPr>
              <w:t>United States</w:t>
            </w:r>
          </w:p>
        </w:tc>
        <w:tc>
          <w:tcPr>
            <w:tcW w:w="1060" w:type="dxa"/>
            <w:vAlign w:val="bottom"/>
          </w:tcPr>
          <w:p>
            <w:pPr>
              <w:jc w:val="right"/>
              <w:ind w:right="195"/>
              <w:spacing w:after="0"/>
              <w:rPr>
                <w:sz w:val="20"/>
                <w:szCs w:val="20"/>
                <w:color w:val="auto"/>
              </w:rPr>
            </w:pPr>
            <w:r>
              <w:rPr>
                <w:rFonts w:ascii="Arial" w:cs="Arial" w:eastAsia="Arial" w:hAnsi="Arial"/>
                <w:sz w:val="18"/>
                <w:szCs w:val="18"/>
                <w:color w:val="auto"/>
              </w:rPr>
              <w:t>2,746</w:t>
            </w:r>
          </w:p>
        </w:tc>
        <w:tc>
          <w:tcPr>
            <w:tcW w:w="720" w:type="dxa"/>
            <w:vAlign w:val="bottom"/>
          </w:tcPr>
          <w:p>
            <w:pPr>
              <w:jc w:val="right"/>
              <w:spacing w:after="0"/>
              <w:rPr>
                <w:sz w:val="20"/>
                <w:szCs w:val="20"/>
                <w:color w:val="auto"/>
              </w:rPr>
            </w:pPr>
            <w:r>
              <w:rPr>
                <w:rFonts w:ascii="Arial" w:cs="Arial" w:eastAsia="Arial" w:hAnsi="Arial"/>
                <w:sz w:val="18"/>
                <w:szCs w:val="18"/>
                <w:color w:val="auto"/>
              </w:rPr>
              <w:t>2,691</w:t>
            </w:r>
          </w:p>
        </w:tc>
        <w:tc>
          <w:tcPr>
            <w:tcW w:w="4100" w:type="dxa"/>
            <w:vAlign w:val="bottom"/>
          </w:tcPr>
          <w:p>
            <w:pPr>
              <w:ind w:left="820"/>
              <w:spacing w:after="0"/>
              <w:rPr>
                <w:sz w:val="20"/>
                <w:szCs w:val="20"/>
                <w:color w:val="auto"/>
              </w:rPr>
            </w:pPr>
            <w:r>
              <w:rPr>
                <w:rFonts w:ascii="Arial" w:cs="Arial" w:eastAsia="Arial" w:hAnsi="Arial"/>
                <w:sz w:val="18"/>
                <w:szCs w:val="18"/>
                <w:color w:val="auto"/>
              </w:rPr>
              <w:t>United States</w:t>
            </w:r>
          </w:p>
        </w:tc>
        <w:tc>
          <w:tcPr>
            <w:tcW w:w="1020" w:type="dxa"/>
            <w:vAlign w:val="bottom"/>
          </w:tcPr>
          <w:p>
            <w:pPr>
              <w:jc w:val="right"/>
              <w:ind w:right="176"/>
              <w:spacing w:after="0"/>
              <w:rPr>
                <w:sz w:val="20"/>
                <w:szCs w:val="20"/>
                <w:color w:val="auto"/>
              </w:rPr>
            </w:pPr>
            <w:r>
              <w:rPr>
                <w:rFonts w:ascii="Arial" w:cs="Arial" w:eastAsia="Arial" w:hAnsi="Arial"/>
                <w:sz w:val="18"/>
                <w:szCs w:val="18"/>
                <w:color w:val="auto"/>
              </w:rPr>
              <w:t>2,257</w:t>
            </w:r>
          </w:p>
        </w:tc>
        <w:tc>
          <w:tcPr>
            <w:tcW w:w="760" w:type="dxa"/>
            <w:vAlign w:val="bottom"/>
          </w:tcPr>
          <w:p>
            <w:pPr>
              <w:jc w:val="right"/>
              <w:spacing w:after="0"/>
              <w:rPr>
                <w:sz w:val="20"/>
                <w:szCs w:val="20"/>
                <w:color w:val="auto"/>
              </w:rPr>
            </w:pPr>
            <w:r>
              <w:rPr>
                <w:rFonts w:ascii="Arial" w:cs="Arial" w:eastAsia="Arial" w:hAnsi="Arial"/>
                <w:sz w:val="18"/>
                <w:szCs w:val="18"/>
                <w:color w:val="auto"/>
              </w:rPr>
              <w:t>2,154</w:t>
            </w:r>
          </w:p>
        </w:tc>
      </w:tr>
      <w:tr>
        <w:trPr>
          <w:trHeight w:val="230"/>
        </w:trPr>
        <w:tc>
          <w:tcPr>
            <w:tcW w:w="3580" w:type="dxa"/>
            <w:vAlign w:val="bottom"/>
          </w:tcPr>
          <w:p>
            <w:pPr>
              <w:ind w:left="480"/>
              <w:spacing w:after="0"/>
              <w:rPr>
                <w:sz w:val="20"/>
                <w:szCs w:val="20"/>
                <w:color w:val="auto"/>
              </w:rPr>
            </w:pPr>
            <w:r>
              <w:rPr>
                <w:rFonts w:ascii="Arial" w:cs="Arial" w:eastAsia="Arial" w:hAnsi="Arial"/>
                <w:sz w:val="18"/>
                <w:szCs w:val="18"/>
                <w:color w:val="auto"/>
              </w:rPr>
              <w:t>Non-U.S.</w:t>
            </w:r>
          </w:p>
        </w:tc>
        <w:tc>
          <w:tcPr>
            <w:tcW w:w="1060" w:type="dxa"/>
            <w:vAlign w:val="bottom"/>
            <w:tcBorders>
              <w:bottom w:val="single" w:sz="8" w:color="auto"/>
            </w:tcBorders>
          </w:tcPr>
          <w:p>
            <w:pPr>
              <w:jc w:val="right"/>
              <w:ind w:right="195"/>
              <w:spacing w:after="0"/>
              <w:rPr>
                <w:sz w:val="20"/>
                <w:szCs w:val="20"/>
                <w:color w:val="auto"/>
              </w:rPr>
            </w:pPr>
            <w:r>
              <w:rPr>
                <w:rFonts w:ascii="Arial" w:cs="Arial" w:eastAsia="Arial" w:hAnsi="Arial"/>
                <w:sz w:val="18"/>
                <w:szCs w:val="18"/>
                <w:color w:val="auto"/>
              </w:rPr>
              <w:t>5,791</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5,780</w:t>
            </w:r>
          </w:p>
        </w:tc>
        <w:tc>
          <w:tcPr>
            <w:tcW w:w="4100" w:type="dxa"/>
            <w:vAlign w:val="bottom"/>
          </w:tcPr>
          <w:p>
            <w:pPr>
              <w:ind w:left="820"/>
              <w:spacing w:after="0"/>
              <w:rPr>
                <w:sz w:val="20"/>
                <w:szCs w:val="20"/>
                <w:color w:val="auto"/>
              </w:rPr>
            </w:pPr>
            <w:r>
              <w:rPr>
                <w:rFonts w:ascii="Arial" w:cs="Arial" w:eastAsia="Arial" w:hAnsi="Arial"/>
                <w:sz w:val="18"/>
                <w:szCs w:val="18"/>
                <w:color w:val="auto"/>
              </w:rPr>
              <w:t>Non-U.S.</w:t>
            </w:r>
          </w:p>
        </w:tc>
        <w:tc>
          <w:tcPr>
            <w:tcW w:w="1020" w:type="dxa"/>
            <w:vAlign w:val="bottom"/>
            <w:tcBorders>
              <w:bottom w:val="single" w:sz="8" w:color="auto"/>
            </w:tcBorders>
          </w:tcPr>
          <w:p>
            <w:pPr>
              <w:jc w:val="right"/>
              <w:ind w:right="176"/>
              <w:spacing w:after="0"/>
              <w:rPr>
                <w:sz w:val="20"/>
                <w:szCs w:val="20"/>
                <w:color w:val="auto"/>
              </w:rPr>
            </w:pPr>
            <w:r>
              <w:rPr>
                <w:rFonts w:ascii="Arial" w:cs="Arial" w:eastAsia="Arial" w:hAnsi="Arial"/>
                <w:sz w:val="18"/>
                <w:szCs w:val="18"/>
                <w:color w:val="auto"/>
              </w:rPr>
              <w:t>2,905</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2,741</w:t>
            </w:r>
          </w:p>
        </w:tc>
      </w:tr>
      <w:tr>
        <w:trPr>
          <w:trHeight w:val="223"/>
        </w:trPr>
        <w:tc>
          <w:tcPr>
            <w:tcW w:w="3580" w:type="dxa"/>
            <w:vAlign w:val="bottom"/>
          </w:tcPr>
          <w:p>
            <w:pPr>
              <w:ind w:left="880"/>
              <w:spacing w:after="0"/>
              <w:rPr>
                <w:sz w:val="20"/>
                <w:szCs w:val="20"/>
                <w:color w:val="auto"/>
              </w:rPr>
            </w:pPr>
            <w:r>
              <w:rPr>
                <w:rFonts w:ascii="Arial" w:cs="Arial" w:eastAsia="Arial" w:hAnsi="Arial"/>
                <w:sz w:val="18"/>
                <w:szCs w:val="18"/>
                <w:color w:val="auto"/>
              </w:rPr>
              <w:t>Total</w:t>
            </w:r>
          </w:p>
        </w:tc>
        <w:tc>
          <w:tcPr>
            <w:tcW w:w="1060" w:type="dxa"/>
            <w:vAlign w:val="bottom"/>
            <w:tcBorders>
              <w:bottom w:val="single" w:sz="8" w:color="auto"/>
            </w:tcBorders>
          </w:tcPr>
          <w:p>
            <w:pPr>
              <w:jc w:val="right"/>
              <w:ind w:right="195"/>
              <w:spacing w:after="0"/>
              <w:rPr>
                <w:sz w:val="20"/>
                <w:szCs w:val="20"/>
                <w:color w:val="auto"/>
              </w:rPr>
            </w:pPr>
            <w:r>
              <w:rPr>
                <w:rFonts w:ascii="Arial" w:cs="Arial" w:eastAsia="Arial" w:hAnsi="Arial"/>
                <w:sz w:val="18"/>
                <w:szCs w:val="18"/>
                <w:color w:val="auto"/>
              </w:rPr>
              <w:t>8,537</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8,471</w:t>
            </w:r>
          </w:p>
        </w:tc>
        <w:tc>
          <w:tcPr>
            <w:tcW w:w="4100" w:type="dxa"/>
            <w:vAlign w:val="bottom"/>
          </w:tcPr>
          <w:p>
            <w:pPr>
              <w:ind w:left="1220"/>
              <w:spacing w:after="0"/>
              <w:rPr>
                <w:sz w:val="20"/>
                <w:szCs w:val="20"/>
                <w:color w:val="auto"/>
              </w:rPr>
            </w:pPr>
            <w:r>
              <w:rPr>
                <w:rFonts w:ascii="Arial" w:cs="Arial" w:eastAsia="Arial" w:hAnsi="Arial"/>
                <w:sz w:val="18"/>
                <w:szCs w:val="18"/>
                <w:color w:val="auto"/>
              </w:rPr>
              <w:t>Total</w:t>
            </w:r>
          </w:p>
        </w:tc>
        <w:tc>
          <w:tcPr>
            <w:tcW w:w="1020" w:type="dxa"/>
            <w:vAlign w:val="bottom"/>
            <w:tcBorders>
              <w:bottom w:val="single" w:sz="8" w:color="auto"/>
            </w:tcBorders>
          </w:tcPr>
          <w:p>
            <w:pPr>
              <w:jc w:val="right"/>
              <w:ind w:right="176"/>
              <w:spacing w:after="0"/>
              <w:rPr>
                <w:sz w:val="20"/>
                <w:szCs w:val="20"/>
                <w:color w:val="auto"/>
              </w:rPr>
            </w:pPr>
            <w:r>
              <w:rPr>
                <w:rFonts w:ascii="Arial" w:cs="Arial" w:eastAsia="Arial" w:hAnsi="Arial"/>
                <w:sz w:val="18"/>
                <w:szCs w:val="18"/>
                <w:color w:val="auto"/>
              </w:rPr>
              <w:t>5,162</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4,895</w:t>
            </w:r>
          </w:p>
        </w:tc>
      </w:tr>
      <w:tr>
        <w:trPr>
          <w:trHeight w:val="414"/>
        </w:trPr>
        <w:tc>
          <w:tcPr>
            <w:tcW w:w="5360" w:type="dxa"/>
            <w:vAlign w:val="bottom"/>
            <w:gridSpan w:val="3"/>
          </w:tcPr>
          <w:p>
            <w:pPr>
              <w:jc w:val="right"/>
              <w:spacing w:after="0"/>
              <w:rPr>
                <w:sz w:val="20"/>
                <w:szCs w:val="20"/>
                <w:color w:val="auto"/>
              </w:rPr>
            </w:pPr>
            <w:r>
              <w:rPr>
                <w:rFonts w:ascii="Arial" w:cs="Arial" w:eastAsia="Arial" w:hAnsi="Arial"/>
                <w:sz w:val="14"/>
                <w:szCs w:val="14"/>
                <w:i w:val="1"/>
                <w:iCs w:val="1"/>
                <w:color w:val="auto"/>
              </w:rPr>
              <w:t>(thousands of oil-equivalent barrels daily)</w:t>
            </w:r>
          </w:p>
        </w:tc>
        <w:tc>
          <w:tcPr>
            <w:tcW w:w="4100" w:type="dxa"/>
            <w:vAlign w:val="bottom"/>
          </w:tcPr>
          <w:p>
            <w:pPr>
              <w:spacing w:after="0"/>
              <w:rPr>
                <w:sz w:val="24"/>
                <w:szCs w:val="24"/>
                <w:color w:val="auto"/>
              </w:rPr>
            </w:pPr>
          </w:p>
        </w:tc>
        <w:tc>
          <w:tcPr>
            <w:tcW w:w="1780" w:type="dxa"/>
            <w:vAlign w:val="bottom"/>
            <w:gridSpan w:val="2"/>
          </w:tcPr>
          <w:p>
            <w:pPr>
              <w:jc w:val="right"/>
              <w:spacing w:after="0"/>
              <w:rPr>
                <w:sz w:val="20"/>
                <w:szCs w:val="20"/>
                <w:color w:val="auto"/>
              </w:rPr>
            </w:pPr>
            <w:r>
              <w:rPr>
                <w:rFonts w:ascii="Arial" w:cs="Arial" w:eastAsia="Arial" w:hAnsi="Arial"/>
                <w:sz w:val="14"/>
                <w:szCs w:val="14"/>
                <w:i w:val="1"/>
                <w:iCs w:val="1"/>
                <w:color w:val="auto"/>
              </w:rPr>
              <w:t>(thousands of metric tons)</w:t>
            </w:r>
          </w:p>
        </w:tc>
      </w:tr>
      <w:tr>
        <w:trPr>
          <w:trHeight w:val="241"/>
        </w:trPr>
        <w:tc>
          <w:tcPr>
            <w:tcW w:w="3580" w:type="dxa"/>
            <w:vAlign w:val="bottom"/>
          </w:tcPr>
          <w:p>
            <w:pPr>
              <w:ind w:left="20"/>
              <w:spacing w:after="0"/>
              <w:rPr>
                <w:sz w:val="20"/>
                <w:szCs w:val="20"/>
                <w:color w:val="auto"/>
              </w:rPr>
            </w:pPr>
            <w:r>
              <w:rPr>
                <w:rFonts w:ascii="Arial" w:cs="Arial" w:eastAsia="Arial" w:hAnsi="Arial"/>
                <w:sz w:val="18"/>
                <w:szCs w:val="18"/>
                <w:color w:val="auto"/>
              </w:rPr>
              <w:t xml:space="preserve">Oil-equivalent production </w:t>
            </w:r>
            <w:r>
              <w:rPr>
                <w:rFonts w:ascii="Arial" w:cs="Arial" w:eastAsia="Arial" w:hAnsi="Arial"/>
                <w:sz w:val="14"/>
                <w:szCs w:val="14"/>
                <w:i w:val="1"/>
                <w:iCs w:val="1"/>
                <w:color w:val="auto"/>
              </w:rPr>
              <w:t>(1)</w:t>
            </w:r>
          </w:p>
        </w:tc>
        <w:tc>
          <w:tcPr>
            <w:tcW w:w="1060" w:type="dxa"/>
            <w:vAlign w:val="bottom"/>
          </w:tcPr>
          <w:p>
            <w:pPr>
              <w:jc w:val="right"/>
              <w:ind w:right="195"/>
              <w:spacing w:after="0"/>
              <w:rPr>
                <w:sz w:val="20"/>
                <w:szCs w:val="20"/>
                <w:color w:val="auto"/>
              </w:rPr>
            </w:pPr>
            <w:r>
              <w:rPr>
                <w:rFonts w:ascii="Arial" w:cs="Arial" w:eastAsia="Arial" w:hAnsi="Arial"/>
                <w:sz w:val="18"/>
                <w:szCs w:val="18"/>
                <w:color w:val="auto"/>
              </w:rPr>
              <w:t>3,712</w:t>
            </w:r>
          </w:p>
        </w:tc>
        <w:tc>
          <w:tcPr>
            <w:tcW w:w="720" w:type="dxa"/>
            <w:vAlign w:val="bottom"/>
          </w:tcPr>
          <w:p>
            <w:pPr>
              <w:jc w:val="right"/>
              <w:spacing w:after="0"/>
              <w:rPr>
                <w:sz w:val="20"/>
                <w:szCs w:val="20"/>
                <w:color w:val="auto"/>
              </w:rPr>
            </w:pPr>
            <w:r>
              <w:rPr>
                <w:rFonts w:ascii="Arial" w:cs="Arial" w:eastAsia="Arial" w:hAnsi="Arial"/>
                <w:sz w:val="18"/>
                <w:szCs w:val="18"/>
                <w:color w:val="auto"/>
              </w:rPr>
              <w:t>3,761</w:t>
            </w:r>
          </w:p>
        </w:tc>
        <w:tc>
          <w:tcPr>
            <w:tcW w:w="4100" w:type="dxa"/>
            <w:vAlign w:val="bottom"/>
          </w:tcPr>
          <w:p>
            <w:pPr>
              <w:ind w:left="380"/>
              <w:spacing w:after="0"/>
              <w:rPr>
                <w:sz w:val="20"/>
                <w:szCs w:val="20"/>
                <w:color w:val="auto"/>
              </w:rPr>
            </w:pPr>
            <w:r>
              <w:rPr>
                <w:rFonts w:ascii="Arial" w:cs="Arial" w:eastAsia="Arial" w:hAnsi="Arial"/>
                <w:sz w:val="18"/>
                <w:szCs w:val="18"/>
                <w:color w:val="auto"/>
              </w:rPr>
              <w:t xml:space="preserve">Chemical prime product sales </w:t>
            </w:r>
            <w:r>
              <w:rPr>
                <w:rFonts w:ascii="Arial" w:cs="Arial" w:eastAsia="Arial" w:hAnsi="Arial"/>
                <w:sz w:val="14"/>
                <w:szCs w:val="14"/>
                <w:i w:val="1"/>
                <w:iCs w:val="1"/>
                <w:color w:val="auto"/>
              </w:rPr>
              <w:t>(2) (3)</w:t>
            </w:r>
          </w:p>
        </w:tc>
        <w:tc>
          <w:tcPr>
            <w:tcW w:w="102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30"/>
        </w:trPr>
        <w:tc>
          <w:tcPr>
            <w:tcW w:w="35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100" w:type="dxa"/>
            <w:vAlign w:val="bottom"/>
          </w:tcPr>
          <w:p>
            <w:pPr>
              <w:ind w:left="820"/>
              <w:spacing w:after="0"/>
              <w:rPr>
                <w:sz w:val="20"/>
                <w:szCs w:val="20"/>
                <w:color w:val="auto"/>
              </w:rPr>
            </w:pPr>
            <w:r>
              <w:rPr>
                <w:rFonts w:ascii="Arial" w:cs="Arial" w:eastAsia="Arial" w:hAnsi="Arial"/>
                <w:sz w:val="18"/>
                <w:szCs w:val="18"/>
                <w:color w:val="auto"/>
              </w:rPr>
              <w:t>United States</w:t>
            </w:r>
          </w:p>
        </w:tc>
        <w:tc>
          <w:tcPr>
            <w:tcW w:w="1020" w:type="dxa"/>
            <w:vAlign w:val="bottom"/>
          </w:tcPr>
          <w:p>
            <w:pPr>
              <w:jc w:val="right"/>
              <w:ind w:right="176"/>
              <w:spacing w:after="0"/>
              <w:rPr>
                <w:sz w:val="20"/>
                <w:szCs w:val="20"/>
                <w:color w:val="auto"/>
              </w:rPr>
            </w:pPr>
            <w:r>
              <w:rPr>
                <w:rFonts w:ascii="Arial" w:cs="Arial" w:eastAsia="Arial" w:hAnsi="Arial"/>
                <w:sz w:val="18"/>
                <w:szCs w:val="18"/>
                <w:color w:val="auto"/>
              </w:rPr>
              <w:t>9,724</w:t>
            </w:r>
          </w:p>
        </w:tc>
        <w:tc>
          <w:tcPr>
            <w:tcW w:w="760" w:type="dxa"/>
            <w:vAlign w:val="bottom"/>
          </w:tcPr>
          <w:p>
            <w:pPr>
              <w:jc w:val="right"/>
              <w:spacing w:after="0"/>
              <w:rPr>
                <w:sz w:val="20"/>
                <w:szCs w:val="20"/>
                <w:color w:val="auto"/>
              </w:rPr>
            </w:pPr>
            <w:r>
              <w:rPr>
                <w:rFonts w:ascii="Arial" w:cs="Arial" w:eastAsia="Arial" w:hAnsi="Arial"/>
                <w:sz w:val="18"/>
                <w:szCs w:val="18"/>
                <w:color w:val="auto"/>
              </w:rPr>
              <w:t>9,010</w:t>
            </w:r>
          </w:p>
        </w:tc>
      </w:tr>
      <w:tr>
        <w:trPr>
          <w:trHeight w:val="230"/>
        </w:trPr>
        <w:tc>
          <w:tcPr>
            <w:tcW w:w="35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100" w:type="dxa"/>
            <w:vAlign w:val="bottom"/>
          </w:tcPr>
          <w:p>
            <w:pPr>
              <w:ind w:left="820"/>
              <w:spacing w:after="0"/>
              <w:rPr>
                <w:sz w:val="20"/>
                <w:szCs w:val="20"/>
                <w:color w:val="auto"/>
              </w:rPr>
            </w:pPr>
            <w:r>
              <w:rPr>
                <w:rFonts w:ascii="Arial" w:cs="Arial" w:eastAsia="Arial" w:hAnsi="Arial"/>
                <w:sz w:val="18"/>
                <w:szCs w:val="18"/>
                <w:color w:val="auto"/>
              </w:rPr>
              <w:t>Non-U.S.</w:t>
            </w:r>
          </w:p>
        </w:tc>
        <w:tc>
          <w:tcPr>
            <w:tcW w:w="1020" w:type="dxa"/>
            <w:vAlign w:val="bottom"/>
            <w:tcBorders>
              <w:bottom w:val="single" w:sz="8" w:color="auto"/>
            </w:tcBorders>
          </w:tcPr>
          <w:p>
            <w:pPr>
              <w:jc w:val="right"/>
              <w:ind w:right="176"/>
              <w:spacing w:after="0"/>
              <w:rPr>
                <w:sz w:val="20"/>
                <w:szCs w:val="20"/>
                <w:color w:val="auto"/>
              </w:rPr>
            </w:pPr>
            <w:r>
              <w:rPr>
                <w:rFonts w:ascii="Arial" w:cs="Arial" w:eastAsia="Arial" w:hAnsi="Arial"/>
                <w:sz w:val="18"/>
                <w:szCs w:val="18"/>
                <w:color w:val="auto"/>
              </w:rPr>
              <w:t>16,608</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16,439</w:t>
            </w:r>
          </w:p>
        </w:tc>
      </w:tr>
      <w:tr>
        <w:trPr>
          <w:trHeight w:val="223"/>
        </w:trPr>
        <w:tc>
          <w:tcPr>
            <w:tcW w:w="35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100" w:type="dxa"/>
            <w:vAlign w:val="bottom"/>
          </w:tcPr>
          <w:p>
            <w:pPr>
              <w:ind w:left="1220"/>
              <w:spacing w:after="0"/>
              <w:rPr>
                <w:sz w:val="20"/>
                <w:szCs w:val="20"/>
                <w:color w:val="auto"/>
              </w:rPr>
            </w:pPr>
            <w:r>
              <w:rPr>
                <w:rFonts w:ascii="Arial" w:cs="Arial" w:eastAsia="Arial" w:hAnsi="Arial"/>
                <w:sz w:val="18"/>
                <w:szCs w:val="18"/>
                <w:color w:val="auto"/>
              </w:rPr>
              <w:t>Total</w:t>
            </w:r>
          </w:p>
        </w:tc>
        <w:tc>
          <w:tcPr>
            <w:tcW w:w="1020" w:type="dxa"/>
            <w:vAlign w:val="bottom"/>
            <w:tcBorders>
              <w:bottom w:val="single" w:sz="8" w:color="auto"/>
            </w:tcBorders>
          </w:tcPr>
          <w:p>
            <w:pPr>
              <w:jc w:val="right"/>
              <w:ind w:right="176"/>
              <w:spacing w:after="0"/>
              <w:rPr>
                <w:sz w:val="20"/>
                <w:szCs w:val="20"/>
                <w:color w:val="auto"/>
              </w:rPr>
            </w:pPr>
            <w:r>
              <w:rPr>
                <w:rFonts w:ascii="Arial" w:cs="Arial" w:eastAsia="Arial" w:hAnsi="Arial"/>
                <w:sz w:val="18"/>
                <w:szCs w:val="18"/>
                <w:color w:val="auto"/>
              </w:rPr>
              <w:t>26,332</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25,449</w:t>
            </w:r>
          </w:p>
        </w:tc>
      </w:tr>
    </w:tbl>
    <w:p>
      <w:pPr>
        <w:spacing w:after="0" w:line="337" w:lineRule="exact"/>
        <w:rPr>
          <w:sz w:val="20"/>
          <w:szCs w:val="20"/>
          <w:color w:val="auto"/>
        </w:rPr>
      </w:pPr>
    </w:p>
    <w:p>
      <w:pPr>
        <w:ind w:left="320" w:hanging="312"/>
        <w:spacing w:after="0"/>
        <w:tabs>
          <w:tab w:leader="none" w:pos="32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Natural gas is converted to an oil-equivalent basis at six million cubic feet per one thousand barrels.</w:t>
      </w:r>
    </w:p>
    <w:p>
      <w:pPr>
        <w:spacing w:after="0" w:line="63" w:lineRule="exact"/>
        <w:rPr>
          <w:rFonts w:ascii="Arial" w:cs="Arial" w:eastAsia="Arial" w:hAnsi="Arial"/>
          <w:sz w:val="18"/>
          <w:szCs w:val="18"/>
          <w:i w:val="1"/>
          <w:iCs w:val="1"/>
          <w:color w:val="auto"/>
        </w:rPr>
      </w:pPr>
    </w:p>
    <w:p>
      <w:pPr>
        <w:ind w:left="320" w:hanging="312"/>
        <w:spacing w:after="0"/>
        <w:tabs>
          <w:tab w:leader="none" w:pos="32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Petroleum product and chemical prime product sales data reported net of purchases/sales contracts with the same counterparty.</w:t>
      </w:r>
    </w:p>
    <w:p>
      <w:pPr>
        <w:spacing w:after="0" w:line="63" w:lineRule="exact"/>
        <w:rPr>
          <w:rFonts w:ascii="Arial" w:cs="Arial" w:eastAsia="Arial" w:hAnsi="Arial"/>
          <w:sz w:val="18"/>
          <w:szCs w:val="18"/>
          <w:i w:val="1"/>
          <w:iCs w:val="1"/>
          <w:color w:val="auto"/>
        </w:rPr>
      </w:pPr>
    </w:p>
    <w:p>
      <w:pPr>
        <w:ind w:left="340" w:hanging="332"/>
        <w:spacing w:after="0" w:line="277" w:lineRule="auto"/>
        <w:tabs>
          <w:tab w:leader="none" w:pos="334"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Prime product sales are total product sales including ExxonMobil’s share of equity company volumes and finished-product transfers to the Downstream.</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FINANCIAL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2021</w:t>
            </w:r>
          </w:p>
        </w:tc>
        <w:tc>
          <w:tcPr>
            <w:tcW w:w="110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2020</w:t>
            </w:r>
          </w:p>
        </w:tc>
        <w:tc>
          <w:tcPr>
            <w:tcW w:w="11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2019</w:t>
            </w:r>
          </w:p>
        </w:tc>
      </w:tr>
      <w:tr>
        <w:trPr>
          <w:trHeight w:val="190"/>
        </w:trPr>
        <w:tc>
          <w:tcPr>
            <w:tcW w:w="7800" w:type="dxa"/>
            <w:vAlign w:val="bottom"/>
          </w:tcPr>
          <w:p>
            <w:pPr>
              <w:spacing w:after="0"/>
              <w:rPr>
                <w:sz w:val="16"/>
                <w:szCs w:val="16"/>
                <w:color w:val="auto"/>
              </w:rPr>
            </w:pPr>
          </w:p>
        </w:tc>
        <w:tc>
          <w:tcPr>
            <w:tcW w:w="3440" w:type="dxa"/>
            <w:vAlign w:val="bottom"/>
            <w:gridSpan w:val="3"/>
          </w:tcPr>
          <w:p>
            <w:pPr>
              <w:jc w:val="right"/>
              <w:ind w:right="271"/>
              <w:spacing w:after="0"/>
              <w:rPr>
                <w:sz w:val="20"/>
                <w:szCs w:val="20"/>
                <w:color w:val="auto"/>
              </w:rPr>
            </w:pPr>
            <w:r>
              <w:rPr>
                <w:rFonts w:ascii="Arial" w:cs="Arial" w:eastAsia="Arial" w:hAnsi="Arial"/>
                <w:sz w:val="14"/>
                <w:szCs w:val="14"/>
                <w:i w:val="1"/>
                <w:iCs w:val="1"/>
                <w:color w:val="auto"/>
                <w:w w:val="97"/>
              </w:rPr>
              <w:t>(millions of dollars, except where stated otherwise)</w:t>
            </w:r>
          </w:p>
        </w:tc>
      </w:tr>
      <w:tr>
        <w:trPr>
          <w:trHeight w:val="268"/>
        </w:trPr>
        <w:tc>
          <w:tcPr>
            <w:tcW w:w="7800" w:type="dxa"/>
            <w:vAlign w:val="bottom"/>
          </w:tcPr>
          <w:p>
            <w:pPr>
              <w:ind w:left="20"/>
              <w:spacing w:after="0"/>
              <w:rPr>
                <w:sz w:val="20"/>
                <w:szCs w:val="20"/>
                <w:color w:val="auto"/>
              </w:rPr>
            </w:pPr>
            <w:r>
              <w:rPr>
                <w:rFonts w:ascii="Arial" w:cs="Arial" w:eastAsia="Arial" w:hAnsi="Arial"/>
                <w:sz w:val="18"/>
                <w:szCs w:val="18"/>
                <w:color w:val="auto"/>
              </w:rPr>
              <w:t>Sales and other operating revenue</w:t>
            </w:r>
          </w:p>
        </w:tc>
        <w:tc>
          <w:tcPr>
            <w:tcW w:w="1220" w:type="dxa"/>
            <w:vAlign w:val="bottom"/>
          </w:tcPr>
          <w:p>
            <w:pPr>
              <w:jc w:val="right"/>
              <w:ind w:right="191"/>
              <w:spacing w:after="0"/>
              <w:rPr>
                <w:sz w:val="20"/>
                <w:szCs w:val="20"/>
                <w:color w:val="auto"/>
              </w:rPr>
            </w:pPr>
            <w:r>
              <w:rPr>
                <w:rFonts w:ascii="Arial" w:cs="Arial" w:eastAsia="Arial" w:hAnsi="Arial"/>
                <w:sz w:val="18"/>
                <w:szCs w:val="18"/>
                <w:color w:val="auto"/>
              </w:rPr>
              <w:t>276,692</w:t>
            </w:r>
          </w:p>
        </w:tc>
        <w:tc>
          <w:tcPr>
            <w:tcW w:w="1100" w:type="dxa"/>
            <w:vAlign w:val="bottom"/>
          </w:tcPr>
          <w:p>
            <w:pPr>
              <w:jc w:val="right"/>
              <w:ind w:right="191"/>
              <w:spacing w:after="0"/>
              <w:rPr>
                <w:sz w:val="20"/>
                <w:szCs w:val="20"/>
                <w:color w:val="auto"/>
              </w:rPr>
            </w:pPr>
            <w:r>
              <w:rPr>
                <w:rFonts w:ascii="Arial" w:cs="Arial" w:eastAsia="Arial" w:hAnsi="Arial"/>
                <w:sz w:val="18"/>
                <w:szCs w:val="18"/>
                <w:color w:val="auto"/>
              </w:rPr>
              <w:t>178,574</w:t>
            </w:r>
          </w:p>
        </w:tc>
        <w:tc>
          <w:tcPr>
            <w:tcW w:w="1120" w:type="dxa"/>
            <w:vAlign w:val="bottom"/>
          </w:tcPr>
          <w:p>
            <w:pPr>
              <w:jc w:val="right"/>
              <w:ind w:right="231"/>
              <w:spacing w:after="0"/>
              <w:rPr>
                <w:sz w:val="20"/>
                <w:szCs w:val="20"/>
                <w:color w:val="auto"/>
              </w:rPr>
            </w:pPr>
            <w:r>
              <w:rPr>
                <w:rFonts w:ascii="Arial" w:cs="Arial" w:eastAsia="Arial" w:hAnsi="Arial"/>
                <w:sz w:val="18"/>
                <w:szCs w:val="18"/>
                <w:color w:val="auto"/>
              </w:rPr>
              <w:t>255,583</w:t>
            </w: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Earnings (loss)</w:t>
            </w:r>
          </w:p>
        </w:tc>
        <w:tc>
          <w:tcPr>
            <w:tcW w:w="1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7800" w:type="dxa"/>
            <w:vAlign w:val="bottom"/>
          </w:tcPr>
          <w:p>
            <w:pPr>
              <w:ind w:left="480"/>
              <w:spacing w:after="0"/>
              <w:rPr>
                <w:sz w:val="20"/>
                <w:szCs w:val="20"/>
                <w:color w:val="auto"/>
              </w:rPr>
            </w:pPr>
            <w:r>
              <w:rPr>
                <w:rFonts w:ascii="Arial" w:cs="Arial" w:eastAsia="Arial" w:hAnsi="Arial"/>
                <w:sz w:val="18"/>
                <w:szCs w:val="18"/>
                <w:color w:val="auto"/>
              </w:rPr>
              <w:t>Upstream</w:t>
            </w:r>
          </w:p>
        </w:tc>
        <w:tc>
          <w:tcPr>
            <w:tcW w:w="1220" w:type="dxa"/>
            <w:vAlign w:val="bottom"/>
          </w:tcPr>
          <w:p>
            <w:pPr>
              <w:jc w:val="right"/>
              <w:ind w:right="191"/>
              <w:spacing w:after="0"/>
              <w:rPr>
                <w:sz w:val="20"/>
                <w:szCs w:val="20"/>
                <w:color w:val="auto"/>
              </w:rPr>
            </w:pPr>
            <w:r>
              <w:rPr>
                <w:rFonts w:ascii="Arial" w:cs="Arial" w:eastAsia="Arial" w:hAnsi="Arial"/>
                <w:sz w:val="18"/>
                <w:szCs w:val="18"/>
                <w:color w:val="auto"/>
              </w:rPr>
              <w:t>15,775</w:t>
            </w:r>
          </w:p>
        </w:tc>
        <w:tc>
          <w:tcPr>
            <w:tcW w:w="1100" w:type="dxa"/>
            <w:vAlign w:val="bottom"/>
          </w:tcPr>
          <w:p>
            <w:pPr>
              <w:jc w:val="right"/>
              <w:ind w:right="151"/>
              <w:spacing w:after="0"/>
              <w:rPr>
                <w:sz w:val="20"/>
                <w:szCs w:val="20"/>
                <w:color w:val="auto"/>
              </w:rPr>
            </w:pPr>
            <w:r>
              <w:rPr>
                <w:rFonts w:ascii="Arial" w:cs="Arial" w:eastAsia="Arial" w:hAnsi="Arial"/>
                <w:sz w:val="18"/>
                <w:szCs w:val="18"/>
                <w:color w:val="auto"/>
              </w:rPr>
              <w:t>(20,030)</w:t>
            </w:r>
          </w:p>
        </w:tc>
        <w:tc>
          <w:tcPr>
            <w:tcW w:w="1120" w:type="dxa"/>
            <w:vAlign w:val="bottom"/>
          </w:tcPr>
          <w:p>
            <w:pPr>
              <w:jc w:val="right"/>
              <w:ind w:right="231"/>
              <w:spacing w:after="0"/>
              <w:rPr>
                <w:sz w:val="20"/>
                <w:szCs w:val="20"/>
                <w:color w:val="auto"/>
              </w:rPr>
            </w:pPr>
            <w:r>
              <w:rPr>
                <w:rFonts w:ascii="Arial" w:cs="Arial" w:eastAsia="Arial" w:hAnsi="Arial"/>
                <w:sz w:val="18"/>
                <w:szCs w:val="18"/>
                <w:color w:val="auto"/>
              </w:rPr>
              <w:t>14,442</w:t>
            </w:r>
          </w:p>
        </w:tc>
      </w:tr>
      <w:tr>
        <w:trPr>
          <w:trHeight w:val="230"/>
        </w:trPr>
        <w:tc>
          <w:tcPr>
            <w:tcW w:w="7800" w:type="dxa"/>
            <w:vAlign w:val="bottom"/>
          </w:tcPr>
          <w:p>
            <w:pPr>
              <w:ind w:left="480"/>
              <w:spacing w:after="0"/>
              <w:rPr>
                <w:sz w:val="20"/>
                <w:szCs w:val="20"/>
                <w:color w:val="auto"/>
              </w:rPr>
            </w:pPr>
            <w:r>
              <w:rPr>
                <w:rFonts w:ascii="Arial" w:cs="Arial" w:eastAsia="Arial" w:hAnsi="Arial"/>
                <w:sz w:val="18"/>
                <w:szCs w:val="18"/>
                <w:color w:val="auto"/>
              </w:rPr>
              <w:t>Downstream</w:t>
            </w:r>
          </w:p>
        </w:tc>
        <w:tc>
          <w:tcPr>
            <w:tcW w:w="1220" w:type="dxa"/>
            <w:vAlign w:val="bottom"/>
          </w:tcPr>
          <w:p>
            <w:pPr>
              <w:jc w:val="right"/>
              <w:ind w:right="191"/>
              <w:spacing w:after="0"/>
              <w:rPr>
                <w:sz w:val="20"/>
                <w:szCs w:val="20"/>
                <w:color w:val="auto"/>
              </w:rPr>
            </w:pPr>
            <w:r>
              <w:rPr>
                <w:rFonts w:ascii="Arial" w:cs="Arial" w:eastAsia="Arial" w:hAnsi="Arial"/>
                <w:sz w:val="18"/>
                <w:szCs w:val="18"/>
                <w:color w:val="auto"/>
              </w:rPr>
              <w:t>2,105</w:t>
            </w:r>
          </w:p>
        </w:tc>
        <w:tc>
          <w:tcPr>
            <w:tcW w:w="1100" w:type="dxa"/>
            <w:vAlign w:val="bottom"/>
          </w:tcPr>
          <w:p>
            <w:pPr>
              <w:jc w:val="right"/>
              <w:ind w:right="151"/>
              <w:spacing w:after="0"/>
              <w:rPr>
                <w:sz w:val="20"/>
                <w:szCs w:val="20"/>
                <w:color w:val="auto"/>
              </w:rPr>
            </w:pPr>
            <w:r>
              <w:rPr>
                <w:rFonts w:ascii="Arial" w:cs="Arial" w:eastAsia="Arial" w:hAnsi="Arial"/>
                <w:sz w:val="18"/>
                <w:szCs w:val="18"/>
                <w:color w:val="auto"/>
              </w:rPr>
              <w:t>(1,077)</w:t>
            </w:r>
          </w:p>
        </w:tc>
        <w:tc>
          <w:tcPr>
            <w:tcW w:w="1120" w:type="dxa"/>
            <w:vAlign w:val="bottom"/>
          </w:tcPr>
          <w:p>
            <w:pPr>
              <w:jc w:val="right"/>
              <w:ind w:right="231"/>
              <w:spacing w:after="0"/>
              <w:rPr>
                <w:sz w:val="20"/>
                <w:szCs w:val="20"/>
                <w:color w:val="auto"/>
              </w:rPr>
            </w:pPr>
            <w:r>
              <w:rPr>
                <w:rFonts w:ascii="Arial" w:cs="Arial" w:eastAsia="Arial" w:hAnsi="Arial"/>
                <w:sz w:val="18"/>
                <w:szCs w:val="18"/>
                <w:color w:val="auto"/>
              </w:rPr>
              <w:t>2,323</w:t>
            </w:r>
          </w:p>
        </w:tc>
      </w:tr>
      <w:tr>
        <w:trPr>
          <w:trHeight w:val="229"/>
        </w:trPr>
        <w:tc>
          <w:tcPr>
            <w:tcW w:w="7800" w:type="dxa"/>
            <w:vAlign w:val="bottom"/>
          </w:tcPr>
          <w:p>
            <w:pPr>
              <w:ind w:left="480"/>
              <w:spacing w:after="0"/>
              <w:rPr>
                <w:sz w:val="20"/>
                <w:szCs w:val="20"/>
                <w:color w:val="auto"/>
              </w:rPr>
            </w:pPr>
            <w:r>
              <w:rPr>
                <w:rFonts w:ascii="Arial" w:cs="Arial" w:eastAsia="Arial" w:hAnsi="Arial"/>
                <w:sz w:val="18"/>
                <w:szCs w:val="18"/>
                <w:color w:val="auto"/>
              </w:rPr>
              <w:t>Chemical</w:t>
            </w:r>
          </w:p>
        </w:tc>
        <w:tc>
          <w:tcPr>
            <w:tcW w:w="1220" w:type="dxa"/>
            <w:vAlign w:val="bottom"/>
          </w:tcPr>
          <w:p>
            <w:pPr>
              <w:jc w:val="right"/>
              <w:ind w:right="191"/>
              <w:spacing w:after="0"/>
              <w:rPr>
                <w:sz w:val="20"/>
                <w:szCs w:val="20"/>
                <w:color w:val="auto"/>
              </w:rPr>
            </w:pPr>
            <w:r>
              <w:rPr>
                <w:rFonts w:ascii="Arial" w:cs="Arial" w:eastAsia="Arial" w:hAnsi="Arial"/>
                <w:sz w:val="18"/>
                <w:szCs w:val="18"/>
                <w:color w:val="auto"/>
              </w:rPr>
              <w:t>7,796</w:t>
            </w:r>
          </w:p>
        </w:tc>
        <w:tc>
          <w:tcPr>
            <w:tcW w:w="1100" w:type="dxa"/>
            <w:vAlign w:val="bottom"/>
          </w:tcPr>
          <w:p>
            <w:pPr>
              <w:jc w:val="right"/>
              <w:ind w:right="191"/>
              <w:spacing w:after="0"/>
              <w:rPr>
                <w:sz w:val="20"/>
                <w:szCs w:val="20"/>
                <w:color w:val="auto"/>
              </w:rPr>
            </w:pPr>
            <w:r>
              <w:rPr>
                <w:rFonts w:ascii="Arial" w:cs="Arial" w:eastAsia="Arial" w:hAnsi="Arial"/>
                <w:sz w:val="18"/>
                <w:szCs w:val="18"/>
                <w:color w:val="auto"/>
              </w:rPr>
              <w:t>1,963</w:t>
            </w:r>
          </w:p>
        </w:tc>
        <w:tc>
          <w:tcPr>
            <w:tcW w:w="1120" w:type="dxa"/>
            <w:vAlign w:val="bottom"/>
          </w:tcPr>
          <w:p>
            <w:pPr>
              <w:jc w:val="right"/>
              <w:ind w:right="231"/>
              <w:spacing w:after="0"/>
              <w:rPr>
                <w:sz w:val="20"/>
                <w:szCs w:val="20"/>
                <w:color w:val="auto"/>
              </w:rPr>
            </w:pPr>
            <w:r>
              <w:rPr>
                <w:rFonts w:ascii="Arial" w:cs="Arial" w:eastAsia="Arial" w:hAnsi="Arial"/>
                <w:sz w:val="18"/>
                <w:szCs w:val="18"/>
                <w:color w:val="auto"/>
              </w:rPr>
              <w:t>592</w:t>
            </w:r>
          </w:p>
        </w:tc>
      </w:tr>
      <w:tr>
        <w:trPr>
          <w:trHeight w:val="230"/>
        </w:trPr>
        <w:tc>
          <w:tcPr>
            <w:tcW w:w="7800" w:type="dxa"/>
            <w:vAlign w:val="bottom"/>
          </w:tcPr>
          <w:p>
            <w:pPr>
              <w:ind w:left="480"/>
              <w:spacing w:after="0"/>
              <w:rPr>
                <w:sz w:val="20"/>
                <w:szCs w:val="20"/>
                <w:color w:val="auto"/>
              </w:rPr>
            </w:pPr>
            <w:r>
              <w:rPr>
                <w:rFonts w:ascii="Arial" w:cs="Arial" w:eastAsia="Arial" w:hAnsi="Arial"/>
                <w:sz w:val="18"/>
                <w:szCs w:val="18"/>
                <w:color w:val="auto"/>
              </w:rPr>
              <w:t>Corporate and Financing</w:t>
            </w:r>
          </w:p>
        </w:tc>
        <w:tc>
          <w:tcPr>
            <w:tcW w:w="122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(2,636)</w:t>
            </w:r>
          </w:p>
        </w:tc>
        <w:tc>
          <w:tcPr>
            <w:tcW w:w="11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(3,296)</w:t>
            </w:r>
          </w:p>
        </w:tc>
        <w:tc>
          <w:tcPr>
            <w:tcW w:w="112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(3,017)</w:t>
            </w:r>
          </w:p>
        </w:tc>
      </w:tr>
      <w:tr>
        <w:trPr>
          <w:trHeight w:val="223"/>
        </w:trPr>
        <w:tc>
          <w:tcPr>
            <w:tcW w:w="7800" w:type="dxa"/>
            <w:vAlign w:val="bottom"/>
          </w:tcPr>
          <w:p>
            <w:pPr>
              <w:ind w:left="480"/>
              <w:spacing w:after="0"/>
              <w:rPr>
                <w:sz w:val="20"/>
                <w:szCs w:val="20"/>
                <w:color w:val="auto"/>
              </w:rPr>
            </w:pPr>
            <w:r>
              <w:rPr>
                <w:rFonts w:ascii="Arial" w:cs="Arial" w:eastAsia="Arial" w:hAnsi="Arial"/>
                <w:sz w:val="18"/>
                <w:szCs w:val="18"/>
                <w:color w:val="auto"/>
              </w:rPr>
              <w:t>Net income (loss) attributable to ExxonMobil</w:t>
            </w:r>
          </w:p>
        </w:tc>
        <w:tc>
          <w:tcPr>
            <w:tcW w:w="122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23,040</w:t>
            </w:r>
          </w:p>
        </w:tc>
        <w:tc>
          <w:tcPr>
            <w:tcW w:w="11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(22,440)</w:t>
            </w:r>
          </w:p>
        </w:tc>
        <w:tc>
          <w:tcPr>
            <w:tcW w:w="112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14,340</w:t>
            </w:r>
          </w:p>
        </w:tc>
      </w:tr>
      <w:tr>
        <w:trPr>
          <w:trHeight w:val="222"/>
        </w:trPr>
        <w:tc>
          <w:tcPr>
            <w:tcW w:w="7800" w:type="dxa"/>
            <w:vAlign w:val="bottom"/>
          </w:tcPr>
          <w:p>
            <w:pPr>
              <w:ind w:left="20"/>
              <w:spacing w:after="0"/>
              <w:rPr>
                <w:sz w:val="20"/>
                <w:szCs w:val="20"/>
                <w:color w:val="auto"/>
              </w:rPr>
            </w:pPr>
            <w:r>
              <w:rPr>
                <w:rFonts w:ascii="Arial" w:cs="Arial" w:eastAsia="Arial" w:hAnsi="Arial"/>
                <w:sz w:val="18"/>
                <w:szCs w:val="18"/>
                <w:color w:val="auto"/>
              </w:rPr>
              <w:t>Earnings (loss) per common share (dollars)</w:t>
            </w:r>
          </w:p>
        </w:tc>
        <w:tc>
          <w:tcPr>
            <w:tcW w:w="1220" w:type="dxa"/>
            <w:vAlign w:val="bottom"/>
          </w:tcPr>
          <w:p>
            <w:pPr>
              <w:jc w:val="right"/>
              <w:ind w:right="191"/>
              <w:spacing w:after="0"/>
              <w:rPr>
                <w:sz w:val="20"/>
                <w:szCs w:val="20"/>
                <w:color w:val="auto"/>
              </w:rPr>
            </w:pPr>
            <w:r>
              <w:rPr>
                <w:rFonts w:ascii="Arial" w:cs="Arial" w:eastAsia="Arial" w:hAnsi="Arial"/>
                <w:sz w:val="18"/>
                <w:szCs w:val="18"/>
                <w:color w:val="auto"/>
              </w:rPr>
              <w:t>5.39</w:t>
            </w:r>
          </w:p>
        </w:tc>
        <w:tc>
          <w:tcPr>
            <w:tcW w:w="1100" w:type="dxa"/>
            <w:vAlign w:val="bottom"/>
          </w:tcPr>
          <w:p>
            <w:pPr>
              <w:jc w:val="right"/>
              <w:ind w:right="151"/>
              <w:spacing w:after="0"/>
              <w:rPr>
                <w:sz w:val="20"/>
                <w:szCs w:val="20"/>
                <w:color w:val="auto"/>
              </w:rPr>
            </w:pPr>
            <w:r>
              <w:rPr>
                <w:rFonts w:ascii="Arial" w:cs="Arial" w:eastAsia="Arial" w:hAnsi="Arial"/>
                <w:sz w:val="18"/>
                <w:szCs w:val="18"/>
                <w:color w:val="auto"/>
              </w:rPr>
              <w:t>(5.25)</w:t>
            </w:r>
          </w:p>
        </w:tc>
        <w:tc>
          <w:tcPr>
            <w:tcW w:w="1120" w:type="dxa"/>
            <w:vAlign w:val="bottom"/>
          </w:tcPr>
          <w:p>
            <w:pPr>
              <w:jc w:val="right"/>
              <w:ind w:right="231"/>
              <w:spacing w:after="0"/>
              <w:rPr>
                <w:sz w:val="20"/>
                <w:szCs w:val="20"/>
                <w:color w:val="auto"/>
              </w:rPr>
            </w:pPr>
            <w:r>
              <w:rPr>
                <w:rFonts w:ascii="Arial" w:cs="Arial" w:eastAsia="Arial" w:hAnsi="Arial"/>
                <w:sz w:val="18"/>
                <w:szCs w:val="18"/>
                <w:color w:val="auto"/>
              </w:rPr>
              <w:t>3.36</w:t>
            </w: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Earnings (loss) per common share – assuming dilution (dollars)</w:t>
            </w:r>
          </w:p>
        </w:tc>
        <w:tc>
          <w:tcPr>
            <w:tcW w:w="1220" w:type="dxa"/>
            <w:vAlign w:val="bottom"/>
          </w:tcPr>
          <w:p>
            <w:pPr>
              <w:jc w:val="right"/>
              <w:ind w:right="191"/>
              <w:spacing w:after="0"/>
              <w:rPr>
                <w:sz w:val="20"/>
                <w:szCs w:val="20"/>
                <w:color w:val="auto"/>
              </w:rPr>
            </w:pPr>
            <w:r>
              <w:rPr>
                <w:rFonts w:ascii="Arial" w:cs="Arial" w:eastAsia="Arial" w:hAnsi="Arial"/>
                <w:sz w:val="18"/>
                <w:szCs w:val="18"/>
                <w:color w:val="auto"/>
              </w:rPr>
              <w:t>5.39</w:t>
            </w:r>
          </w:p>
        </w:tc>
        <w:tc>
          <w:tcPr>
            <w:tcW w:w="1100" w:type="dxa"/>
            <w:vAlign w:val="bottom"/>
          </w:tcPr>
          <w:p>
            <w:pPr>
              <w:jc w:val="right"/>
              <w:ind w:right="151"/>
              <w:spacing w:after="0"/>
              <w:rPr>
                <w:sz w:val="20"/>
                <w:szCs w:val="20"/>
                <w:color w:val="auto"/>
              </w:rPr>
            </w:pPr>
            <w:r>
              <w:rPr>
                <w:rFonts w:ascii="Arial" w:cs="Arial" w:eastAsia="Arial" w:hAnsi="Arial"/>
                <w:sz w:val="18"/>
                <w:szCs w:val="18"/>
                <w:color w:val="auto"/>
              </w:rPr>
              <w:t>(5.25)</w:t>
            </w:r>
          </w:p>
        </w:tc>
        <w:tc>
          <w:tcPr>
            <w:tcW w:w="1120" w:type="dxa"/>
            <w:vAlign w:val="bottom"/>
          </w:tcPr>
          <w:p>
            <w:pPr>
              <w:jc w:val="right"/>
              <w:ind w:right="231"/>
              <w:spacing w:after="0"/>
              <w:rPr>
                <w:sz w:val="20"/>
                <w:szCs w:val="20"/>
                <w:color w:val="auto"/>
              </w:rPr>
            </w:pPr>
            <w:r>
              <w:rPr>
                <w:rFonts w:ascii="Arial" w:cs="Arial" w:eastAsia="Arial" w:hAnsi="Arial"/>
                <w:sz w:val="18"/>
                <w:szCs w:val="18"/>
                <w:color w:val="auto"/>
              </w:rPr>
              <w:t>3.36</w:t>
            </w:r>
          </w:p>
        </w:tc>
      </w:tr>
      <w:tr>
        <w:trPr>
          <w:trHeight w:val="499"/>
        </w:trPr>
        <w:tc>
          <w:tcPr>
            <w:tcW w:w="7800" w:type="dxa"/>
            <w:vAlign w:val="bottom"/>
          </w:tcPr>
          <w:p>
            <w:pPr>
              <w:ind w:left="20"/>
              <w:spacing w:after="0"/>
              <w:rPr>
                <w:sz w:val="20"/>
                <w:szCs w:val="20"/>
                <w:color w:val="auto"/>
              </w:rPr>
            </w:pPr>
            <w:r>
              <w:rPr>
                <w:rFonts w:ascii="Arial" w:cs="Arial" w:eastAsia="Arial" w:hAnsi="Arial"/>
                <w:sz w:val="18"/>
                <w:szCs w:val="18"/>
                <w:color w:val="auto"/>
              </w:rPr>
              <w:t>Earnings (loss) to average ExxonMobil share of equity (percent)</w:t>
            </w:r>
          </w:p>
        </w:tc>
        <w:tc>
          <w:tcPr>
            <w:tcW w:w="1220" w:type="dxa"/>
            <w:vAlign w:val="bottom"/>
          </w:tcPr>
          <w:p>
            <w:pPr>
              <w:jc w:val="right"/>
              <w:ind w:right="191"/>
              <w:spacing w:after="0"/>
              <w:rPr>
                <w:sz w:val="20"/>
                <w:szCs w:val="20"/>
                <w:color w:val="auto"/>
              </w:rPr>
            </w:pPr>
            <w:r>
              <w:rPr>
                <w:rFonts w:ascii="Arial" w:cs="Arial" w:eastAsia="Arial" w:hAnsi="Arial"/>
                <w:sz w:val="18"/>
                <w:szCs w:val="18"/>
                <w:color w:val="auto"/>
              </w:rPr>
              <w:t>14.1</w:t>
            </w:r>
          </w:p>
        </w:tc>
        <w:tc>
          <w:tcPr>
            <w:tcW w:w="1100" w:type="dxa"/>
            <w:vAlign w:val="bottom"/>
          </w:tcPr>
          <w:p>
            <w:pPr>
              <w:jc w:val="right"/>
              <w:ind w:right="151"/>
              <w:spacing w:after="0"/>
              <w:rPr>
                <w:sz w:val="20"/>
                <w:szCs w:val="20"/>
                <w:color w:val="auto"/>
              </w:rPr>
            </w:pPr>
            <w:r>
              <w:rPr>
                <w:rFonts w:ascii="Arial" w:cs="Arial" w:eastAsia="Arial" w:hAnsi="Arial"/>
                <w:sz w:val="18"/>
                <w:szCs w:val="18"/>
                <w:color w:val="auto"/>
              </w:rPr>
              <w:t>(12.9)</w:t>
            </w:r>
          </w:p>
        </w:tc>
        <w:tc>
          <w:tcPr>
            <w:tcW w:w="1120" w:type="dxa"/>
            <w:vAlign w:val="bottom"/>
          </w:tcPr>
          <w:p>
            <w:pPr>
              <w:jc w:val="right"/>
              <w:ind w:right="231"/>
              <w:spacing w:after="0"/>
              <w:rPr>
                <w:sz w:val="20"/>
                <w:szCs w:val="20"/>
                <w:color w:val="auto"/>
              </w:rPr>
            </w:pPr>
            <w:r>
              <w:rPr>
                <w:rFonts w:ascii="Arial" w:cs="Arial" w:eastAsia="Arial" w:hAnsi="Arial"/>
                <w:sz w:val="18"/>
                <w:szCs w:val="18"/>
                <w:color w:val="auto"/>
              </w:rPr>
              <w:t>7.5</w:t>
            </w:r>
          </w:p>
        </w:tc>
      </w:tr>
      <w:tr>
        <w:trPr>
          <w:trHeight w:val="499"/>
        </w:trPr>
        <w:tc>
          <w:tcPr>
            <w:tcW w:w="7800" w:type="dxa"/>
            <w:vAlign w:val="bottom"/>
          </w:tcPr>
          <w:p>
            <w:pPr>
              <w:ind w:left="20"/>
              <w:spacing w:after="0"/>
              <w:rPr>
                <w:sz w:val="20"/>
                <w:szCs w:val="20"/>
                <w:color w:val="auto"/>
              </w:rPr>
            </w:pPr>
            <w:r>
              <w:rPr>
                <w:rFonts w:ascii="Arial" w:cs="Arial" w:eastAsia="Arial" w:hAnsi="Arial"/>
                <w:sz w:val="18"/>
                <w:szCs w:val="18"/>
                <w:color w:val="auto"/>
              </w:rPr>
              <w:t>Working capital</w:t>
            </w:r>
          </w:p>
        </w:tc>
        <w:tc>
          <w:tcPr>
            <w:tcW w:w="1220" w:type="dxa"/>
            <w:vAlign w:val="bottom"/>
          </w:tcPr>
          <w:p>
            <w:pPr>
              <w:jc w:val="right"/>
              <w:ind w:right="191"/>
              <w:spacing w:after="0"/>
              <w:rPr>
                <w:sz w:val="20"/>
                <w:szCs w:val="20"/>
                <w:color w:val="auto"/>
              </w:rPr>
            </w:pPr>
            <w:r>
              <w:rPr>
                <w:rFonts w:ascii="Arial" w:cs="Arial" w:eastAsia="Arial" w:hAnsi="Arial"/>
                <w:sz w:val="18"/>
                <w:szCs w:val="18"/>
                <w:color w:val="auto"/>
              </w:rPr>
              <w:t>2,511</w:t>
            </w:r>
          </w:p>
        </w:tc>
        <w:tc>
          <w:tcPr>
            <w:tcW w:w="1100" w:type="dxa"/>
            <w:vAlign w:val="bottom"/>
          </w:tcPr>
          <w:p>
            <w:pPr>
              <w:jc w:val="right"/>
              <w:ind w:right="151"/>
              <w:spacing w:after="0"/>
              <w:rPr>
                <w:sz w:val="20"/>
                <w:szCs w:val="20"/>
                <w:color w:val="auto"/>
              </w:rPr>
            </w:pPr>
            <w:r>
              <w:rPr>
                <w:rFonts w:ascii="Arial" w:cs="Arial" w:eastAsia="Arial" w:hAnsi="Arial"/>
                <w:sz w:val="18"/>
                <w:szCs w:val="18"/>
                <w:color w:val="auto"/>
              </w:rPr>
              <w:t>(11,470)</w:t>
            </w:r>
          </w:p>
        </w:tc>
        <w:tc>
          <w:tcPr>
            <w:tcW w:w="1120" w:type="dxa"/>
            <w:vAlign w:val="bottom"/>
          </w:tcPr>
          <w:p>
            <w:pPr>
              <w:jc w:val="right"/>
              <w:ind w:right="171"/>
              <w:spacing w:after="0"/>
              <w:rPr>
                <w:sz w:val="20"/>
                <w:szCs w:val="20"/>
                <w:color w:val="auto"/>
              </w:rPr>
            </w:pPr>
            <w:r>
              <w:rPr>
                <w:rFonts w:ascii="Arial" w:cs="Arial" w:eastAsia="Arial" w:hAnsi="Arial"/>
                <w:sz w:val="18"/>
                <w:szCs w:val="18"/>
                <w:color w:val="auto"/>
              </w:rPr>
              <w:t>(13,937)</w:t>
            </w: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Ratio of current assets to current liabilities (times)</w:t>
            </w:r>
          </w:p>
        </w:tc>
        <w:tc>
          <w:tcPr>
            <w:tcW w:w="1220" w:type="dxa"/>
            <w:vAlign w:val="bottom"/>
          </w:tcPr>
          <w:p>
            <w:pPr>
              <w:jc w:val="right"/>
              <w:ind w:right="191"/>
              <w:spacing w:after="0"/>
              <w:rPr>
                <w:sz w:val="20"/>
                <w:szCs w:val="20"/>
                <w:color w:val="auto"/>
              </w:rPr>
            </w:pPr>
            <w:r>
              <w:rPr>
                <w:rFonts w:ascii="Arial" w:cs="Arial" w:eastAsia="Arial" w:hAnsi="Arial"/>
                <w:sz w:val="18"/>
                <w:szCs w:val="18"/>
                <w:color w:val="auto"/>
              </w:rPr>
              <w:t>1.04</w:t>
            </w:r>
          </w:p>
        </w:tc>
        <w:tc>
          <w:tcPr>
            <w:tcW w:w="1100" w:type="dxa"/>
            <w:vAlign w:val="bottom"/>
          </w:tcPr>
          <w:p>
            <w:pPr>
              <w:jc w:val="right"/>
              <w:ind w:right="191"/>
              <w:spacing w:after="0"/>
              <w:rPr>
                <w:sz w:val="20"/>
                <w:szCs w:val="20"/>
                <w:color w:val="auto"/>
              </w:rPr>
            </w:pPr>
            <w:r>
              <w:rPr>
                <w:rFonts w:ascii="Arial" w:cs="Arial" w:eastAsia="Arial" w:hAnsi="Arial"/>
                <w:sz w:val="18"/>
                <w:szCs w:val="18"/>
                <w:color w:val="auto"/>
              </w:rPr>
              <w:t>0.80</w:t>
            </w:r>
          </w:p>
        </w:tc>
        <w:tc>
          <w:tcPr>
            <w:tcW w:w="1120" w:type="dxa"/>
            <w:vAlign w:val="bottom"/>
          </w:tcPr>
          <w:p>
            <w:pPr>
              <w:jc w:val="right"/>
              <w:ind w:right="231"/>
              <w:spacing w:after="0"/>
              <w:rPr>
                <w:sz w:val="20"/>
                <w:szCs w:val="20"/>
                <w:color w:val="auto"/>
              </w:rPr>
            </w:pPr>
            <w:r>
              <w:rPr>
                <w:rFonts w:ascii="Arial" w:cs="Arial" w:eastAsia="Arial" w:hAnsi="Arial"/>
                <w:sz w:val="18"/>
                <w:szCs w:val="18"/>
                <w:color w:val="auto"/>
              </w:rPr>
              <w:t>0.78</w:t>
            </w:r>
          </w:p>
        </w:tc>
      </w:tr>
      <w:tr>
        <w:trPr>
          <w:trHeight w:val="499"/>
        </w:trPr>
        <w:tc>
          <w:tcPr>
            <w:tcW w:w="7800" w:type="dxa"/>
            <w:vAlign w:val="bottom"/>
          </w:tcPr>
          <w:p>
            <w:pPr>
              <w:ind w:left="20"/>
              <w:spacing w:after="0"/>
              <w:rPr>
                <w:sz w:val="20"/>
                <w:szCs w:val="20"/>
                <w:color w:val="auto"/>
              </w:rPr>
            </w:pPr>
            <w:r>
              <w:rPr>
                <w:rFonts w:ascii="Arial" w:cs="Arial" w:eastAsia="Arial" w:hAnsi="Arial"/>
                <w:sz w:val="18"/>
                <w:szCs w:val="18"/>
                <w:color w:val="auto"/>
              </w:rPr>
              <w:t>Additions to property, plant and equipment</w:t>
            </w:r>
          </w:p>
        </w:tc>
        <w:tc>
          <w:tcPr>
            <w:tcW w:w="1220" w:type="dxa"/>
            <w:vAlign w:val="bottom"/>
          </w:tcPr>
          <w:p>
            <w:pPr>
              <w:jc w:val="right"/>
              <w:ind w:right="191"/>
              <w:spacing w:after="0"/>
              <w:rPr>
                <w:sz w:val="20"/>
                <w:szCs w:val="20"/>
                <w:color w:val="auto"/>
              </w:rPr>
            </w:pPr>
            <w:r>
              <w:rPr>
                <w:rFonts w:ascii="Arial" w:cs="Arial" w:eastAsia="Arial" w:hAnsi="Arial"/>
                <w:sz w:val="18"/>
                <w:szCs w:val="18"/>
                <w:color w:val="auto"/>
              </w:rPr>
              <w:t>12,541</w:t>
            </w:r>
          </w:p>
        </w:tc>
        <w:tc>
          <w:tcPr>
            <w:tcW w:w="1100" w:type="dxa"/>
            <w:vAlign w:val="bottom"/>
          </w:tcPr>
          <w:p>
            <w:pPr>
              <w:jc w:val="right"/>
              <w:ind w:right="191"/>
              <w:spacing w:after="0"/>
              <w:rPr>
                <w:sz w:val="20"/>
                <w:szCs w:val="20"/>
                <w:color w:val="auto"/>
              </w:rPr>
            </w:pPr>
            <w:r>
              <w:rPr>
                <w:rFonts w:ascii="Arial" w:cs="Arial" w:eastAsia="Arial" w:hAnsi="Arial"/>
                <w:sz w:val="18"/>
                <w:szCs w:val="18"/>
                <w:color w:val="auto"/>
              </w:rPr>
              <w:t>17,342</w:t>
            </w:r>
          </w:p>
        </w:tc>
        <w:tc>
          <w:tcPr>
            <w:tcW w:w="1120" w:type="dxa"/>
            <w:vAlign w:val="bottom"/>
          </w:tcPr>
          <w:p>
            <w:pPr>
              <w:jc w:val="right"/>
              <w:ind w:right="231"/>
              <w:spacing w:after="0"/>
              <w:rPr>
                <w:sz w:val="20"/>
                <w:szCs w:val="20"/>
                <w:color w:val="auto"/>
              </w:rPr>
            </w:pPr>
            <w:r>
              <w:rPr>
                <w:rFonts w:ascii="Arial" w:cs="Arial" w:eastAsia="Arial" w:hAnsi="Arial"/>
                <w:sz w:val="18"/>
                <w:szCs w:val="18"/>
                <w:color w:val="auto"/>
              </w:rPr>
              <w:t>24,904</w:t>
            </w: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Property, plant and equipment, less allowances</w:t>
            </w:r>
          </w:p>
        </w:tc>
        <w:tc>
          <w:tcPr>
            <w:tcW w:w="1220" w:type="dxa"/>
            <w:vAlign w:val="bottom"/>
          </w:tcPr>
          <w:p>
            <w:pPr>
              <w:jc w:val="right"/>
              <w:ind w:right="191"/>
              <w:spacing w:after="0"/>
              <w:rPr>
                <w:sz w:val="20"/>
                <w:szCs w:val="20"/>
                <w:color w:val="auto"/>
              </w:rPr>
            </w:pPr>
            <w:r>
              <w:rPr>
                <w:rFonts w:ascii="Arial" w:cs="Arial" w:eastAsia="Arial" w:hAnsi="Arial"/>
                <w:sz w:val="18"/>
                <w:szCs w:val="18"/>
                <w:color w:val="auto"/>
              </w:rPr>
              <w:t>216,552</w:t>
            </w:r>
          </w:p>
        </w:tc>
        <w:tc>
          <w:tcPr>
            <w:tcW w:w="1100" w:type="dxa"/>
            <w:vAlign w:val="bottom"/>
          </w:tcPr>
          <w:p>
            <w:pPr>
              <w:jc w:val="right"/>
              <w:ind w:right="191"/>
              <w:spacing w:after="0"/>
              <w:rPr>
                <w:sz w:val="20"/>
                <w:szCs w:val="20"/>
                <w:color w:val="auto"/>
              </w:rPr>
            </w:pPr>
            <w:r>
              <w:rPr>
                <w:rFonts w:ascii="Arial" w:cs="Arial" w:eastAsia="Arial" w:hAnsi="Arial"/>
                <w:sz w:val="18"/>
                <w:szCs w:val="18"/>
                <w:color w:val="auto"/>
              </w:rPr>
              <w:t>227,553</w:t>
            </w:r>
          </w:p>
        </w:tc>
        <w:tc>
          <w:tcPr>
            <w:tcW w:w="1120" w:type="dxa"/>
            <w:vAlign w:val="bottom"/>
          </w:tcPr>
          <w:p>
            <w:pPr>
              <w:jc w:val="right"/>
              <w:ind w:right="231"/>
              <w:spacing w:after="0"/>
              <w:rPr>
                <w:sz w:val="20"/>
                <w:szCs w:val="20"/>
                <w:color w:val="auto"/>
              </w:rPr>
            </w:pPr>
            <w:r>
              <w:rPr>
                <w:rFonts w:ascii="Arial" w:cs="Arial" w:eastAsia="Arial" w:hAnsi="Arial"/>
                <w:sz w:val="18"/>
                <w:szCs w:val="18"/>
                <w:color w:val="auto"/>
              </w:rPr>
              <w:t>253,018</w:t>
            </w: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220" w:type="dxa"/>
            <w:vAlign w:val="bottom"/>
          </w:tcPr>
          <w:p>
            <w:pPr>
              <w:jc w:val="right"/>
              <w:ind w:right="191"/>
              <w:spacing w:after="0"/>
              <w:rPr>
                <w:sz w:val="20"/>
                <w:szCs w:val="20"/>
                <w:color w:val="auto"/>
              </w:rPr>
            </w:pPr>
            <w:r>
              <w:rPr>
                <w:rFonts w:ascii="Arial" w:cs="Arial" w:eastAsia="Arial" w:hAnsi="Arial"/>
                <w:sz w:val="18"/>
                <w:szCs w:val="18"/>
                <w:color w:val="auto"/>
              </w:rPr>
              <w:t>338,923</w:t>
            </w:r>
          </w:p>
        </w:tc>
        <w:tc>
          <w:tcPr>
            <w:tcW w:w="1100" w:type="dxa"/>
            <w:vAlign w:val="bottom"/>
          </w:tcPr>
          <w:p>
            <w:pPr>
              <w:jc w:val="right"/>
              <w:ind w:right="191"/>
              <w:spacing w:after="0"/>
              <w:rPr>
                <w:sz w:val="20"/>
                <w:szCs w:val="20"/>
                <w:color w:val="auto"/>
              </w:rPr>
            </w:pPr>
            <w:r>
              <w:rPr>
                <w:rFonts w:ascii="Arial" w:cs="Arial" w:eastAsia="Arial" w:hAnsi="Arial"/>
                <w:sz w:val="18"/>
                <w:szCs w:val="18"/>
                <w:color w:val="auto"/>
              </w:rPr>
              <w:t>332,750</w:t>
            </w:r>
          </w:p>
        </w:tc>
        <w:tc>
          <w:tcPr>
            <w:tcW w:w="1120" w:type="dxa"/>
            <w:vAlign w:val="bottom"/>
          </w:tcPr>
          <w:p>
            <w:pPr>
              <w:jc w:val="right"/>
              <w:ind w:right="231"/>
              <w:spacing w:after="0"/>
              <w:rPr>
                <w:sz w:val="20"/>
                <w:szCs w:val="20"/>
                <w:color w:val="auto"/>
              </w:rPr>
            </w:pPr>
            <w:r>
              <w:rPr>
                <w:rFonts w:ascii="Arial" w:cs="Arial" w:eastAsia="Arial" w:hAnsi="Arial"/>
                <w:sz w:val="18"/>
                <w:szCs w:val="18"/>
                <w:color w:val="auto"/>
              </w:rPr>
              <w:t>362,597</w:t>
            </w:r>
          </w:p>
        </w:tc>
      </w:tr>
      <w:tr>
        <w:trPr>
          <w:trHeight w:val="499"/>
        </w:trPr>
        <w:tc>
          <w:tcPr>
            <w:tcW w:w="7800" w:type="dxa"/>
            <w:vAlign w:val="bottom"/>
          </w:tcPr>
          <w:p>
            <w:pPr>
              <w:ind w:left="20"/>
              <w:spacing w:after="0"/>
              <w:rPr>
                <w:sz w:val="20"/>
                <w:szCs w:val="20"/>
                <w:color w:val="auto"/>
              </w:rPr>
            </w:pPr>
            <w:r>
              <w:rPr>
                <w:rFonts w:ascii="Arial" w:cs="Arial" w:eastAsia="Arial" w:hAnsi="Arial"/>
                <w:sz w:val="18"/>
                <w:szCs w:val="18"/>
                <w:color w:val="auto"/>
              </w:rPr>
              <w:t>Exploration expenses, including dry holes</w:t>
            </w:r>
          </w:p>
        </w:tc>
        <w:tc>
          <w:tcPr>
            <w:tcW w:w="1220" w:type="dxa"/>
            <w:vAlign w:val="bottom"/>
          </w:tcPr>
          <w:p>
            <w:pPr>
              <w:jc w:val="right"/>
              <w:ind w:right="191"/>
              <w:spacing w:after="0"/>
              <w:rPr>
                <w:sz w:val="20"/>
                <w:szCs w:val="20"/>
                <w:color w:val="auto"/>
              </w:rPr>
            </w:pPr>
            <w:r>
              <w:rPr>
                <w:rFonts w:ascii="Arial" w:cs="Arial" w:eastAsia="Arial" w:hAnsi="Arial"/>
                <w:sz w:val="18"/>
                <w:szCs w:val="18"/>
                <w:color w:val="auto"/>
              </w:rPr>
              <w:t>1,054</w:t>
            </w:r>
          </w:p>
        </w:tc>
        <w:tc>
          <w:tcPr>
            <w:tcW w:w="1100" w:type="dxa"/>
            <w:vAlign w:val="bottom"/>
          </w:tcPr>
          <w:p>
            <w:pPr>
              <w:jc w:val="right"/>
              <w:ind w:right="191"/>
              <w:spacing w:after="0"/>
              <w:rPr>
                <w:sz w:val="20"/>
                <w:szCs w:val="20"/>
                <w:color w:val="auto"/>
              </w:rPr>
            </w:pPr>
            <w:r>
              <w:rPr>
                <w:rFonts w:ascii="Arial" w:cs="Arial" w:eastAsia="Arial" w:hAnsi="Arial"/>
                <w:sz w:val="18"/>
                <w:szCs w:val="18"/>
                <w:color w:val="auto"/>
              </w:rPr>
              <w:t>1,285</w:t>
            </w:r>
          </w:p>
        </w:tc>
        <w:tc>
          <w:tcPr>
            <w:tcW w:w="1120" w:type="dxa"/>
            <w:vAlign w:val="bottom"/>
          </w:tcPr>
          <w:p>
            <w:pPr>
              <w:jc w:val="right"/>
              <w:ind w:right="231"/>
              <w:spacing w:after="0"/>
              <w:rPr>
                <w:sz w:val="20"/>
                <w:szCs w:val="20"/>
                <w:color w:val="auto"/>
              </w:rPr>
            </w:pPr>
            <w:r>
              <w:rPr>
                <w:rFonts w:ascii="Arial" w:cs="Arial" w:eastAsia="Arial" w:hAnsi="Arial"/>
                <w:sz w:val="18"/>
                <w:szCs w:val="18"/>
                <w:color w:val="auto"/>
              </w:rPr>
              <w:t>1,269</w:t>
            </w: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Research and development costs</w:t>
            </w:r>
          </w:p>
        </w:tc>
        <w:tc>
          <w:tcPr>
            <w:tcW w:w="1220" w:type="dxa"/>
            <w:vAlign w:val="bottom"/>
          </w:tcPr>
          <w:p>
            <w:pPr>
              <w:jc w:val="right"/>
              <w:ind w:right="191"/>
              <w:spacing w:after="0"/>
              <w:rPr>
                <w:sz w:val="20"/>
                <w:szCs w:val="20"/>
                <w:color w:val="auto"/>
              </w:rPr>
            </w:pPr>
            <w:r>
              <w:rPr>
                <w:rFonts w:ascii="Arial" w:cs="Arial" w:eastAsia="Arial" w:hAnsi="Arial"/>
                <w:sz w:val="18"/>
                <w:szCs w:val="18"/>
                <w:color w:val="auto"/>
              </w:rPr>
              <w:t>843</w:t>
            </w:r>
          </w:p>
        </w:tc>
        <w:tc>
          <w:tcPr>
            <w:tcW w:w="1100" w:type="dxa"/>
            <w:vAlign w:val="bottom"/>
          </w:tcPr>
          <w:p>
            <w:pPr>
              <w:jc w:val="right"/>
              <w:ind w:right="191"/>
              <w:spacing w:after="0"/>
              <w:rPr>
                <w:sz w:val="20"/>
                <w:szCs w:val="20"/>
                <w:color w:val="auto"/>
              </w:rPr>
            </w:pPr>
            <w:r>
              <w:rPr>
                <w:rFonts w:ascii="Arial" w:cs="Arial" w:eastAsia="Arial" w:hAnsi="Arial"/>
                <w:sz w:val="18"/>
                <w:szCs w:val="18"/>
                <w:color w:val="auto"/>
              </w:rPr>
              <w:t>1,016</w:t>
            </w:r>
          </w:p>
        </w:tc>
        <w:tc>
          <w:tcPr>
            <w:tcW w:w="1120" w:type="dxa"/>
            <w:vAlign w:val="bottom"/>
          </w:tcPr>
          <w:p>
            <w:pPr>
              <w:jc w:val="right"/>
              <w:ind w:right="231"/>
              <w:spacing w:after="0"/>
              <w:rPr>
                <w:sz w:val="20"/>
                <w:szCs w:val="20"/>
                <w:color w:val="auto"/>
              </w:rPr>
            </w:pPr>
            <w:r>
              <w:rPr>
                <w:rFonts w:ascii="Arial" w:cs="Arial" w:eastAsia="Arial" w:hAnsi="Arial"/>
                <w:sz w:val="18"/>
                <w:szCs w:val="18"/>
                <w:color w:val="auto"/>
              </w:rPr>
              <w:t>1,214</w:t>
            </w:r>
          </w:p>
        </w:tc>
      </w:tr>
      <w:tr>
        <w:trPr>
          <w:trHeight w:val="499"/>
        </w:trPr>
        <w:tc>
          <w:tcPr>
            <w:tcW w:w="780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1220" w:type="dxa"/>
            <w:vAlign w:val="bottom"/>
          </w:tcPr>
          <w:p>
            <w:pPr>
              <w:jc w:val="right"/>
              <w:ind w:right="191"/>
              <w:spacing w:after="0"/>
              <w:rPr>
                <w:sz w:val="20"/>
                <w:szCs w:val="20"/>
                <w:color w:val="auto"/>
              </w:rPr>
            </w:pPr>
            <w:r>
              <w:rPr>
                <w:rFonts w:ascii="Arial" w:cs="Arial" w:eastAsia="Arial" w:hAnsi="Arial"/>
                <w:sz w:val="18"/>
                <w:szCs w:val="18"/>
                <w:color w:val="auto"/>
              </w:rPr>
              <w:t>43,428</w:t>
            </w:r>
          </w:p>
        </w:tc>
        <w:tc>
          <w:tcPr>
            <w:tcW w:w="1100" w:type="dxa"/>
            <w:vAlign w:val="bottom"/>
          </w:tcPr>
          <w:p>
            <w:pPr>
              <w:jc w:val="right"/>
              <w:ind w:right="191"/>
              <w:spacing w:after="0"/>
              <w:rPr>
                <w:sz w:val="20"/>
                <w:szCs w:val="20"/>
                <w:color w:val="auto"/>
              </w:rPr>
            </w:pPr>
            <w:r>
              <w:rPr>
                <w:rFonts w:ascii="Arial" w:cs="Arial" w:eastAsia="Arial" w:hAnsi="Arial"/>
                <w:sz w:val="18"/>
                <w:szCs w:val="18"/>
                <w:color w:val="auto"/>
              </w:rPr>
              <w:t>47,182</w:t>
            </w:r>
          </w:p>
        </w:tc>
        <w:tc>
          <w:tcPr>
            <w:tcW w:w="1120" w:type="dxa"/>
            <w:vAlign w:val="bottom"/>
          </w:tcPr>
          <w:p>
            <w:pPr>
              <w:jc w:val="right"/>
              <w:ind w:right="231"/>
              <w:spacing w:after="0"/>
              <w:rPr>
                <w:sz w:val="20"/>
                <w:szCs w:val="20"/>
                <w:color w:val="auto"/>
              </w:rPr>
            </w:pPr>
            <w:r>
              <w:rPr>
                <w:rFonts w:ascii="Arial" w:cs="Arial" w:eastAsia="Arial" w:hAnsi="Arial"/>
                <w:sz w:val="18"/>
                <w:szCs w:val="18"/>
                <w:color w:val="auto"/>
              </w:rPr>
              <w:t>26,342</w:t>
            </w: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Total debt</w:t>
            </w:r>
          </w:p>
        </w:tc>
        <w:tc>
          <w:tcPr>
            <w:tcW w:w="1220" w:type="dxa"/>
            <w:vAlign w:val="bottom"/>
          </w:tcPr>
          <w:p>
            <w:pPr>
              <w:jc w:val="right"/>
              <w:ind w:right="191"/>
              <w:spacing w:after="0"/>
              <w:rPr>
                <w:sz w:val="20"/>
                <w:szCs w:val="20"/>
                <w:color w:val="auto"/>
              </w:rPr>
            </w:pPr>
            <w:r>
              <w:rPr>
                <w:rFonts w:ascii="Arial" w:cs="Arial" w:eastAsia="Arial" w:hAnsi="Arial"/>
                <w:sz w:val="18"/>
                <w:szCs w:val="18"/>
                <w:color w:val="auto"/>
              </w:rPr>
              <w:t>47,704</w:t>
            </w:r>
          </w:p>
        </w:tc>
        <w:tc>
          <w:tcPr>
            <w:tcW w:w="1100" w:type="dxa"/>
            <w:vAlign w:val="bottom"/>
          </w:tcPr>
          <w:p>
            <w:pPr>
              <w:jc w:val="right"/>
              <w:ind w:right="191"/>
              <w:spacing w:after="0"/>
              <w:rPr>
                <w:sz w:val="20"/>
                <w:szCs w:val="20"/>
                <w:color w:val="auto"/>
              </w:rPr>
            </w:pPr>
            <w:r>
              <w:rPr>
                <w:rFonts w:ascii="Arial" w:cs="Arial" w:eastAsia="Arial" w:hAnsi="Arial"/>
                <w:sz w:val="18"/>
                <w:szCs w:val="18"/>
                <w:color w:val="auto"/>
              </w:rPr>
              <w:t>67,640</w:t>
            </w:r>
          </w:p>
        </w:tc>
        <w:tc>
          <w:tcPr>
            <w:tcW w:w="1120" w:type="dxa"/>
            <w:vAlign w:val="bottom"/>
          </w:tcPr>
          <w:p>
            <w:pPr>
              <w:jc w:val="right"/>
              <w:ind w:right="231"/>
              <w:spacing w:after="0"/>
              <w:rPr>
                <w:sz w:val="20"/>
                <w:szCs w:val="20"/>
                <w:color w:val="auto"/>
              </w:rPr>
            </w:pPr>
            <w:r>
              <w:rPr>
                <w:rFonts w:ascii="Arial" w:cs="Arial" w:eastAsia="Arial" w:hAnsi="Arial"/>
                <w:sz w:val="18"/>
                <w:szCs w:val="18"/>
                <w:color w:val="auto"/>
              </w:rPr>
              <w:t>46,920</w:t>
            </w: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Debt to capital (percent)</w:t>
            </w:r>
          </w:p>
        </w:tc>
        <w:tc>
          <w:tcPr>
            <w:tcW w:w="1220" w:type="dxa"/>
            <w:vAlign w:val="bottom"/>
          </w:tcPr>
          <w:p>
            <w:pPr>
              <w:jc w:val="right"/>
              <w:ind w:right="191"/>
              <w:spacing w:after="0"/>
              <w:rPr>
                <w:sz w:val="20"/>
                <w:szCs w:val="20"/>
                <w:color w:val="auto"/>
              </w:rPr>
            </w:pPr>
            <w:r>
              <w:rPr>
                <w:rFonts w:ascii="Arial" w:cs="Arial" w:eastAsia="Arial" w:hAnsi="Arial"/>
                <w:sz w:val="18"/>
                <w:szCs w:val="18"/>
                <w:color w:val="auto"/>
              </w:rPr>
              <w:t>21.4</w:t>
            </w:r>
          </w:p>
        </w:tc>
        <w:tc>
          <w:tcPr>
            <w:tcW w:w="1100" w:type="dxa"/>
            <w:vAlign w:val="bottom"/>
          </w:tcPr>
          <w:p>
            <w:pPr>
              <w:jc w:val="right"/>
              <w:ind w:right="191"/>
              <w:spacing w:after="0"/>
              <w:rPr>
                <w:sz w:val="20"/>
                <w:szCs w:val="20"/>
                <w:color w:val="auto"/>
              </w:rPr>
            </w:pPr>
            <w:r>
              <w:rPr>
                <w:rFonts w:ascii="Arial" w:cs="Arial" w:eastAsia="Arial" w:hAnsi="Arial"/>
                <w:sz w:val="18"/>
                <w:szCs w:val="18"/>
                <w:color w:val="auto"/>
              </w:rPr>
              <w:t>29.2</w:t>
            </w:r>
          </w:p>
        </w:tc>
        <w:tc>
          <w:tcPr>
            <w:tcW w:w="1120" w:type="dxa"/>
            <w:vAlign w:val="bottom"/>
          </w:tcPr>
          <w:p>
            <w:pPr>
              <w:jc w:val="right"/>
              <w:ind w:right="231"/>
              <w:spacing w:after="0"/>
              <w:rPr>
                <w:sz w:val="20"/>
                <w:szCs w:val="20"/>
                <w:color w:val="auto"/>
              </w:rPr>
            </w:pPr>
            <w:r>
              <w:rPr>
                <w:rFonts w:ascii="Arial" w:cs="Arial" w:eastAsia="Arial" w:hAnsi="Arial"/>
                <w:sz w:val="18"/>
                <w:szCs w:val="18"/>
                <w:color w:val="auto"/>
              </w:rPr>
              <w:t>19.1</w:t>
            </w: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 xml:space="preserve">Net debt to capital (percent) </w:t>
            </w:r>
            <w:r>
              <w:rPr>
                <w:rFonts w:ascii="Arial" w:cs="Arial" w:eastAsia="Arial" w:hAnsi="Arial"/>
                <w:sz w:val="14"/>
                <w:szCs w:val="14"/>
                <w:i w:val="1"/>
                <w:iCs w:val="1"/>
                <w:color w:val="auto"/>
              </w:rPr>
              <w:t>(1)</w:t>
            </w:r>
          </w:p>
        </w:tc>
        <w:tc>
          <w:tcPr>
            <w:tcW w:w="1220" w:type="dxa"/>
            <w:vAlign w:val="bottom"/>
          </w:tcPr>
          <w:p>
            <w:pPr>
              <w:jc w:val="right"/>
              <w:ind w:right="191"/>
              <w:spacing w:after="0"/>
              <w:rPr>
                <w:sz w:val="20"/>
                <w:szCs w:val="20"/>
                <w:color w:val="auto"/>
              </w:rPr>
            </w:pPr>
            <w:r>
              <w:rPr>
                <w:rFonts w:ascii="Arial" w:cs="Arial" w:eastAsia="Arial" w:hAnsi="Arial"/>
                <w:sz w:val="18"/>
                <w:szCs w:val="18"/>
                <w:color w:val="auto"/>
              </w:rPr>
              <w:t>18.9</w:t>
            </w:r>
          </w:p>
        </w:tc>
        <w:tc>
          <w:tcPr>
            <w:tcW w:w="1100" w:type="dxa"/>
            <w:vAlign w:val="bottom"/>
          </w:tcPr>
          <w:p>
            <w:pPr>
              <w:jc w:val="right"/>
              <w:ind w:right="191"/>
              <w:spacing w:after="0"/>
              <w:rPr>
                <w:sz w:val="20"/>
                <w:szCs w:val="20"/>
                <w:color w:val="auto"/>
              </w:rPr>
            </w:pPr>
            <w:r>
              <w:rPr>
                <w:rFonts w:ascii="Arial" w:cs="Arial" w:eastAsia="Arial" w:hAnsi="Arial"/>
                <w:sz w:val="18"/>
                <w:szCs w:val="18"/>
                <w:color w:val="auto"/>
              </w:rPr>
              <w:t>27.8</w:t>
            </w:r>
          </w:p>
        </w:tc>
        <w:tc>
          <w:tcPr>
            <w:tcW w:w="1120" w:type="dxa"/>
            <w:vAlign w:val="bottom"/>
          </w:tcPr>
          <w:p>
            <w:pPr>
              <w:jc w:val="right"/>
              <w:ind w:right="231"/>
              <w:spacing w:after="0"/>
              <w:rPr>
                <w:sz w:val="20"/>
                <w:szCs w:val="20"/>
                <w:color w:val="auto"/>
              </w:rPr>
            </w:pPr>
            <w:r>
              <w:rPr>
                <w:rFonts w:ascii="Arial" w:cs="Arial" w:eastAsia="Arial" w:hAnsi="Arial"/>
                <w:sz w:val="18"/>
                <w:szCs w:val="18"/>
                <w:color w:val="auto"/>
              </w:rPr>
              <w:t>18.1</w:t>
            </w:r>
          </w:p>
        </w:tc>
      </w:tr>
      <w:tr>
        <w:trPr>
          <w:trHeight w:val="499"/>
        </w:trPr>
        <w:tc>
          <w:tcPr>
            <w:tcW w:w="7800" w:type="dxa"/>
            <w:vAlign w:val="bottom"/>
          </w:tcPr>
          <w:p>
            <w:pPr>
              <w:ind w:left="20"/>
              <w:spacing w:after="0"/>
              <w:rPr>
                <w:sz w:val="20"/>
                <w:szCs w:val="20"/>
                <w:color w:val="auto"/>
              </w:rPr>
            </w:pPr>
            <w:r>
              <w:rPr>
                <w:rFonts w:ascii="Arial" w:cs="Arial" w:eastAsia="Arial" w:hAnsi="Arial"/>
                <w:sz w:val="18"/>
                <w:szCs w:val="18"/>
                <w:color w:val="auto"/>
              </w:rPr>
              <w:t>ExxonMobil share of equity at year-end</w:t>
            </w:r>
          </w:p>
        </w:tc>
        <w:tc>
          <w:tcPr>
            <w:tcW w:w="1220" w:type="dxa"/>
            <w:vAlign w:val="bottom"/>
          </w:tcPr>
          <w:p>
            <w:pPr>
              <w:jc w:val="right"/>
              <w:ind w:right="191"/>
              <w:spacing w:after="0"/>
              <w:rPr>
                <w:sz w:val="20"/>
                <w:szCs w:val="20"/>
                <w:color w:val="auto"/>
              </w:rPr>
            </w:pPr>
            <w:r>
              <w:rPr>
                <w:rFonts w:ascii="Arial" w:cs="Arial" w:eastAsia="Arial" w:hAnsi="Arial"/>
                <w:sz w:val="18"/>
                <w:szCs w:val="18"/>
                <w:color w:val="auto"/>
              </w:rPr>
              <w:t>168,577</w:t>
            </w:r>
          </w:p>
        </w:tc>
        <w:tc>
          <w:tcPr>
            <w:tcW w:w="1100" w:type="dxa"/>
            <w:vAlign w:val="bottom"/>
          </w:tcPr>
          <w:p>
            <w:pPr>
              <w:jc w:val="right"/>
              <w:ind w:right="191"/>
              <w:spacing w:after="0"/>
              <w:rPr>
                <w:sz w:val="20"/>
                <w:szCs w:val="20"/>
                <w:color w:val="auto"/>
              </w:rPr>
            </w:pPr>
            <w:r>
              <w:rPr>
                <w:rFonts w:ascii="Arial" w:cs="Arial" w:eastAsia="Arial" w:hAnsi="Arial"/>
                <w:sz w:val="18"/>
                <w:szCs w:val="18"/>
                <w:color w:val="auto"/>
              </w:rPr>
              <w:t>157,150</w:t>
            </w:r>
          </w:p>
        </w:tc>
        <w:tc>
          <w:tcPr>
            <w:tcW w:w="1120" w:type="dxa"/>
            <w:vAlign w:val="bottom"/>
          </w:tcPr>
          <w:p>
            <w:pPr>
              <w:jc w:val="right"/>
              <w:ind w:right="231"/>
              <w:spacing w:after="0"/>
              <w:rPr>
                <w:sz w:val="20"/>
                <w:szCs w:val="20"/>
                <w:color w:val="auto"/>
              </w:rPr>
            </w:pPr>
            <w:r>
              <w:rPr>
                <w:rFonts w:ascii="Arial" w:cs="Arial" w:eastAsia="Arial" w:hAnsi="Arial"/>
                <w:sz w:val="18"/>
                <w:szCs w:val="18"/>
                <w:color w:val="auto"/>
              </w:rPr>
              <w:t>191,650</w:t>
            </w: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ExxonMobil share of equity per common share (dollars)</w:t>
            </w:r>
          </w:p>
        </w:tc>
        <w:tc>
          <w:tcPr>
            <w:tcW w:w="1220" w:type="dxa"/>
            <w:vAlign w:val="bottom"/>
          </w:tcPr>
          <w:p>
            <w:pPr>
              <w:jc w:val="right"/>
              <w:ind w:right="191"/>
              <w:spacing w:after="0"/>
              <w:rPr>
                <w:sz w:val="20"/>
                <w:szCs w:val="20"/>
                <w:color w:val="auto"/>
              </w:rPr>
            </w:pPr>
            <w:r>
              <w:rPr>
                <w:rFonts w:ascii="Arial" w:cs="Arial" w:eastAsia="Arial" w:hAnsi="Arial"/>
                <w:sz w:val="18"/>
                <w:szCs w:val="18"/>
                <w:color w:val="auto"/>
              </w:rPr>
              <w:t>39.77</w:t>
            </w:r>
          </w:p>
        </w:tc>
        <w:tc>
          <w:tcPr>
            <w:tcW w:w="1100" w:type="dxa"/>
            <w:vAlign w:val="bottom"/>
          </w:tcPr>
          <w:p>
            <w:pPr>
              <w:jc w:val="right"/>
              <w:ind w:right="191"/>
              <w:spacing w:after="0"/>
              <w:rPr>
                <w:sz w:val="20"/>
                <w:szCs w:val="20"/>
                <w:color w:val="auto"/>
              </w:rPr>
            </w:pPr>
            <w:r>
              <w:rPr>
                <w:rFonts w:ascii="Arial" w:cs="Arial" w:eastAsia="Arial" w:hAnsi="Arial"/>
                <w:sz w:val="18"/>
                <w:szCs w:val="18"/>
                <w:color w:val="auto"/>
              </w:rPr>
              <w:t>37.12</w:t>
            </w:r>
          </w:p>
        </w:tc>
        <w:tc>
          <w:tcPr>
            <w:tcW w:w="1120" w:type="dxa"/>
            <w:vAlign w:val="bottom"/>
          </w:tcPr>
          <w:p>
            <w:pPr>
              <w:jc w:val="right"/>
              <w:ind w:right="231"/>
              <w:spacing w:after="0"/>
              <w:rPr>
                <w:sz w:val="20"/>
                <w:szCs w:val="20"/>
                <w:color w:val="auto"/>
              </w:rPr>
            </w:pPr>
            <w:r>
              <w:rPr>
                <w:rFonts w:ascii="Arial" w:cs="Arial" w:eastAsia="Arial" w:hAnsi="Arial"/>
                <w:sz w:val="18"/>
                <w:szCs w:val="18"/>
                <w:color w:val="auto"/>
              </w:rPr>
              <w:t>45.26</w:t>
            </w:r>
          </w:p>
        </w:tc>
      </w:tr>
      <w:tr>
        <w:trPr>
          <w:trHeight w:val="176"/>
        </w:trPr>
        <w:tc>
          <w:tcPr>
            <w:tcW w:w="7800" w:type="dxa"/>
            <w:vAlign w:val="bottom"/>
          </w:tcPr>
          <w:p>
            <w:pPr>
              <w:ind w:left="20"/>
              <w:spacing w:after="0" w:line="176" w:lineRule="exact"/>
              <w:rPr>
                <w:sz w:val="20"/>
                <w:szCs w:val="20"/>
                <w:color w:val="auto"/>
              </w:rPr>
            </w:pPr>
            <w:r>
              <w:rPr>
                <w:rFonts w:ascii="Arial" w:cs="Arial" w:eastAsia="Arial" w:hAnsi="Arial"/>
                <w:sz w:val="18"/>
                <w:szCs w:val="18"/>
                <w:color w:val="auto"/>
              </w:rPr>
              <w:t>Weighted average number of common shares</w:t>
            </w:r>
          </w:p>
        </w:tc>
        <w:tc>
          <w:tcPr>
            <w:tcW w:w="1220" w:type="dxa"/>
            <w:vAlign w:val="bottom"/>
          </w:tcPr>
          <w:p>
            <w:pPr>
              <w:jc w:val="right"/>
              <w:ind w:right="191"/>
              <w:spacing w:after="0" w:line="176" w:lineRule="exact"/>
              <w:rPr>
                <w:sz w:val="20"/>
                <w:szCs w:val="20"/>
                <w:color w:val="auto"/>
              </w:rPr>
            </w:pPr>
            <w:r>
              <w:rPr>
                <w:rFonts w:ascii="Arial" w:cs="Arial" w:eastAsia="Arial" w:hAnsi="Arial"/>
                <w:sz w:val="18"/>
                <w:szCs w:val="18"/>
                <w:color w:val="auto"/>
              </w:rPr>
              <w:t>4,275</w:t>
            </w:r>
          </w:p>
        </w:tc>
        <w:tc>
          <w:tcPr>
            <w:tcW w:w="1100" w:type="dxa"/>
            <w:vAlign w:val="bottom"/>
          </w:tcPr>
          <w:p>
            <w:pPr>
              <w:jc w:val="right"/>
              <w:ind w:right="191"/>
              <w:spacing w:after="0" w:line="176" w:lineRule="exact"/>
              <w:rPr>
                <w:sz w:val="20"/>
                <w:szCs w:val="20"/>
                <w:color w:val="auto"/>
              </w:rPr>
            </w:pPr>
            <w:r>
              <w:rPr>
                <w:rFonts w:ascii="Arial" w:cs="Arial" w:eastAsia="Arial" w:hAnsi="Arial"/>
                <w:sz w:val="18"/>
                <w:szCs w:val="18"/>
                <w:color w:val="auto"/>
              </w:rPr>
              <w:t>4,271</w:t>
            </w:r>
          </w:p>
        </w:tc>
        <w:tc>
          <w:tcPr>
            <w:tcW w:w="1120" w:type="dxa"/>
            <w:vAlign w:val="bottom"/>
          </w:tcPr>
          <w:p>
            <w:pPr>
              <w:jc w:val="right"/>
              <w:ind w:right="231"/>
              <w:spacing w:after="0" w:line="176" w:lineRule="exact"/>
              <w:rPr>
                <w:sz w:val="20"/>
                <w:szCs w:val="20"/>
                <w:color w:val="auto"/>
              </w:rPr>
            </w:pPr>
            <w:r>
              <w:rPr>
                <w:rFonts w:ascii="Arial" w:cs="Arial" w:eastAsia="Arial" w:hAnsi="Arial"/>
                <w:sz w:val="18"/>
                <w:szCs w:val="18"/>
                <w:color w:val="auto"/>
              </w:rPr>
              <w:t>4,270</w:t>
            </w:r>
          </w:p>
        </w:tc>
      </w:tr>
      <w:tr>
        <w:trPr>
          <w:trHeight w:val="230"/>
        </w:trPr>
        <w:tc>
          <w:tcPr>
            <w:tcW w:w="7800" w:type="dxa"/>
            <w:vAlign w:val="bottom"/>
          </w:tcPr>
          <w:p>
            <w:pPr>
              <w:ind w:left="200"/>
              <w:spacing w:after="0"/>
              <w:rPr>
                <w:sz w:val="20"/>
                <w:szCs w:val="20"/>
                <w:color w:val="auto"/>
              </w:rPr>
            </w:pPr>
            <w:r>
              <w:rPr>
                <w:rFonts w:ascii="Arial" w:cs="Arial" w:eastAsia="Arial" w:hAnsi="Arial"/>
                <w:sz w:val="18"/>
                <w:szCs w:val="18"/>
                <w:color w:val="auto"/>
              </w:rPr>
              <w:t>outstanding (millions)</w:t>
            </w:r>
          </w:p>
        </w:tc>
        <w:tc>
          <w:tcPr>
            <w:tcW w:w="1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85"/>
        </w:trPr>
        <w:tc>
          <w:tcPr>
            <w:tcW w:w="7800" w:type="dxa"/>
            <w:vAlign w:val="bottom"/>
          </w:tcPr>
          <w:p>
            <w:pPr>
              <w:ind w:left="20"/>
              <w:spacing w:after="0"/>
              <w:rPr>
                <w:sz w:val="20"/>
                <w:szCs w:val="20"/>
                <w:color w:val="auto"/>
              </w:rPr>
            </w:pPr>
            <w:r>
              <w:rPr>
                <w:rFonts w:ascii="Arial" w:cs="Arial" w:eastAsia="Arial" w:hAnsi="Arial"/>
                <w:sz w:val="18"/>
                <w:szCs w:val="18"/>
                <w:color w:val="auto"/>
              </w:rPr>
              <w:t xml:space="preserve">Number of regular employees at year-end (thousands) </w:t>
            </w:r>
            <w:r>
              <w:rPr>
                <w:rFonts w:ascii="Arial" w:cs="Arial" w:eastAsia="Arial" w:hAnsi="Arial"/>
                <w:sz w:val="14"/>
                <w:szCs w:val="14"/>
                <w:i w:val="1"/>
                <w:iCs w:val="1"/>
                <w:color w:val="auto"/>
              </w:rPr>
              <w:t>(2)</w:t>
            </w:r>
          </w:p>
        </w:tc>
        <w:tc>
          <w:tcPr>
            <w:tcW w:w="1220" w:type="dxa"/>
            <w:vAlign w:val="bottom"/>
          </w:tcPr>
          <w:p>
            <w:pPr>
              <w:jc w:val="right"/>
              <w:ind w:right="191"/>
              <w:spacing w:after="0"/>
              <w:rPr>
                <w:sz w:val="20"/>
                <w:szCs w:val="20"/>
                <w:color w:val="auto"/>
              </w:rPr>
            </w:pPr>
            <w:r>
              <w:rPr>
                <w:rFonts w:ascii="Arial" w:cs="Arial" w:eastAsia="Arial" w:hAnsi="Arial"/>
                <w:sz w:val="18"/>
                <w:szCs w:val="18"/>
                <w:color w:val="auto"/>
              </w:rPr>
              <w:t>63.0</w:t>
            </w:r>
          </w:p>
        </w:tc>
        <w:tc>
          <w:tcPr>
            <w:tcW w:w="1100" w:type="dxa"/>
            <w:vAlign w:val="bottom"/>
          </w:tcPr>
          <w:p>
            <w:pPr>
              <w:jc w:val="right"/>
              <w:ind w:right="191"/>
              <w:spacing w:after="0"/>
              <w:rPr>
                <w:sz w:val="20"/>
                <w:szCs w:val="20"/>
                <w:color w:val="auto"/>
              </w:rPr>
            </w:pPr>
            <w:r>
              <w:rPr>
                <w:rFonts w:ascii="Arial" w:cs="Arial" w:eastAsia="Arial" w:hAnsi="Arial"/>
                <w:sz w:val="18"/>
                <w:szCs w:val="18"/>
                <w:color w:val="auto"/>
              </w:rPr>
              <w:t>72.0</w:t>
            </w:r>
          </w:p>
        </w:tc>
        <w:tc>
          <w:tcPr>
            <w:tcW w:w="1120" w:type="dxa"/>
            <w:vAlign w:val="bottom"/>
          </w:tcPr>
          <w:p>
            <w:pPr>
              <w:jc w:val="right"/>
              <w:ind w:right="231"/>
              <w:spacing w:after="0"/>
              <w:rPr>
                <w:sz w:val="20"/>
                <w:szCs w:val="20"/>
                <w:color w:val="auto"/>
              </w:rPr>
            </w:pPr>
            <w:r>
              <w:rPr>
                <w:rFonts w:ascii="Arial" w:cs="Arial" w:eastAsia="Arial" w:hAnsi="Arial"/>
                <w:sz w:val="18"/>
                <w:szCs w:val="18"/>
                <w:color w:val="auto"/>
              </w:rPr>
              <w:t>74.9</w:t>
            </w:r>
          </w:p>
        </w:tc>
      </w:tr>
    </w:tbl>
    <w:p>
      <w:pPr>
        <w:spacing w:after="0" w:line="350" w:lineRule="exact"/>
        <w:rPr>
          <w:sz w:val="20"/>
          <w:szCs w:val="20"/>
          <w:color w:val="auto"/>
        </w:rPr>
      </w:pPr>
    </w:p>
    <w:p>
      <w:pPr>
        <w:ind w:left="320" w:hanging="312"/>
        <w:spacing w:after="0"/>
        <w:tabs>
          <w:tab w:leader="none" w:pos="32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Debt net of cash.</w:t>
      </w:r>
    </w:p>
    <w:p>
      <w:pPr>
        <w:spacing w:after="0" w:line="63" w:lineRule="exact"/>
        <w:rPr>
          <w:rFonts w:ascii="Arial" w:cs="Arial" w:eastAsia="Arial" w:hAnsi="Arial"/>
          <w:sz w:val="18"/>
          <w:szCs w:val="18"/>
          <w:i w:val="1"/>
          <w:iCs w:val="1"/>
          <w:color w:val="auto"/>
        </w:rPr>
      </w:pPr>
    </w:p>
    <w:p>
      <w:pPr>
        <w:ind w:left="340" w:right="20" w:hanging="332"/>
        <w:spacing w:after="0" w:line="277" w:lineRule="auto"/>
        <w:tabs>
          <w:tab w:leader="none" w:pos="334"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Regular employees are defined as active executive, management, professional, technical and wage employees who work full time or part time for the Corporation and are covered by the Corporation’s benefit plans and programs.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FREQUENTLY USED TERMS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Listed below are definitions of several of ExxonMobil’s key business and financial performance measures. These definitions are provided to facilitate understanding of the terms and their calculation.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From Operations and Asset Sales</w:t>
      </w:r>
    </w:p>
    <w:p>
      <w:pPr>
        <w:spacing w:after="0" w:line="10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Cash flow from operations and asset sales is the sum of the net cash provided by operating activities and proceeds associated with sales of subsidiaries, property, plant and equipment, and sales and returns of investments from the Consolidated Statement of Cash Flows. This cash flow reflects the total sources of cash both from operating the Corporation’s assets and from the divesting of assets. The Corporation employs a long-standing and regular disciplined review process to ensure that assets are contributing to the Corporation’s strategic objectives. Assets are divested when they are no longer meeting these objectives or are worth considerably more to others. Because of the regular nature of this activity, we believe it is useful for investors to consider proceeds associated with asset sales together with cash provided by operating activities when evaluating cash available for investment in the business and financing activities, including shareholder distributions.</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Cash Flow From Operations and Asset Sales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152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2020</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4"/>
        </w:trPr>
        <w:tc>
          <w:tcPr>
            <w:tcW w:w="77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520" w:type="dxa"/>
            <w:vAlign w:val="bottom"/>
          </w:tcPr>
          <w:p>
            <w:pPr>
              <w:jc w:val="right"/>
              <w:ind w:right="237"/>
              <w:spacing w:after="0"/>
              <w:rPr>
                <w:sz w:val="20"/>
                <w:szCs w:val="20"/>
                <w:color w:val="auto"/>
              </w:rPr>
            </w:pPr>
            <w:r>
              <w:rPr>
                <w:rFonts w:ascii="Arial" w:cs="Arial" w:eastAsia="Arial" w:hAnsi="Arial"/>
                <w:sz w:val="14"/>
                <w:szCs w:val="14"/>
                <w:i w:val="1"/>
                <w:iCs w:val="1"/>
                <w:color w:val="auto"/>
              </w:rPr>
              <w:t>(millions of dollars)</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770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48,129</w:t>
            </w:r>
          </w:p>
        </w:tc>
        <w:tc>
          <w:tcPr>
            <w:tcW w:w="1520" w:type="dxa"/>
            <w:vAlign w:val="bottom"/>
          </w:tcPr>
          <w:p>
            <w:pPr>
              <w:jc w:val="right"/>
              <w:ind w:right="317"/>
              <w:spacing w:after="0"/>
              <w:rPr>
                <w:sz w:val="20"/>
                <w:szCs w:val="20"/>
                <w:color w:val="auto"/>
              </w:rPr>
            </w:pPr>
            <w:r>
              <w:rPr>
                <w:rFonts w:ascii="Arial" w:cs="Arial" w:eastAsia="Arial" w:hAnsi="Arial"/>
                <w:sz w:val="18"/>
                <w:szCs w:val="18"/>
                <w:color w:val="auto"/>
              </w:rPr>
              <w:t>14,668</w:t>
            </w:r>
          </w:p>
        </w:tc>
        <w:tc>
          <w:tcPr>
            <w:tcW w:w="880" w:type="dxa"/>
            <w:vAlign w:val="bottom"/>
          </w:tcPr>
          <w:p>
            <w:pPr>
              <w:jc w:val="right"/>
              <w:spacing w:after="0"/>
              <w:rPr>
                <w:sz w:val="20"/>
                <w:szCs w:val="20"/>
                <w:color w:val="auto"/>
              </w:rPr>
            </w:pPr>
            <w:r>
              <w:rPr>
                <w:rFonts w:ascii="Arial" w:cs="Arial" w:eastAsia="Arial" w:hAnsi="Arial"/>
                <w:sz w:val="18"/>
                <w:szCs w:val="18"/>
                <w:color w:val="auto"/>
              </w:rPr>
              <w:t>29,716</w:t>
            </w:r>
          </w:p>
        </w:tc>
        <w:tc>
          <w:tcPr>
            <w:tcW w:w="0" w:type="dxa"/>
            <w:vAlign w:val="bottom"/>
          </w:tcPr>
          <w:p>
            <w:pPr>
              <w:spacing w:after="0"/>
              <w:rPr>
                <w:sz w:val="1"/>
                <w:szCs w:val="1"/>
                <w:color w:val="auto"/>
              </w:rPr>
            </w:pPr>
          </w:p>
        </w:tc>
      </w:tr>
      <w:tr>
        <w:trPr>
          <w:trHeight w:val="176"/>
        </w:trPr>
        <w:tc>
          <w:tcPr>
            <w:tcW w:w="7700" w:type="dxa"/>
            <w:vAlign w:val="bottom"/>
          </w:tcPr>
          <w:p>
            <w:pPr>
              <w:ind w:left="20"/>
              <w:spacing w:after="0" w:line="176" w:lineRule="exact"/>
              <w:rPr>
                <w:sz w:val="20"/>
                <w:szCs w:val="20"/>
                <w:color w:val="auto"/>
              </w:rPr>
            </w:pPr>
            <w:r>
              <w:rPr>
                <w:rFonts w:ascii="Arial" w:cs="Arial" w:eastAsia="Arial" w:hAnsi="Arial"/>
                <w:sz w:val="18"/>
                <w:szCs w:val="18"/>
                <w:color w:val="auto"/>
                <w:w w:val="93"/>
              </w:rPr>
              <w:t>Proceeds associated with sales of subsidiaries, property, plant and equipment, and sales and returns of</w:t>
            </w:r>
          </w:p>
        </w:tc>
        <w:tc>
          <w:tcPr>
            <w:tcW w:w="1140" w:type="dxa"/>
            <w:vAlign w:val="bottom"/>
            <w:vMerge w:val="restart"/>
          </w:tcPr>
          <w:p>
            <w:pPr>
              <w:jc w:val="right"/>
              <w:ind w:right="15"/>
              <w:spacing w:after="0"/>
              <w:rPr>
                <w:sz w:val="20"/>
                <w:szCs w:val="20"/>
                <w:color w:val="auto"/>
              </w:rPr>
            </w:pPr>
            <w:r>
              <w:rPr>
                <w:rFonts w:ascii="Arial" w:cs="Arial" w:eastAsia="Arial" w:hAnsi="Arial"/>
                <w:sz w:val="18"/>
                <w:szCs w:val="18"/>
                <w:color w:val="auto"/>
              </w:rPr>
              <w:t>3,176</w:t>
            </w:r>
          </w:p>
        </w:tc>
        <w:tc>
          <w:tcPr>
            <w:tcW w:w="1520" w:type="dxa"/>
            <w:vAlign w:val="bottom"/>
            <w:vMerge w:val="restart"/>
          </w:tcPr>
          <w:p>
            <w:pPr>
              <w:jc w:val="right"/>
              <w:ind w:right="317"/>
              <w:spacing w:after="0"/>
              <w:rPr>
                <w:sz w:val="20"/>
                <w:szCs w:val="20"/>
                <w:color w:val="auto"/>
              </w:rPr>
            </w:pPr>
            <w:r>
              <w:rPr>
                <w:rFonts w:ascii="Arial" w:cs="Arial" w:eastAsia="Arial" w:hAnsi="Arial"/>
                <w:sz w:val="18"/>
                <w:szCs w:val="18"/>
                <w:color w:val="auto"/>
              </w:rPr>
              <w:t>999</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3,692</w:t>
            </w:r>
          </w:p>
        </w:tc>
        <w:tc>
          <w:tcPr>
            <w:tcW w:w="0" w:type="dxa"/>
            <w:vAlign w:val="bottom"/>
          </w:tcPr>
          <w:p>
            <w:pPr>
              <w:spacing w:after="0"/>
              <w:rPr>
                <w:sz w:val="1"/>
                <w:szCs w:val="1"/>
                <w:color w:val="auto"/>
              </w:rPr>
            </w:pPr>
          </w:p>
        </w:tc>
      </w:tr>
      <w:tr>
        <w:trPr>
          <w:trHeight w:val="234"/>
        </w:trPr>
        <w:tc>
          <w:tcPr>
            <w:tcW w:w="7700" w:type="dxa"/>
            <w:vAlign w:val="bottom"/>
          </w:tcPr>
          <w:p>
            <w:pPr>
              <w:ind w:left="440"/>
              <w:spacing w:after="0"/>
              <w:rPr>
                <w:sz w:val="20"/>
                <w:szCs w:val="20"/>
                <w:color w:val="auto"/>
              </w:rPr>
            </w:pPr>
            <w:r>
              <w:rPr>
                <w:rFonts w:ascii="Arial" w:cs="Arial" w:eastAsia="Arial" w:hAnsi="Arial"/>
                <w:sz w:val="18"/>
                <w:szCs w:val="18"/>
                <w:color w:val="auto"/>
              </w:rPr>
              <w:t>investments</w:t>
            </w:r>
          </w:p>
        </w:tc>
        <w:tc>
          <w:tcPr>
            <w:tcW w:w="1140" w:type="dxa"/>
            <w:vAlign w:val="bottom"/>
            <w:tcBorders>
              <w:bottom w:val="single" w:sz="8" w:color="auto"/>
            </w:tcBorders>
            <w:vMerge w:val="continue"/>
          </w:tcPr>
          <w:p>
            <w:pPr>
              <w:spacing w:after="0"/>
              <w:rPr>
                <w:sz w:val="19"/>
                <w:szCs w:val="19"/>
                <w:color w:val="auto"/>
              </w:rPr>
            </w:pPr>
          </w:p>
        </w:tc>
        <w:tc>
          <w:tcPr>
            <w:tcW w:w="152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00" w:type="dxa"/>
            <w:vAlign w:val="bottom"/>
          </w:tcPr>
          <w:p>
            <w:pPr>
              <w:ind w:left="360"/>
              <w:spacing w:after="0"/>
              <w:rPr>
                <w:sz w:val="20"/>
                <w:szCs w:val="20"/>
                <w:color w:val="auto"/>
              </w:rPr>
            </w:pPr>
            <w:r>
              <w:rPr>
                <w:rFonts w:ascii="Arial" w:cs="Arial" w:eastAsia="Arial" w:hAnsi="Arial"/>
                <w:sz w:val="18"/>
                <w:szCs w:val="18"/>
                <w:color w:val="auto"/>
              </w:rPr>
              <w:t>Cash flow from operations and asset sales</w:t>
            </w:r>
          </w:p>
        </w:tc>
        <w:tc>
          <w:tcPr>
            <w:tcW w:w="11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51,305</w:t>
            </w:r>
          </w:p>
        </w:tc>
        <w:tc>
          <w:tcPr>
            <w:tcW w:w="1520" w:type="dxa"/>
            <w:vAlign w:val="bottom"/>
            <w:tcBorders>
              <w:bottom w:val="single" w:sz="8" w:color="auto"/>
            </w:tcBorders>
          </w:tcPr>
          <w:p>
            <w:pPr>
              <w:jc w:val="right"/>
              <w:ind w:right="317"/>
              <w:spacing w:after="0"/>
              <w:rPr>
                <w:sz w:val="20"/>
                <w:szCs w:val="20"/>
                <w:color w:val="auto"/>
              </w:rPr>
            </w:pPr>
            <w:r>
              <w:rPr>
                <w:rFonts w:ascii="Arial" w:cs="Arial" w:eastAsia="Arial" w:hAnsi="Arial"/>
                <w:sz w:val="18"/>
                <w:szCs w:val="18"/>
                <w:color w:val="auto"/>
              </w:rPr>
              <w:t>15,667</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33,408</w:t>
            </w: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Employed</w:t>
      </w:r>
    </w:p>
    <w:p>
      <w:pPr>
        <w:spacing w:after="0" w:line="1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Capital employed is a measure of net investment. When viewed from the perspective of how the capital is used by the businesses, it includes ExxonMobil’s net share of property, plant and equipment and other assets less liabilities, excluding both short-term and long-term debt. When viewed from the perspective of the sources of capital employed in total for the Corporation, it includes ExxonMobil’s share of total debt and equity. Both of these views include ExxonMobil’s share of amounts applicable to equity companies, which the Corporation believes should be included to provide a more comprehensive measure of capital employed.</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Capital Employed</w:t>
            </w:r>
          </w:p>
        </w:tc>
        <w:tc>
          <w:tcPr>
            <w:tcW w:w="3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148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2020</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r>
      <w:tr>
        <w:trPr>
          <w:trHeight w:val="184"/>
        </w:trPr>
        <w:tc>
          <w:tcPr>
            <w:tcW w:w="538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80" w:type="dxa"/>
            <w:vAlign w:val="bottom"/>
          </w:tcPr>
          <w:p>
            <w:pPr>
              <w:jc w:val="right"/>
              <w:ind w:right="193"/>
              <w:spacing w:after="0"/>
              <w:rPr>
                <w:sz w:val="20"/>
                <w:szCs w:val="20"/>
                <w:color w:val="auto"/>
              </w:rPr>
            </w:pPr>
            <w:r>
              <w:rPr>
                <w:rFonts w:ascii="Arial" w:cs="Arial" w:eastAsia="Arial" w:hAnsi="Arial"/>
                <w:sz w:val="14"/>
                <w:szCs w:val="14"/>
                <w:i w:val="1"/>
                <w:iCs w:val="1"/>
                <w:color w:val="auto"/>
              </w:rPr>
              <w:t>(millions of dollars)</w:t>
            </w:r>
          </w:p>
        </w:tc>
        <w:tc>
          <w:tcPr>
            <w:tcW w:w="920" w:type="dxa"/>
            <w:vAlign w:val="bottom"/>
          </w:tcPr>
          <w:p>
            <w:pPr>
              <w:spacing w:after="0"/>
              <w:rPr>
                <w:sz w:val="16"/>
                <w:szCs w:val="16"/>
                <w:color w:val="auto"/>
              </w:rPr>
            </w:pPr>
          </w:p>
        </w:tc>
      </w:tr>
      <w:tr>
        <w:trPr>
          <w:trHeight w:val="268"/>
        </w:trPr>
        <w:tc>
          <w:tcPr>
            <w:tcW w:w="5380" w:type="dxa"/>
            <w:vAlign w:val="bottom"/>
          </w:tcPr>
          <w:p>
            <w:pPr>
              <w:ind w:left="20"/>
              <w:spacing w:after="0"/>
              <w:rPr>
                <w:sz w:val="20"/>
                <w:szCs w:val="20"/>
                <w:color w:val="auto"/>
              </w:rPr>
            </w:pPr>
            <w:r>
              <w:rPr>
                <w:rFonts w:ascii="Arial" w:cs="Arial" w:eastAsia="Arial" w:hAnsi="Arial"/>
                <w:sz w:val="18"/>
                <w:szCs w:val="18"/>
                <w:color w:val="auto"/>
              </w:rPr>
              <w:t>Business uses: asset and liability perspective</w:t>
            </w:r>
          </w:p>
        </w:tc>
        <w:tc>
          <w:tcPr>
            <w:tcW w:w="23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30"/>
        </w:trPr>
        <w:tc>
          <w:tcPr>
            <w:tcW w:w="538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3460" w:type="dxa"/>
            <w:vAlign w:val="bottom"/>
            <w:gridSpan w:val="2"/>
          </w:tcPr>
          <w:p>
            <w:pPr>
              <w:jc w:val="right"/>
              <w:ind w:right="10"/>
              <w:spacing w:after="0"/>
              <w:rPr>
                <w:sz w:val="20"/>
                <w:szCs w:val="20"/>
                <w:color w:val="auto"/>
              </w:rPr>
            </w:pPr>
            <w:r>
              <w:rPr>
                <w:rFonts w:ascii="Arial" w:cs="Arial" w:eastAsia="Arial" w:hAnsi="Arial"/>
                <w:sz w:val="18"/>
                <w:szCs w:val="18"/>
                <w:color w:val="auto"/>
              </w:rPr>
              <w:t>338,923</w:t>
            </w:r>
          </w:p>
        </w:tc>
        <w:tc>
          <w:tcPr>
            <w:tcW w:w="1480" w:type="dxa"/>
            <w:vAlign w:val="bottom"/>
          </w:tcPr>
          <w:p>
            <w:pPr>
              <w:jc w:val="right"/>
              <w:ind w:right="273"/>
              <w:spacing w:after="0"/>
              <w:rPr>
                <w:sz w:val="20"/>
                <w:szCs w:val="20"/>
                <w:color w:val="auto"/>
              </w:rPr>
            </w:pPr>
            <w:r>
              <w:rPr>
                <w:rFonts w:ascii="Arial" w:cs="Arial" w:eastAsia="Arial" w:hAnsi="Arial"/>
                <w:sz w:val="18"/>
                <w:szCs w:val="18"/>
                <w:color w:val="auto"/>
              </w:rPr>
              <w:t>332,750</w:t>
            </w:r>
          </w:p>
        </w:tc>
        <w:tc>
          <w:tcPr>
            <w:tcW w:w="920" w:type="dxa"/>
            <w:vAlign w:val="bottom"/>
          </w:tcPr>
          <w:p>
            <w:pPr>
              <w:jc w:val="right"/>
              <w:spacing w:after="0"/>
              <w:rPr>
                <w:sz w:val="20"/>
                <w:szCs w:val="20"/>
                <w:color w:val="auto"/>
              </w:rPr>
            </w:pPr>
            <w:r>
              <w:rPr>
                <w:rFonts w:ascii="Arial" w:cs="Arial" w:eastAsia="Arial" w:hAnsi="Arial"/>
                <w:sz w:val="18"/>
                <w:szCs w:val="18"/>
                <w:color w:val="auto"/>
              </w:rPr>
              <w:t>362,597</w:t>
            </w:r>
          </w:p>
        </w:tc>
      </w:tr>
      <w:tr>
        <w:trPr>
          <w:trHeight w:val="230"/>
        </w:trPr>
        <w:tc>
          <w:tcPr>
            <w:tcW w:w="5380" w:type="dxa"/>
            <w:vAlign w:val="bottom"/>
          </w:tcPr>
          <w:p>
            <w:pPr>
              <w:ind w:left="20"/>
              <w:spacing w:after="0"/>
              <w:rPr>
                <w:sz w:val="20"/>
                <w:szCs w:val="20"/>
                <w:color w:val="auto"/>
              </w:rPr>
            </w:pPr>
            <w:r>
              <w:rPr>
                <w:rFonts w:ascii="Arial" w:cs="Arial" w:eastAsia="Arial" w:hAnsi="Arial"/>
                <w:sz w:val="18"/>
                <w:szCs w:val="18"/>
                <w:color w:val="auto"/>
                <w:w w:val="93"/>
              </w:rPr>
              <w:t>Less liabilities and noncontrolling interests share of assets and liabilities</w:t>
            </w:r>
          </w:p>
        </w:tc>
        <w:tc>
          <w:tcPr>
            <w:tcW w:w="2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5380" w:type="dxa"/>
            <w:vAlign w:val="bottom"/>
          </w:tcPr>
          <w:p>
            <w:pPr>
              <w:ind w:left="480"/>
              <w:spacing w:after="0"/>
              <w:rPr>
                <w:sz w:val="20"/>
                <w:szCs w:val="20"/>
                <w:color w:val="auto"/>
              </w:rPr>
            </w:pPr>
            <w:r>
              <w:rPr>
                <w:rFonts w:ascii="Arial" w:cs="Arial" w:eastAsia="Arial" w:hAnsi="Arial"/>
                <w:sz w:val="18"/>
                <w:szCs w:val="18"/>
                <w:color w:val="auto"/>
              </w:rPr>
              <w:t>Total current liabilities excluding notes and loans payable</w:t>
            </w:r>
          </w:p>
        </w:tc>
        <w:tc>
          <w:tcPr>
            <w:tcW w:w="3460" w:type="dxa"/>
            <w:vAlign w:val="bottom"/>
            <w:gridSpan w:val="2"/>
          </w:tcPr>
          <w:p>
            <w:pPr>
              <w:jc w:val="right"/>
              <w:spacing w:after="0"/>
              <w:rPr>
                <w:sz w:val="20"/>
                <w:szCs w:val="20"/>
                <w:color w:val="auto"/>
              </w:rPr>
            </w:pPr>
            <w:r>
              <w:rPr>
                <w:rFonts w:ascii="Arial" w:cs="Arial" w:eastAsia="Arial" w:hAnsi="Arial"/>
                <w:sz w:val="18"/>
                <w:szCs w:val="18"/>
                <w:color w:val="auto"/>
              </w:rPr>
              <w:t>(52,367)</w:t>
            </w:r>
          </w:p>
        </w:tc>
        <w:tc>
          <w:tcPr>
            <w:tcW w:w="1480" w:type="dxa"/>
            <w:vAlign w:val="bottom"/>
          </w:tcPr>
          <w:p>
            <w:pPr>
              <w:jc w:val="right"/>
              <w:ind w:right="233"/>
              <w:spacing w:after="0"/>
              <w:rPr>
                <w:sz w:val="20"/>
                <w:szCs w:val="20"/>
                <w:color w:val="auto"/>
              </w:rPr>
            </w:pPr>
            <w:r>
              <w:rPr>
                <w:rFonts w:ascii="Arial" w:cs="Arial" w:eastAsia="Arial" w:hAnsi="Arial"/>
                <w:sz w:val="18"/>
                <w:szCs w:val="18"/>
                <w:color w:val="auto"/>
              </w:rPr>
              <w:t>(35,905)</w:t>
            </w:r>
          </w:p>
        </w:tc>
        <w:tc>
          <w:tcPr>
            <w:tcW w:w="920" w:type="dxa"/>
            <w:vAlign w:val="bottom"/>
          </w:tcPr>
          <w:p>
            <w:pPr>
              <w:jc w:val="right"/>
              <w:spacing w:after="0"/>
              <w:rPr>
                <w:sz w:val="20"/>
                <w:szCs w:val="20"/>
                <w:color w:val="auto"/>
              </w:rPr>
            </w:pPr>
            <w:r>
              <w:rPr>
                <w:rFonts w:ascii="Arial" w:cs="Arial" w:eastAsia="Arial" w:hAnsi="Arial"/>
                <w:sz w:val="18"/>
                <w:szCs w:val="18"/>
                <w:color w:val="auto"/>
              </w:rPr>
              <w:t>(43,411)</w:t>
            </w:r>
          </w:p>
        </w:tc>
      </w:tr>
      <w:tr>
        <w:trPr>
          <w:trHeight w:val="229"/>
        </w:trPr>
        <w:tc>
          <w:tcPr>
            <w:tcW w:w="5380" w:type="dxa"/>
            <w:vAlign w:val="bottom"/>
          </w:tcPr>
          <w:p>
            <w:pPr>
              <w:ind w:left="480"/>
              <w:spacing w:after="0"/>
              <w:rPr>
                <w:sz w:val="20"/>
                <w:szCs w:val="20"/>
                <w:color w:val="auto"/>
              </w:rPr>
            </w:pPr>
            <w:r>
              <w:rPr>
                <w:rFonts w:ascii="Arial" w:cs="Arial" w:eastAsia="Arial" w:hAnsi="Arial"/>
                <w:sz w:val="18"/>
                <w:szCs w:val="18"/>
                <w:color w:val="auto"/>
              </w:rPr>
              <w:t>Total long-term liabilities excluding long-term debt</w:t>
            </w:r>
          </w:p>
        </w:tc>
        <w:tc>
          <w:tcPr>
            <w:tcW w:w="3460" w:type="dxa"/>
            <w:vAlign w:val="bottom"/>
            <w:gridSpan w:val="2"/>
          </w:tcPr>
          <w:p>
            <w:pPr>
              <w:jc w:val="right"/>
              <w:spacing w:after="0"/>
              <w:rPr>
                <w:sz w:val="20"/>
                <w:szCs w:val="20"/>
                <w:color w:val="auto"/>
              </w:rPr>
            </w:pPr>
            <w:r>
              <w:rPr>
                <w:rFonts w:ascii="Arial" w:cs="Arial" w:eastAsia="Arial" w:hAnsi="Arial"/>
                <w:sz w:val="18"/>
                <w:szCs w:val="18"/>
                <w:color w:val="auto"/>
              </w:rPr>
              <w:t>(63,169)</w:t>
            </w:r>
          </w:p>
        </w:tc>
        <w:tc>
          <w:tcPr>
            <w:tcW w:w="1480" w:type="dxa"/>
            <w:vAlign w:val="bottom"/>
          </w:tcPr>
          <w:p>
            <w:pPr>
              <w:jc w:val="right"/>
              <w:ind w:right="233"/>
              <w:spacing w:after="0"/>
              <w:rPr>
                <w:sz w:val="20"/>
                <w:szCs w:val="20"/>
                <w:color w:val="auto"/>
              </w:rPr>
            </w:pPr>
            <w:r>
              <w:rPr>
                <w:rFonts w:ascii="Arial" w:cs="Arial" w:eastAsia="Arial" w:hAnsi="Arial"/>
                <w:sz w:val="18"/>
                <w:szCs w:val="18"/>
                <w:color w:val="auto"/>
              </w:rPr>
              <w:t>(65,075)</w:t>
            </w:r>
          </w:p>
        </w:tc>
        <w:tc>
          <w:tcPr>
            <w:tcW w:w="920" w:type="dxa"/>
            <w:vAlign w:val="bottom"/>
          </w:tcPr>
          <w:p>
            <w:pPr>
              <w:jc w:val="right"/>
              <w:spacing w:after="0"/>
              <w:rPr>
                <w:sz w:val="20"/>
                <w:szCs w:val="20"/>
                <w:color w:val="auto"/>
              </w:rPr>
            </w:pPr>
            <w:r>
              <w:rPr>
                <w:rFonts w:ascii="Arial" w:cs="Arial" w:eastAsia="Arial" w:hAnsi="Arial"/>
                <w:sz w:val="18"/>
                <w:szCs w:val="18"/>
                <w:color w:val="auto"/>
              </w:rPr>
              <w:t>(73,328)</w:t>
            </w:r>
          </w:p>
        </w:tc>
      </w:tr>
      <w:tr>
        <w:trPr>
          <w:trHeight w:val="230"/>
        </w:trPr>
        <w:tc>
          <w:tcPr>
            <w:tcW w:w="5380" w:type="dxa"/>
            <w:vAlign w:val="bottom"/>
          </w:tcPr>
          <w:p>
            <w:pPr>
              <w:ind w:left="480"/>
              <w:spacing w:after="0"/>
              <w:rPr>
                <w:sz w:val="20"/>
                <w:szCs w:val="20"/>
                <w:color w:val="auto"/>
              </w:rPr>
            </w:pPr>
            <w:r>
              <w:rPr>
                <w:rFonts w:ascii="Arial" w:cs="Arial" w:eastAsia="Arial" w:hAnsi="Arial"/>
                <w:sz w:val="18"/>
                <w:szCs w:val="18"/>
                <w:color w:val="auto"/>
              </w:rPr>
              <w:t>Noncontrolling interests share of assets and liabilities</w:t>
            </w:r>
          </w:p>
        </w:tc>
        <w:tc>
          <w:tcPr>
            <w:tcW w:w="3460" w:type="dxa"/>
            <w:vAlign w:val="bottom"/>
            <w:gridSpan w:val="2"/>
          </w:tcPr>
          <w:p>
            <w:pPr>
              <w:jc w:val="right"/>
              <w:spacing w:after="0"/>
              <w:rPr>
                <w:sz w:val="20"/>
                <w:szCs w:val="20"/>
                <w:color w:val="auto"/>
              </w:rPr>
            </w:pPr>
            <w:r>
              <w:rPr>
                <w:rFonts w:ascii="Arial" w:cs="Arial" w:eastAsia="Arial" w:hAnsi="Arial"/>
                <w:sz w:val="18"/>
                <w:szCs w:val="18"/>
                <w:color w:val="auto"/>
              </w:rPr>
              <w:t>(8,746)</w:t>
            </w:r>
          </w:p>
        </w:tc>
        <w:tc>
          <w:tcPr>
            <w:tcW w:w="1480" w:type="dxa"/>
            <w:vAlign w:val="bottom"/>
          </w:tcPr>
          <w:p>
            <w:pPr>
              <w:jc w:val="right"/>
              <w:ind w:right="233"/>
              <w:spacing w:after="0"/>
              <w:rPr>
                <w:sz w:val="20"/>
                <w:szCs w:val="20"/>
                <w:color w:val="auto"/>
              </w:rPr>
            </w:pPr>
            <w:r>
              <w:rPr>
                <w:rFonts w:ascii="Arial" w:cs="Arial" w:eastAsia="Arial" w:hAnsi="Arial"/>
                <w:sz w:val="18"/>
                <w:szCs w:val="18"/>
                <w:color w:val="auto"/>
              </w:rPr>
              <w:t>(8,773)</w:t>
            </w:r>
          </w:p>
        </w:tc>
        <w:tc>
          <w:tcPr>
            <w:tcW w:w="920" w:type="dxa"/>
            <w:vAlign w:val="bottom"/>
          </w:tcPr>
          <w:p>
            <w:pPr>
              <w:jc w:val="right"/>
              <w:spacing w:after="0"/>
              <w:rPr>
                <w:sz w:val="20"/>
                <w:szCs w:val="20"/>
                <w:color w:val="auto"/>
              </w:rPr>
            </w:pPr>
            <w:r>
              <w:rPr>
                <w:rFonts w:ascii="Arial" w:cs="Arial" w:eastAsia="Arial" w:hAnsi="Arial"/>
                <w:sz w:val="18"/>
                <w:szCs w:val="18"/>
                <w:color w:val="auto"/>
              </w:rPr>
              <w:t>(8,839)</w:t>
            </w:r>
          </w:p>
        </w:tc>
      </w:tr>
      <w:tr>
        <w:trPr>
          <w:trHeight w:val="230"/>
        </w:trPr>
        <w:tc>
          <w:tcPr>
            <w:tcW w:w="5380" w:type="dxa"/>
            <w:vAlign w:val="bottom"/>
          </w:tcPr>
          <w:p>
            <w:pPr>
              <w:ind w:left="20"/>
              <w:spacing w:after="0"/>
              <w:rPr>
                <w:sz w:val="20"/>
                <w:szCs w:val="20"/>
                <w:color w:val="auto"/>
              </w:rPr>
            </w:pPr>
            <w:r>
              <w:rPr>
                <w:rFonts w:ascii="Arial" w:cs="Arial" w:eastAsia="Arial" w:hAnsi="Arial"/>
                <w:sz w:val="18"/>
                <w:szCs w:val="18"/>
                <w:color w:val="auto"/>
              </w:rPr>
              <w:t>Add ExxonMobil share of debt-financed equity company net assets</w:t>
            </w:r>
          </w:p>
        </w:tc>
        <w:tc>
          <w:tcPr>
            <w:tcW w:w="3460" w:type="dxa"/>
            <w:vAlign w:val="bottom"/>
            <w:gridSpan w:val="2"/>
          </w:tcPr>
          <w:p>
            <w:pPr>
              <w:jc w:val="right"/>
              <w:ind w:right="10"/>
              <w:spacing w:after="0"/>
              <w:rPr>
                <w:sz w:val="20"/>
                <w:szCs w:val="20"/>
                <w:color w:val="auto"/>
              </w:rPr>
            </w:pPr>
            <w:r>
              <w:rPr>
                <w:rFonts w:ascii="Arial" w:cs="Arial" w:eastAsia="Arial" w:hAnsi="Arial"/>
                <w:sz w:val="18"/>
                <w:szCs w:val="18"/>
                <w:color w:val="auto"/>
              </w:rPr>
              <w:t>4,001</w:t>
            </w:r>
          </w:p>
        </w:tc>
        <w:tc>
          <w:tcPr>
            <w:tcW w:w="1480" w:type="dxa"/>
            <w:vAlign w:val="bottom"/>
          </w:tcPr>
          <w:p>
            <w:pPr>
              <w:jc w:val="right"/>
              <w:ind w:right="273"/>
              <w:spacing w:after="0"/>
              <w:rPr>
                <w:sz w:val="20"/>
                <w:szCs w:val="20"/>
                <w:color w:val="auto"/>
              </w:rPr>
            </w:pPr>
            <w:r>
              <w:rPr>
                <w:rFonts w:ascii="Arial" w:cs="Arial" w:eastAsia="Arial" w:hAnsi="Arial"/>
                <w:sz w:val="18"/>
                <w:szCs w:val="18"/>
                <w:color w:val="auto"/>
              </w:rPr>
              <w:t>4,140</w:t>
            </w:r>
          </w:p>
        </w:tc>
        <w:tc>
          <w:tcPr>
            <w:tcW w:w="920" w:type="dxa"/>
            <w:vAlign w:val="bottom"/>
          </w:tcPr>
          <w:p>
            <w:pPr>
              <w:jc w:val="right"/>
              <w:spacing w:after="0"/>
              <w:rPr>
                <w:sz w:val="20"/>
                <w:szCs w:val="20"/>
                <w:color w:val="auto"/>
              </w:rPr>
            </w:pPr>
            <w:r>
              <w:rPr>
                <w:rFonts w:ascii="Arial" w:cs="Arial" w:eastAsia="Arial" w:hAnsi="Arial"/>
                <w:sz w:val="18"/>
                <w:szCs w:val="18"/>
                <w:color w:val="auto"/>
              </w:rPr>
              <w:t>3,906</w:t>
            </w:r>
          </w:p>
        </w:tc>
      </w:tr>
      <w:tr>
        <w:trPr>
          <w:trHeight w:val="223"/>
        </w:trPr>
        <w:tc>
          <w:tcPr>
            <w:tcW w:w="5380" w:type="dxa"/>
            <w:vAlign w:val="bottom"/>
          </w:tcPr>
          <w:p>
            <w:pPr>
              <w:ind w:left="480"/>
              <w:spacing w:after="0"/>
              <w:rPr>
                <w:sz w:val="20"/>
                <w:szCs w:val="20"/>
                <w:color w:val="auto"/>
              </w:rPr>
            </w:pPr>
            <w:r>
              <w:rPr>
                <w:rFonts w:ascii="Arial" w:cs="Arial" w:eastAsia="Arial" w:hAnsi="Arial"/>
                <w:sz w:val="18"/>
                <w:szCs w:val="18"/>
                <w:color w:val="auto"/>
              </w:rPr>
              <w:t>Total capital employed</w:t>
            </w:r>
          </w:p>
        </w:tc>
        <w:tc>
          <w:tcPr>
            <w:tcW w:w="23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218,642</w:t>
            </w:r>
          </w:p>
        </w:tc>
        <w:tc>
          <w:tcPr>
            <w:tcW w:w="148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8"/>
                <w:szCs w:val="18"/>
                <w:color w:val="auto"/>
              </w:rPr>
              <w:t>227,137</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240,925</w:t>
            </w:r>
          </w:p>
        </w:tc>
      </w:tr>
      <w:tr>
        <w:trPr>
          <w:trHeight w:val="479"/>
        </w:trPr>
        <w:tc>
          <w:tcPr>
            <w:tcW w:w="5380" w:type="dxa"/>
            <w:vAlign w:val="bottom"/>
          </w:tcPr>
          <w:p>
            <w:pPr>
              <w:ind w:left="20"/>
              <w:spacing w:after="0"/>
              <w:rPr>
                <w:sz w:val="20"/>
                <w:szCs w:val="20"/>
                <w:color w:val="auto"/>
              </w:rPr>
            </w:pPr>
            <w:r>
              <w:rPr>
                <w:rFonts w:ascii="Arial" w:cs="Arial" w:eastAsia="Arial" w:hAnsi="Arial"/>
                <w:sz w:val="18"/>
                <w:szCs w:val="18"/>
                <w:color w:val="auto"/>
              </w:rPr>
              <w:t>Total corporate sources: debt and equity perspective</w:t>
            </w:r>
          </w:p>
        </w:tc>
        <w:tc>
          <w:tcPr>
            <w:tcW w:w="2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29"/>
        </w:trPr>
        <w:tc>
          <w:tcPr>
            <w:tcW w:w="5380" w:type="dxa"/>
            <w:vAlign w:val="bottom"/>
          </w:tcPr>
          <w:p>
            <w:pPr>
              <w:ind w:left="20"/>
              <w:spacing w:after="0"/>
              <w:rPr>
                <w:sz w:val="20"/>
                <w:szCs w:val="20"/>
                <w:color w:val="auto"/>
              </w:rPr>
            </w:pPr>
            <w:r>
              <w:rPr>
                <w:rFonts w:ascii="Arial" w:cs="Arial" w:eastAsia="Arial" w:hAnsi="Arial"/>
                <w:sz w:val="18"/>
                <w:szCs w:val="18"/>
                <w:color w:val="auto"/>
              </w:rPr>
              <w:t>Notes and loans payable</w:t>
            </w:r>
          </w:p>
        </w:tc>
        <w:tc>
          <w:tcPr>
            <w:tcW w:w="3460" w:type="dxa"/>
            <w:vAlign w:val="bottom"/>
            <w:gridSpan w:val="2"/>
          </w:tcPr>
          <w:p>
            <w:pPr>
              <w:jc w:val="right"/>
              <w:ind w:right="10"/>
              <w:spacing w:after="0"/>
              <w:rPr>
                <w:sz w:val="20"/>
                <w:szCs w:val="20"/>
                <w:color w:val="auto"/>
              </w:rPr>
            </w:pPr>
            <w:r>
              <w:rPr>
                <w:rFonts w:ascii="Arial" w:cs="Arial" w:eastAsia="Arial" w:hAnsi="Arial"/>
                <w:sz w:val="18"/>
                <w:szCs w:val="18"/>
                <w:color w:val="auto"/>
              </w:rPr>
              <w:t>4,276</w:t>
            </w:r>
          </w:p>
        </w:tc>
        <w:tc>
          <w:tcPr>
            <w:tcW w:w="1480" w:type="dxa"/>
            <w:vAlign w:val="bottom"/>
          </w:tcPr>
          <w:p>
            <w:pPr>
              <w:jc w:val="right"/>
              <w:ind w:right="273"/>
              <w:spacing w:after="0"/>
              <w:rPr>
                <w:sz w:val="20"/>
                <w:szCs w:val="20"/>
                <w:color w:val="auto"/>
              </w:rPr>
            </w:pPr>
            <w:r>
              <w:rPr>
                <w:rFonts w:ascii="Arial" w:cs="Arial" w:eastAsia="Arial" w:hAnsi="Arial"/>
                <w:sz w:val="18"/>
                <w:szCs w:val="18"/>
                <w:color w:val="auto"/>
              </w:rPr>
              <w:t>20,458</w:t>
            </w:r>
          </w:p>
        </w:tc>
        <w:tc>
          <w:tcPr>
            <w:tcW w:w="920" w:type="dxa"/>
            <w:vAlign w:val="bottom"/>
          </w:tcPr>
          <w:p>
            <w:pPr>
              <w:jc w:val="right"/>
              <w:spacing w:after="0"/>
              <w:rPr>
                <w:sz w:val="20"/>
                <w:szCs w:val="20"/>
                <w:color w:val="auto"/>
              </w:rPr>
            </w:pPr>
            <w:r>
              <w:rPr>
                <w:rFonts w:ascii="Arial" w:cs="Arial" w:eastAsia="Arial" w:hAnsi="Arial"/>
                <w:sz w:val="18"/>
                <w:szCs w:val="18"/>
                <w:color w:val="auto"/>
              </w:rPr>
              <w:t>20,578</w:t>
            </w:r>
          </w:p>
        </w:tc>
      </w:tr>
      <w:tr>
        <w:trPr>
          <w:trHeight w:val="230"/>
        </w:trPr>
        <w:tc>
          <w:tcPr>
            <w:tcW w:w="538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3460" w:type="dxa"/>
            <w:vAlign w:val="bottom"/>
            <w:gridSpan w:val="2"/>
          </w:tcPr>
          <w:p>
            <w:pPr>
              <w:jc w:val="right"/>
              <w:ind w:right="10"/>
              <w:spacing w:after="0"/>
              <w:rPr>
                <w:sz w:val="20"/>
                <w:szCs w:val="20"/>
                <w:color w:val="auto"/>
              </w:rPr>
            </w:pPr>
            <w:r>
              <w:rPr>
                <w:rFonts w:ascii="Arial" w:cs="Arial" w:eastAsia="Arial" w:hAnsi="Arial"/>
                <w:sz w:val="18"/>
                <w:szCs w:val="18"/>
                <w:color w:val="auto"/>
              </w:rPr>
              <w:t>43,428</w:t>
            </w:r>
          </w:p>
        </w:tc>
        <w:tc>
          <w:tcPr>
            <w:tcW w:w="1480" w:type="dxa"/>
            <w:vAlign w:val="bottom"/>
          </w:tcPr>
          <w:p>
            <w:pPr>
              <w:jc w:val="right"/>
              <w:ind w:right="273"/>
              <w:spacing w:after="0"/>
              <w:rPr>
                <w:sz w:val="20"/>
                <w:szCs w:val="20"/>
                <w:color w:val="auto"/>
              </w:rPr>
            </w:pPr>
            <w:r>
              <w:rPr>
                <w:rFonts w:ascii="Arial" w:cs="Arial" w:eastAsia="Arial" w:hAnsi="Arial"/>
                <w:sz w:val="18"/>
                <w:szCs w:val="18"/>
                <w:color w:val="auto"/>
              </w:rPr>
              <w:t>47,182</w:t>
            </w:r>
          </w:p>
        </w:tc>
        <w:tc>
          <w:tcPr>
            <w:tcW w:w="920" w:type="dxa"/>
            <w:vAlign w:val="bottom"/>
          </w:tcPr>
          <w:p>
            <w:pPr>
              <w:jc w:val="right"/>
              <w:spacing w:after="0"/>
              <w:rPr>
                <w:sz w:val="20"/>
                <w:szCs w:val="20"/>
                <w:color w:val="auto"/>
              </w:rPr>
            </w:pPr>
            <w:r>
              <w:rPr>
                <w:rFonts w:ascii="Arial" w:cs="Arial" w:eastAsia="Arial" w:hAnsi="Arial"/>
                <w:sz w:val="18"/>
                <w:szCs w:val="18"/>
                <w:color w:val="auto"/>
              </w:rPr>
              <w:t>26,342</w:t>
            </w:r>
          </w:p>
        </w:tc>
      </w:tr>
      <w:tr>
        <w:trPr>
          <w:trHeight w:val="230"/>
        </w:trPr>
        <w:tc>
          <w:tcPr>
            <w:tcW w:w="5380" w:type="dxa"/>
            <w:vAlign w:val="bottom"/>
          </w:tcPr>
          <w:p>
            <w:pPr>
              <w:ind w:left="20"/>
              <w:spacing w:after="0"/>
              <w:rPr>
                <w:sz w:val="20"/>
                <w:szCs w:val="20"/>
                <w:color w:val="auto"/>
              </w:rPr>
            </w:pPr>
            <w:r>
              <w:rPr>
                <w:rFonts w:ascii="Arial" w:cs="Arial" w:eastAsia="Arial" w:hAnsi="Arial"/>
                <w:sz w:val="18"/>
                <w:szCs w:val="18"/>
                <w:color w:val="auto"/>
              </w:rPr>
              <w:t>ExxonMobil share of equity</w:t>
            </w:r>
          </w:p>
        </w:tc>
        <w:tc>
          <w:tcPr>
            <w:tcW w:w="3460" w:type="dxa"/>
            <w:vAlign w:val="bottom"/>
            <w:gridSpan w:val="2"/>
          </w:tcPr>
          <w:p>
            <w:pPr>
              <w:jc w:val="right"/>
              <w:ind w:right="10"/>
              <w:spacing w:after="0"/>
              <w:rPr>
                <w:sz w:val="20"/>
                <w:szCs w:val="20"/>
                <w:color w:val="auto"/>
              </w:rPr>
            </w:pPr>
            <w:r>
              <w:rPr>
                <w:rFonts w:ascii="Arial" w:cs="Arial" w:eastAsia="Arial" w:hAnsi="Arial"/>
                <w:sz w:val="18"/>
                <w:szCs w:val="18"/>
                <w:color w:val="auto"/>
              </w:rPr>
              <w:t>168,577</w:t>
            </w:r>
          </w:p>
        </w:tc>
        <w:tc>
          <w:tcPr>
            <w:tcW w:w="1480" w:type="dxa"/>
            <w:vAlign w:val="bottom"/>
          </w:tcPr>
          <w:p>
            <w:pPr>
              <w:jc w:val="right"/>
              <w:ind w:right="273"/>
              <w:spacing w:after="0"/>
              <w:rPr>
                <w:sz w:val="20"/>
                <w:szCs w:val="20"/>
                <w:color w:val="auto"/>
              </w:rPr>
            </w:pPr>
            <w:r>
              <w:rPr>
                <w:rFonts w:ascii="Arial" w:cs="Arial" w:eastAsia="Arial" w:hAnsi="Arial"/>
                <w:sz w:val="18"/>
                <w:szCs w:val="18"/>
                <w:color w:val="auto"/>
              </w:rPr>
              <w:t>157,150</w:t>
            </w:r>
          </w:p>
        </w:tc>
        <w:tc>
          <w:tcPr>
            <w:tcW w:w="920" w:type="dxa"/>
            <w:vAlign w:val="bottom"/>
          </w:tcPr>
          <w:p>
            <w:pPr>
              <w:jc w:val="right"/>
              <w:spacing w:after="0"/>
              <w:rPr>
                <w:sz w:val="20"/>
                <w:szCs w:val="20"/>
                <w:color w:val="auto"/>
              </w:rPr>
            </w:pPr>
            <w:r>
              <w:rPr>
                <w:rFonts w:ascii="Arial" w:cs="Arial" w:eastAsia="Arial" w:hAnsi="Arial"/>
                <w:sz w:val="18"/>
                <w:szCs w:val="18"/>
                <w:color w:val="auto"/>
              </w:rPr>
              <w:t>191,650</w:t>
            </w:r>
          </w:p>
        </w:tc>
      </w:tr>
      <w:tr>
        <w:trPr>
          <w:trHeight w:val="230"/>
        </w:trPr>
        <w:tc>
          <w:tcPr>
            <w:tcW w:w="5380" w:type="dxa"/>
            <w:vAlign w:val="bottom"/>
          </w:tcPr>
          <w:p>
            <w:pPr>
              <w:ind w:left="20"/>
              <w:spacing w:after="0"/>
              <w:rPr>
                <w:sz w:val="20"/>
                <w:szCs w:val="20"/>
                <w:color w:val="auto"/>
              </w:rPr>
            </w:pPr>
            <w:r>
              <w:rPr>
                <w:rFonts w:ascii="Arial" w:cs="Arial" w:eastAsia="Arial" w:hAnsi="Arial"/>
                <w:sz w:val="18"/>
                <w:szCs w:val="18"/>
                <w:color w:val="auto"/>
              </w:rPr>
              <w:t>Less noncontrolling interests share of total debt</w:t>
            </w:r>
          </w:p>
        </w:tc>
        <w:tc>
          <w:tcPr>
            <w:tcW w:w="3460" w:type="dxa"/>
            <w:vAlign w:val="bottom"/>
            <w:gridSpan w:val="2"/>
          </w:tcPr>
          <w:p>
            <w:pPr>
              <w:jc w:val="right"/>
              <w:spacing w:after="0"/>
              <w:rPr>
                <w:sz w:val="20"/>
                <w:szCs w:val="20"/>
                <w:color w:val="auto"/>
              </w:rPr>
            </w:pPr>
            <w:r>
              <w:rPr>
                <w:rFonts w:ascii="Arial" w:cs="Arial" w:eastAsia="Arial" w:hAnsi="Arial"/>
                <w:sz w:val="18"/>
                <w:szCs w:val="18"/>
                <w:color w:val="auto"/>
              </w:rPr>
              <w:t>(1,640)</w:t>
            </w:r>
          </w:p>
        </w:tc>
        <w:tc>
          <w:tcPr>
            <w:tcW w:w="1480" w:type="dxa"/>
            <w:vAlign w:val="bottom"/>
          </w:tcPr>
          <w:p>
            <w:pPr>
              <w:jc w:val="right"/>
              <w:ind w:right="233"/>
              <w:spacing w:after="0"/>
              <w:rPr>
                <w:sz w:val="20"/>
                <w:szCs w:val="20"/>
                <w:color w:val="auto"/>
              </w:rPr>
            </w:pPr>
            <w:r>
              <w:rPr>
                <w:rFonts w:ascii="Arial" w:cs="Arial" w:eastAsia="Arial" w:hAnsi="Arial"/>
                <w:sz w:val="18"/>
                <w:szCs w:val="18"/>
                <w:color w:val="auto"/>
              </w:rPr>
              <w:t>(1,793)</w:t>
            </w:r>
          </w:p>
        </w:tc>
        <w:tc>
          <w:tcPr>
            <w:tcW w:w="920" w:type="dxa"/>
            <w:vAlign w:val="bottom"/>
          </w:tcPr>
          <w:p>
            <w:pPr>
              <w:jc w:val="right"/>
              <w:spacing w:after="0"/>
              <w:rPr>
                <w:sz w:val="20"/>
                <w:szCs w:val="20"/>
                <w:color w:val="auto"/>
              </w:rPr>
            </w:pPr>
            <w:r>
              <w:rPr>
                <w:rFonts w:ascii="Arial" w:cs="Arial" w:eastAsia="Arial" w:hAnsi="Arial"/>
                <w:sz w:val="18"/>
                <w:szCs w:val="18"/>
                <w:color w:val="auto"/>
              </w:rPr>
              <w:t>(1,551)</w:t>
            </w:r>
          </w:p>
        </w:tc>
      </w:tr>
      <w:tr>
        <w:trPr>
          <w:trHeight w:val="230"/>
        </w:trPr>
        <w:tc>
          <w:tcPr>
            <w:tcW w:w="5380" w:type="dxa"/>
            <w:vAlign w:val="bottom"/>
          </w:tcPr>
          <w:p>
            <w:pPr>
              <w:ind w:left="20"/>
              <w:spacing w:after="0"/>
              <w:rPr>
                <w:sz w:val="20"/>
                <w:szCs w:val="20"/>
                <w:color w:val="auto"/>
              </w:rPr>
            </w:pPr>
            <w:r>
              <w:rPr>
                <w:rFonts w:ascii="Arial" w:cs="Arial" w:eastAsia="Arial" w:hAnsi="Arial"/>
                <w:sz w:val="18"/>
                <w:szCs w:val="18"/>
                <w:color w:val="auto"/>
              </w:rPr>
              <w:t>Add ExxonMobil share of equity company debt</w:t>
            </w:r>
          </w:p>
        </w:tc>
        <w:tc>
          <w:tcPr>
            <w:tcW w:w="3460" w:type="dxa"/>
            <w:vAlign w:val="bottom"/>
            <w:gridSpan w:val="2"/>
          </w:tcPr>
          <w:p>
            <w:pPr>
              <w:jc w:val="right"/>
              <w:ind w:right="10"/>
              <w:spacing w:after="0"/>
              <w:rPr>
                <w:sz w:val="20"/>
                <w:szCs w:val="20"/>
                <w:color w:val="auto"/>
              </w:rPr>
            </w:pPr>
            <w:r>
              <w:rPr>
                <w:rFonts w:ascii="Arial" w:cs="Arial" w:eastAsia="Arial" w:hAnsi="Arial"/>
                <w:sz w:val="18"/>
                <w:szCs w:val="18"/>
                <w:color w:val="auto"/>
              </w:rPr>
              <w:t>4,001</w:t>
            </w:r>
          </w:p>
        </w:tc>
        <w:tc>
          <w:tcPr>
            <w:tcW w:w="1480" w:type="dxa"/>
            <w:vAlign w:val="bottom"/>
          </w:tcPr>
          <w:p>
            <w:pPr>
              <w:jc w:val="right"/>
              <w:ind w:right="273"/>
              <w:spacing w:after="0"/>
              <w:rPr>
                <w:sz w:val="20"/>
                <w:szCs w:val="20"/>
                <w:color w:val="auto"/>
              </w:rPr>
            </w:pPr>
            <w:r>
              <w:rPr>
                <w:rFonts w:ascii="Arial" w:cs="Arial" w:eastAsia="Arial" w:hAnsi="Arial"/>
                <w:sz w:val="18"/>
                <w:szCs w:val="18"/>
                <w:color w:val="auto"/>
              </w:rPr>
              <w:t>4,140</w:t>
            </w:r>
          </w:p>
        </w:tc>
        <w:tc>
          <w:tcPr>
            <w:tcW w:w="920" w:type="dxa"/>
            <w:vAlign w:val="bottom"/>
          </w:tcPr>
          <w:p>
            <w:pPr>
              <w:jc w:val="right"/>
              <w:spacing w:after="0"/>
              <w:rPr>
                <w:sz w:val="20"/>
                <w:szCs w:val="20"/>
                <w:color w:val="auto"/>
              </w:rPr>
            </w:pPr>
            <w:r>
              <w:rPr>
                <w:rFonts w:ascii="Arial" w:cs="Arial" w:eastAsia="Arial" w:hAnsi="Arial"/>
                <w:sz w:val="18"/>
                <w:szCs w:val="18"/>
                <w:color w:val="auto"/>
              </w:rPr>
              <w:t>3,906</w:t>
            </w:r>
          </w:p>
        </w:tc>
      </w:tr>
      <w:tr>
        <w:trPr>
          <w:trHeight w:val="223"/>
        </w:trPr>
        <w:tc>
          <w:tcPr>
            <w:tcW w:w="5380" w:type="dxa"/>
            <w:vAlign w:val="bottom"/>
          </w:tcPr>
          <w:p>
            <w:pPr>
              <w:ind w:left="360"/>
              <w:spacing w:after="0"/>
              <w:rPr>
                <w:sz w:val="20"/>
                <w:szCs w:val="20"/>
                <w:color w:val="auto"/>
              </w:rPr>
            </w:pPr>
            <w:r>
              <w:rPr>
                <w:rFonts w:ascii="Arial" w:cs="Arial" w:eastAsia="Arial" w:hAnsi="Arial"/>
                <w:sz w:val="18"/>
                <w:szCs w:val="18"/>
                <w:color w:val="auto"/>
              </w:rPr>
              <w:t>Total capital employed</w:t>
            </w:r>
          </w:p>
        </w:tc>
        <w:tc>
          <w:tcPr>
            <w:tcW w:w="23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218,642</w:t>
            </w:r>
          </w:p>
        </w:tc>
        <w:tc>
          <w:tcPr>
            <w:tcW w:w="148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8"/>
                <w:szCs w:val="18"/>
                <w:color w:val="auto"/>
              </w:rPr>
              <w:t>227,137</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240,925</w:t>
            </w:r>
          </w:p>
        </w:tc>
      </w:tr>
      <w:tr>
        <w:trPr>
          <w:trHeight w:val="750"/>
        </w:trPr>
        <w:tc>
          <w:tcPr>
            <w:tcW w:w="5380" w:type="dxa"/>
            <w:vAlign w:val="bottom"/>
          </w:tcPr>
          <w:p>
            <w:pPr>
              <w:spacing w:after="0"/>
              <w:rPr>
                <w:sz w:val="24"/>
                <w:szCs w:val="24"/>
                <w:color w:val="auto"/>
              </w:rPr>
            </w:pPr>
          </w:p>
        </w:tc>
        <w:tc>
          <w:tcPr>
            <w:tcW w:w="2320" w:type="dxa"/>
            <w:vAlign w:val="bottom"/>
          </w:tcPr>
          <w:p>
            <w:pPr>
              <w:jc w:val="right"/>
              <w:ind w:right="1892"/>
              <w:spacing w:after="0"/>
              <w:rPr>
                <w:sz w:val="20"/>
                <w:szCs w:val="20"/>
                <w:color w:val="auto"/>
              </w:rPr>
            </w:pPr>
            <w:r>
              <w:rPr>
                <w:rFonts w:ascii="Arial" w:cs="Arial" w:eastAsia="Arial" w:hAnsi="Arial"/>
                <w:sz w:val="18"/>
                <w:szCs w:val="18"/>
                <w:color w:val="auto"/>
              </w:rPr>
              <w:t>38</w:t>
            </w:r>
          </w:p>
        </w:tc>
        <w:tc>
          <w:tcPr>
            <w:tcW w:w="1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01"/>
        </w:trPr>
        <w:tc>
          <w:tcPr>
            <w:tcW w:w="5380" w:type="dxa"/>
            <w:vAlign w:val="bottom"/>
            <w:tcBorders>
              <w:bottom w:val="single" w:sz="8" w:color="9A9A9A"/>
            </w:tcBorders>
          </w:tcPr>
          <w:p>
            <w:pPr>
              <w:spacing w:after="0"/>
              <w:rPr>
                <w:sz w:val="8"/>
                <w:szCs w:val="8"/>
                <w:color w:val="auto"/>
              </w:rPr>
            </w:pPr>
          </w:p>
        </w:tc>
        <w:tc>
          <w:tcPr>
            <w:tcW w:w="232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48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FREQUENTLY USED TERMS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Return on Average Capital Employed</w:t>
      </w:r>
    </w:p>
    <w:p>
      <w:pPr>
        <w:spacing w:after="0" w:line="9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Return on average capital employed (ROCE) is a performance measure ratio. From the perspective of the business segments, ROCE is annual business segment earnings divided by average business segment capital employed (average of beginning and end-of-year amounts). These segment earnings include ExxonMobil’s share of segment earnings of equity companies, consistent with our capital employed definition, and exclude the cost of financing. The Corporation’s total ROCE is net income attributable to ExxonMobil excluding the after-tax cost of financing, divided by total corporate average capital employed. The Corporation has consistently applied its ROCE definition for many years and views it as one of the best measures of historical capital productivity in our capital-intensive, long-term industry. Additional measures, which are more cash flow based, are used to make investment decisions.</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Return on Average Capital Employed</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14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2020</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r>
      <w:tr>
        <w:trPr>
          <w:trHeight w:val="184"/>
        </w:trPr>
        <w:tc>
          <w:tcPr>
            <w:tcW w:w="77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40" w:type="dxa"/>
            <w:vAlign w:val="bottom"/>
          </w:tcPr>
          <w:p>
            <w:pPr>
              <w:jc w:val="right"/>
              <w:ind w:right="154"/>
              <w:spacing w:after="0"/>
              <w:rPr>
                <w:sz w:val="20"/>
                <w:szCs w:val="20"/>
                <w:color w:val="auto"/>
              </w:rPr>
            </w:pPr>
            <w:r>
              <w:rPr>
                <w:rFonts w:ascii="Arial" w:cs="Arial" w:eastAsia="Arial" w:hAnsi="Arial"/>
                <w:sz w:val="14"/>
                <w:szCs w:val="14"/>
                <w:i w:val="1"/>
                <w:iCs w:val="1"/>
                <w:color w:val="auto"/>
              </w:rPr>
              <w:t>(millions of dollars)</w:t>
            </w:r>
          </w:p>
        </w:tc>
        <w:tc>
          <w:tcPr>
            <w:tcW w:w="960" w:type="dxa"/>
            <w:vAlign w:val="bottom"/>
          </w:tcPr>
          <w:p>
            <w:pPr>
              <w:spacing w:after="0"/>
              <w:rPr>
                <w:sz w:val="16"/>
                <w:szCs w:val="16"/>
                <w:color w:val="auto"/>
              </w:rPr>
            </w:pPr>
          </w:p>
        </w:tc>
      </w:tr>
      <w:tr>
        <w:trPr>
          <w:trHeight w:val="268"/>
        </w:trPr>
        <w:tc>
          <w:tcPr>
            <w:tcW w:w="7700" w:type="dxa"/>
            <w:vAlign w:val="bottom"/>
          </w:tcPr>
          <w:p>
            <w:pPr>
              <w:ind w:left="20"/>
              <w:spacing w:after="0"/>
              <w:rPr>
                <w:sz w:val="20"/>
                <w:szCs w:val="20"/>
                <w:color w:val="auto"/>
              </w:rPr>
            </w:pPr>
            <w:r>
              <w:rPr>
                <w:rFonts w:ascii="Arial" w:cs="Arial" w:eastAsia="Arial" w:hAnsi="Arial"/>
                <w:sz w:val="18"/>
                <w:szCs w:val="18"/>
                <w:color w:val="auto"/>
              </w:rPr>
              <w:t>Net income (loss) attributable to ExxonMobil</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23,040</w:t>
            </w:r>
          </w:p>
        </w:tc>
        <w:tc>
          <w:tcPr>
            <w:tcW w:w="1440" w:type="dxa"/>
            <w:vAlign w:val="bottom"/>
          </w:tcPr>
          <w:p>
            <w:pPr>
              <w:jc w:val="right"/>
              <w:ind w:right="194"/>
              <w:spacing w:after="0"/>
              <w:rPr>
                <w:sz w:val="20"/>
                <w:szCs w:val="20"/>
                <w:color w:val="auto"/>
              </w:rPr>
            </w:pPr>
            <w:r>
              <w:rPr>
                <w:rFonts w:ascii="Arial" w:cs="Arial" w:eastAsia="Arial" w:hAnsi="Arial"/>
                <w:sz w:val="18"/>
                <w:szCs w:val="18"/>
                <w:color w:val="auto"/>
              </w:rPr>
              <w:t>(22,440)</w:t>
            </w:r>
          </w:p>
        </w:tc>
        <w:tc>
          <w:tcPr>
            <w:tcW w:w="960" w:type="dxa"/>
            <w:vAlign w:val="bottom"/>
          </w:tcPr>
          <w:p>
            <w:pPr>
              <w:jc w:val="right"/>
              <w:spacing w:after="0"/>
              <w:rPr>
                <w:sz w:val="20"/>
                <w:szCs w:val="20"/>
                <w:color w:val="auto"/>
              </w:rPr>
            </w:pPr>
            <w:r>
              <w:rPr>
                <w:rFonts w:ascii="Arial" w:cs="Arial" w:eastAsia="Arial" w:hAnsi="Arial"/>
                <w:sz w:val="18"/>
                <w:szCs w:val="18"/>
                <w:color w:val="auto"/>
              </w:rPr>
              <w:t>14,340</w:t>
            </w:r>
          </w:p>
        </w:tc>
      </w:tr>
      <w:tr>
        <w:trPr>
          <w:trHeight w:val="229"/>
        </w:trPr>
        <w:tc>
          <w:tcPr>
            <w:tcW w:w="7700" w:type="dxa"/>
            <w:vAlign w:val="bottom"/>
          </w:tcPr>
          <w:p>
            <w:pPr>
              <w:ind w:left="20"/>
              <w:spacing w:after="0"/>
              <w:rPr>
                <w:sz w:val="20"/>
                <w:szCs w:val="20"/>
                <w:color w:val="auto"/>
              </w:rPr>
            </w:pPr>
            <w:r>
              <w:rPr>
                <w:rFonts w:ascii="Arial" w:cs="Arial" w:eastAsia="Arial" w:hAnsi="Arial"/>
                <w:sz w:val="18"/>
                <w:szCs w:val="18"/>
                <w:color w:val="auto"/>
              </w:rPr>
              <w:t>Financing costs (after-tax)</w:t>
            </w:r>
          </w:p>
        </w:tc>
        <w:tc>
          <w:tcPr>
            <w:tcW w:w="1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7700" w:type="dxa"/>
            <w:vAlign w:val="bottom"/>
          </w:tcPr>
          <w:p>
            <w:pPr>
              <w:ind w:left="480"/>
              <w:spacing w:after="0"/>
              <w:rPr>
                <w:sz w:val="20"/>
                <w:szCs w:val="20"/>
                <w:color w:val="auto"/>
              </w:rPr>
            </w:pPr>
            <w:r>
              <w:rPr>
                <w:rFonts w:ascii="Arial" w:cs="Arial" w:eastAsia="Arial" w:hAnsi="Arial"/>
                <w:sz w:val="18"/>
                <w:szCs w:val="18"/>
                <w:color w:val="auto"/>
              </w:rPr>
              <w:t>Gross third-party debt</w:t>
            </w:r>
          </w:p>
        </w:tc>
        <w:tc>
          <w:tcPr>
            <w:tcW w:w="1140" w:type="dxa"/>
            <w:vAlign w:val="bottom"/>
          </w:tcPr>
          <w:p>
            <w:pPr>
              <w:jc w:val="right"/>
              <w:spacing w:after="0"/>
              <w:rPr>
                <w:sz w:val="20"/>
                <w:szCs w:val="20"/>
                <w:color w:val="auto"/>
              </w:rPr>
            </w:pPr>
            <w:r>
              <w:rPr>
                <w:rFonts w:ascii="Arial" w:cs="Arial" w:eastAsia="Arial" w:hAnsi="Arial"/>
                <w:sz w:val="18"/>
                <w:szCs w:val="18"/>
                <w:color w:val="auto"/>
              </w:rPr>
              <w:t>(1,196)</w:t>
            </w:r>
          </w:p>
        </w:tc>
        <w:tc>
          <w:tcPr>
            <w:tcW w:w="1440" w:type="dxa"/>
            <w:vAlign w:val="bottom"/>
          </w:tcPr>
          <w:p>
            <w:pPr>
              <w:jc w:val="right"/>
              <w:ind w:right="194"/>
              <w:spacing w:after="0"/>
              <w:rPr>
                <w:sz w:val="20"/>
                <w:szCs w:val="20"/>
                <w:color w:val="auto"/>
              </w:rPr>
            </w:pPr>
            <w:r>
              <w:rPr>
                <w:rFonts w:ascii="Arial" w:cs="Arial" w:eastAsia="Arial" w:hAnsi="Arial"/>
                <w:sz w:val="18"/>
                <w:szCs w:val="18"/>
                <w:color w:val="auto"/>
              </w:rPr>
              <w:t>(1,272)</w:t>
            </w:r>
          </w:p>
        </w:tc>
        <w:tc>
          <w:tcPr>
            <w:tcW w:w="960" w:type="dxa"/>
            <w:vAlign w:val="bottom"/>
          </w:tcPr>
          <w:p>
            <w:pPr>
              <w:jc w:val="right"/>
              <w:spacing w:after="0"/>
              <w:rPr>
                <w:sz w:val="20"/>
                <w:szCs w:val="20"/>
                <w:color w:val="auto"/>
              </w:rPr>
            </w:pPr>
            <w:r>
              <w:rPr>
                <w:rFonts w:ascii="Arial" w:cs="Arial" w:eastAsia="Arial" w:hAnsi="Arial"/>
                <w:sz w:val="18"/>
                <w:szCs w:val="18"/>
                <w:color w:val="auto"/>
              </w:rPr>
              <w:t>(1,075)</w:t>
            </w:r>
          </w:p>
        </w:tc>
      </w:tr>
      <w:tr>
        <w:trPr>
          <w:trHeight w:val="229"/>
        </w:trPr>
        <w:tc>
          <w:tcPr>
            <w:tcW w:w="7700" w:type="dxa"/>
            <w:vAlign w:val="bottom"/>
          </w:tcPr>
          <w:p>
            <w:pPr>
              <w:ind w:left="480"/>
              <w:spacing w:after="0"/>
              <w:rPr>
                <w:sz w:val="20"/>
                <w:szCs w:val="20"/>
                <w:color w:val="auto"/>
              </w:rPr>
            </w:pPr>
            <w:r>
              <w:rPr>
                <w:rFonts w:ascii="Arial" w:cs="Arial" w:eastAsia="Arial" w:hAnsi="Arial"/>
                <w:sz w:val="18"/>
                <w:szCs w:val="18"/>
                <w:color w:val="auto"/>
              </w:rPr>
              <w:t>ExxonMobil share of equity companies</w:t>
            </w:r>
          </w:p>
        </w:tc>
        <w:tc>
          <w:tcPr>
            <w:tcW w:w="1140" w:type="dxa"/>
            <w:vAlign w:val="bottom"/>
          </w:tcPr>
          <w:p>
            <w:pPr>
              <w:jc w:val="right"/>
              <w:spacing w:after="0"/>
              <w:rPr>
                <w:sz w:val="20"/>
                <w:szCs w:val="20"/>
                <w:color w:val="auto"/>
              </w:rPr>
            </w:pPr>
            <w:r>
              <w:rPr>
                <w:rFonts w:ascii="Arial" w:cs="Arial" w:eastAsia="Arial" w:hAnsi="Arial"/>
                <w:sz w:val="18"/>
                <w:szCs w:val="18"/>
                <w:color w:val="auto"/>
              </w:rPr>
              <w:t>(170)</w:t>
            </w:r>
          </w:p>
        </w:tc>
        <w:tc>
          <w:tcPr>
            <w:tcW w:w="1440" w:type="dxa"/>
            <w:vAlign w:val="bottom"/>
          </w:tcPr>
          <w:p>
            <w:pPr>
              <w:jc w:val="right"/>
              <w:ind w:right="194"/>
              <w:spacing w:after="0"/>
              <w:rPr>
                <w:sz w:val="20"/>
                <w:szCs w:val="20"/>
                <w:color w:val="auto"/>
              </w:rPr>
            </w:pPr>
            <w:r>
              <w:rPr>
                <w:rFonts w:ascii="Arial" w:cs="Arial" w:eastAsia="Arial" w:hAnsi="Arial"/>
                <w:sz w:val="18"/>
                <w:szCs w:val="18"/>
                <w:color w:val="auto"/>
              </w:rPr>
              <w:t>(182)</w:t>
            </w:r>
          </w:p>
        </w:tc>
        <w:tc>
          <w:tcPr>
            <w:tcW w:w="960" w:type="dxa"/>
            <w:vAlign w:val="bottom"/>
          </w:tcPr>
          <w:p>
            <w:pPr>
              <w:jc w:val="right"/>
              <w:spacing w:after="0"/>
              <w:rPr>
                <w:sz w:val="20"/>
                <w:szCs w:val="20"/>
                <w:color w:val="auto"/>
              </w:rPr>
            </w:pPr>
            <w:r>
              <w:rPr>
                <w:rFonts w:ascii="Arial" w:cs="Arial" w:eastAsia="Arial" w:hAnsi="Arial"/>
                <w:sz w:val="18"/>
                <w:szCs w:val="18"/>
                <w:color w:val="auto"/>
              </w:rPr>
              <w:t>(207)</w:t>
            </w:r>
          </w:p>
        </w:tc>
      </w:tr>
      <w:tr>
        <w:trPr>
          <w:trHeight w:val="230"/>
        </w:trPr>
        <w:tc>
          <w:tcPr>
            <w:tcW w:w="7700" w:type="dxa"/>
            <w:vAlign w:val="bottom"/>
          </w:tcPr>
          <w:p>
            <w:pPr>
              <w:ind w:left="480"/>
              <w:spacing w:after="0"/>
              <w:rPr>
                <w:sz w:val="20"/>
                <w:szCs w:val="20"/>
                <w:color w:val="auto"/>
              </w:rPr>
            </w:pPr>
            <w:r>
              <w:rPr>
                <w:rFonts w:ascii="Arial" w:cs="Arial" w:eastAsia="Arial" w:hAnsi="Arial"/>
                <w:sz w:val="18"/>
                <w:szCs w:val="18"/>
                <w:color w:val="auto"/>
              </w:rPr>
              <w:t>All other financing costs – net</w:t>
            </w: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11</w:t>
            </w:r>
          </w:p>
        </w:tc>
        <w:tc>
          <w:tcPr>
            <w:tcW w:w="1440" w:type="dxa"/>
            <w:vAlign w:val="bottom"/>
            <w:tcBorders>
              <w:bottom w:val="single" w:sz="8" w:color="auto"/>
            </w:tcBorders>
          </w:tcPr>
          <w:p>
            <w:pPr>
              <w:jc w:val="right"/>
              <w:ind w:right="234"/>
              <w:spacing w:after="0"/>
              <w:rPr>
                <w:sz w:val="20"/>
                <w:szCs w:val="20"/>
                <w:color w:val="auto"/>
              </w:rPr>
            </w:pPr>
            <w:r>
              <w:rPr>
                <w:rFonts w:ascii="Arial" w:cs="Arial" w:eastAsia="Arial" w:hAnsi="Arial"/>
                <w:sz w:val="18"/>
                <w:szCs w:val="18"/>
                <w:color w:val="auto"/>
              </w:rPr>
              <w:t>666</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r>
      <w:tr>
        <w:trPr>
          <w:trHeight w:val="223"/>
        </w:trPr>
        <w:tc>
          <w:tcPr>
            <w:tcW w:w="7700" w:type="dxa"/>
            <w:vAlign w:val="bottom"/>
          </w:tcPr>
          <w:p>
            <w:pPr>
              <w:ind w:left="880"/>
              <w:spacing w:after="0"/>
              <w:rPr>
                <w:sz w:val="20"/>
                <w:szCs w:val="20"/>
                <w:color w:val="auto"/>
              </w:rPr>
            </w:pPr>
            <w:r>
              <w:rPr>
                <w:rFonts w:ascii="Arial" w:cs="Arial" w:eastAsia="Arial" w:hAnsi="Arial"/>
                <w:sz w:val="18"/>
                <w:szCs w:val="18"/>
                <w:color w:val="auto"/>
              </w:rPr>
              <w:t>Total financing costs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(1,355)</w:t>
            </w:r>
          </w:p>
        </w:tc>
        <w:tc>
          <w:tcPr>
            <w:tcW w:w="144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rPr>
              <w:t>(788)</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(1,141)</w:t>
            </w:r>
          </w:p>
        </w:tc>
      </w:tr>
      <w:tr>
        <w:trPr>
          <w:trHeight w:val="223"/>
        </w:trPr>
        <w:tc>
          <w:tcPr>
            <w:tcW w:w="7700" w:type="dxa"/>
            <w:vAlign w:val="bottom"/>
          </w:tcPr>
          <w:p>
            <w:pPr>
              <w:ind w:left="1320"/>
              <w:spacing w:after="0"/>
              <w:rPr>
                <w:sz w:val="20"/>
                <w:szCs w:val="20"/>
                <w:color w:val="auto"/>
              </w:rPr>
            </w:pPr>
            <w:r>
              <w:rPr>
                <w:rFonts w:ascii="Arial" w:cs="Arial" w:eastAsia="Arial" w:hAnsi="Arial"/>
                <w:sz w:val="18"/>
                <w:szCs w:val="18"/>
                <w:color w:val="auto"/>
              </w:rPr>
              <w:t>Earnings (loss) excluding financing costs</w:t>
            </w: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24,395</w:t>
            </w:r>
          </w:p>
        </w:tc>
        <w:tc>
          <w:tcPr>
            <w:tcW w:w="144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rPr>
              <w:t>(21,652)</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15,481</w:t>
            </w:r>
          </w:p>
        </w:tc>
      </w:tr>
      <w:tr>
        <w:trPr>
          <w:trHeight w:val="480"/>
        </w:trPr>
        <w:tc>
          <w:tcPr>
            <w:tcW w:w="7700" w:type="dxa"/>
            <w:vAlign w:val="bottom"/>
          </w:tcPr>
          <w:p>
            <w:pPr>
              <w:ind w:left="20"/>
              <w:spacing w:after="0"/>
              <w:rPr>
                <w:sz w:val="20"/>
                <w:szCs w:val="20"/>
                <w:color w:val="auto"/>
              </w:rPr>
            </w:pPr>
            <w:r>
              <w:rPr>
                <w:rFonts w:ascii="Arial" w:cs="Arial" w:eastAsia="Arial" w:hAnsi="Arial"/>
                <w:sz w:val="18"/>
                <w:szCs w:val="18"/>
                <w:color w:val="auto"/>
              </w:rPr>
              <w:t>Average capital employed</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222,890</w:t>
            </w:r>
          </w:p>
        </w:tc>
        <w:tc>
          <w:tcPr>
            <w:tcW w:w="1440" w:type="dxa"/>
            <w:vAlign w:val="bottom"/>
          </w:tcPr>
          <w:p>
            <w:pPr>
              <w:jc w:val="right"/>
              <w:ind w:right="234"/>
              <w:spacing w:after="0"/>
              <w:rPr>
                <w:sz w:val="20"/>
                <w:szCs w:val="20"/>
                <w:color w:val="auto"/>
              </w:rPr>
            </w:pPr>
            <w:r>
              <w:rPr>
                <w:rFonts w:ascii="Arial" w:cs="Arial" w:eastAsia="Arial" w:hAnsi="Arial"/>
                <w:sz w:val="18"/>
                <w:szCs w:val="18"/>
                <w:color w:val="auto"/>
              </w:rPr>
              <w:t>234,031</w:t>
            </w:r>
          </w:p>
        </w:tc>
        <w:tc>
          <w:tcPr>
            <w:tcW w:w="960" w:type="dxa"/>
            <w:vAlign w:val="bottom"/>
          </w:tcPr>
          <w:p>
            <w:pPr>
              <w:jc w:val="right"/>
              <w:spacing w:after="0"/>
              <w:rPr>
                <w:sz w:val="20"/>
                <w:szCs w:val="20"/>
                <w:color w:val="auto"/>
              </w:rPr>
            </w:pPr>
            <w:r>
              <w:rPr>
                <w:rFonts w:ascii="Arial" w:cs="Arial" w:eastAsia="Arial" w:hAnsi="Arial"/>
                <w:sz w:val="18"/>
                <w:szCs w:val="18"/>
                <w:color w:val="auto"/>
              </w:rPr>
              <w:t>236,603</w:t>
            </w:r>
          </w:p>
        </w:tc>
      </w:tr>
      <w:tr>
        <w:trPr>
          <w:trHeight w:val="499"/>
        </w:trPr>
        <w:tc>
          <w:tcPr>
            <w:tcW w:w="7700" w:type="dxa"/>
            <w:vAlign w:val="bottom"/>
          </w:tcPr>
          <w:p>
            <w:pPr>
              <w:ind w:left="20"/>
              <w:spacing w:after="0"/>
              <w:rPr>
                <w:sz w:val="20"/>
                <w:szCs w:val="20"/>
                <w:color w:val="auto"/>
              </w:rPr>
            </w:pPr>
            <w:r>
              <w:rPr>
                <w:rFonts w:ascii="Arial" w:cs="Arial" w:eastAsia="Arial" w:hAnsi="Arial"/>
                <w:sz w:val="18"/>
                <w:szCs w:val="18"/>
                <w:color w:val="auto"/>
              </w:rPr>
              <w:t>Return on average capital employed – corporate total</w:t>
            </w:r>
          </w:p>
        </w:tc>
        <w:tc>
          <w:tcPr>
            <w:tcW w:w="1140" w:type="dxa"/>
            <w:vAlign w:val="bottom"/>
          </w:tcPr>
          <w:p>
            <w:pPr>
              <w:jc w:val="right"/>
              <w:ind w:right="272"/>
              <w:spacing w:after="0"/>
              <w:rPr>
                <w:sz w:val="20"/>
                <w:szCs w:val="20"/>
                <w:color w:val="auto"/>
              </w:rPr>
            </w:pPr>
            <w:r>
              <w:rPr>
                <w:rFonts w:ascii="Arial" w:cs="Arial" w:eastAsia="Arial" w:hAnsi="Arial"/>
                <w:sz w:val="18"/>
                <w:szCs w:val="18"/>
                <w:color w:val="auto"/>
              </w:rPr>
              <w:t>10.9%</w:t>
            </w:r>
          </w:p>
        </w:tc>
        <w:tc>
          <w:tcPr>
            <w:tcW w:w="1440" w:type="dxa"/>
            <w:vAlign w:val="bottom"/>
          </w:tcPr>
          <w:p>
            <w:pPr>
              <w:jc w:val="right"/>
              <w:ind w:right="474"/>
              <w:spacing w:after="0"/>
              <w:rPr>
                <w:sz w:val="20"/>
                <w:szCs w:val="20"/>
                <w:color w:val="auto"/>
              </w:rPr>
            </w:pPr>
            <w:r>
              <w:rPr>
                <w:rFonts w:ascii="Arial" w:cs="Arial" w:eastAsia="Arial" w:hAnsi="Arial"/>
                <w:sz w:val="18"/>
                <w:szCs w:val="18"/>
                <w:color w:val="auto"/>
              </w:rPr>
              <w:t>(9.3)%</w:t>
            </w:r>
          </w:p>
        </w:tc>
        <w:tc>
          <w:tcPr>
            <w:tcW w:w="960" w:type="dxa"/>
            <w:vAlign w:val="bottom"/>
          </w:tcPr>
          <w:p>
            <w:pPr>
              <w:jc w:val="right"/>
              <w:ind w:right="272"/>
              <w:spacing w:after="0"/>
              <w:rPr>
                <w:sz w:val="20"/>
                <w:szCs w:val="20"/>
                <w:color w:val="auto"/>
              </w:rPr>
            </w:pPr>
            <w:r>
              <w:rPr>
                <w:rFonts w:ascii="Arial" w:cs="Arial" w:eastAsia="Arial" w:hAnsi="Arial"/>
                <w:sz w:val="18"/>
                <w:szCs w:val="18"/>
                <w:color w:val="auto"/>
              </w:rPr>
              <w:t>6.5%</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Structural Cost Savings</w:t>
      </w:r>
    </w:p>
    <w:p>
      <w:pPr>
        <w:spacing w:after="0" w:line="10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Structural cost savings describe decreases in the below expenses as a result of operational efficiencies, workforce reductions and other cost saving measures that are expected to be sustainable compared to 2019 levels. Relative to 2019, estimated cumulative annual structural cost savings totaled $4.9 billion, of which $1.9 billion was achieved in 2021. The total change between periods in expenses below will reflect both structural cost savings and other changes in spend, including market factors, such as energy costs, inflation, and foreign exchange impacts, as well as changes in activity levels and costs associated with new operations. Structural cost savings are stewarded internally to support management’s oversight of spending over time. This measure is useful for investors to understand the Corporation’s efforts to optimize spending through disciplined expense management.</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Consolidated Statement of Income Line Items Targeted for Structural Cost Savings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152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2020</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r>
      <w:tr>
        <w:trPr>
          <w:trHeight w:val="184"/>
        </w:trPr>
        <w:tc>
          <w:tcPr>
            <w:tcW w:w="77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520" w:type="dxa"/>
            <w:vAlign w:val="bottom"/>
          </w:tcPr>
          <w:p>
            <w:pPr>
              <w:jc w:val="right"/>
              <w:ind w:right="236"/>
              <w:spacing w:after="0"/>
              <w:rPr>
                <w:sz w:val="20"/>
                <w:szCs w:val="20"/>
                <w:color w:val="auto"/>
              </w:rPr>
            </w:pPr>
            <w:r>
              <w:rPr>
                <w:rFonts w:ascii="Arial" w:cs="Arial" w:eastAsia="Arial" w:hAnsi="Arial"/>
                <w:sz w:val="14"/>
                <w:szCs w:val="14"/>
                <w:i w:val="1"/>
                <w:iCs w:val="1"/>
                <w:color w:val="auto"/>
              </w:rPr>
              <w:t>(millions of dollars)</w:t>
            </w:r>
          </w:p>
        </w:tc>
        <w:tc>
          <w:tcPr>
            <w:tcW w:w="880" w:type="dxa"/>
            <w:vAlign w:val="bottom"/>
          </w:tcPr>
          <w:p>
            <w:pPr>
              <w:spacing w:after="0"/>
              <w:rPr>
                <w:sz w:val="16"/>
                <w:szCs w:val="16"/>
                <w:color w:val="auto"/>
              </w:rPr>
            </w:pPr>
          </w:p>
        </w:tc>
      </w:tr>
      <w:tr>
        <w:trPr>
          <w:trHeight w:val="268"/>
        </w:trPr>
        <w:tc>
          <w:tcPr>
            <w:tcW w:w="7700" w:type="dxa"/>
            <w:vAlign w:val="bottom"/>
          </w:tcPr>
          <w:p>
            <w:pPr>
              <w:ind w:left="20"/>
              <w:spacing w:after="0"/>
              <w:rPr>
                <w:sz w:val="20"/>
                <w:szCs w:val="20"/>
                <w:color w:val="auto"/>
              </w:rPr>
            </w:pPr>
            <w:r>
              <w:rPr>
                <w:rFonts w:ascii="Arial" w:cs="Arial" w:eastAsia="Arial" w:hAnsi="Arial"/>
                <w:sz w:val="18"/>
                <w:szCs w:val="18"/>
                <w:color w:val="auto"/>
              </w:rPr>
              <w:t>Production and manufacturing expenses</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36,035</w:t>
            </w:r>
          </w:p>
        </w:tc>
        <w:tc>
          <w:tcPr>
            <w:tcW w:w="1520" w:type="dxa"/>
            <w:vAlign w:val="bottom"/>
          </w:tcPr>
          <w:p>
            <w:pPr>
              <w:jc w:val="right"/>
              <w:ind w:right="316"/>
              <w:spacing w:after="0"/>
              <w:rPr>
                <w:sz w:val="20"/>
                <w:szCs w:val="20"/>
                <w:color w:val="auto"/>
              </w:rPr>
            </w:pPr>
            <w:r>
              <w:rPr>
                <w:rFonts w:ascii="Arial" w:cs="Arial" w:eastAsia="Arial" w:hAnsi="Arial"/>
                <w:sz w:val="18"/>
                <w:szCs w:val="18"/>
                <w:color w:val="auto"/>
              </w:rPr>
              <w:t>30,431</w:t>
            </w:r>
          </w:p>
        </w:tc>
        <w:tc>
          <w:tcPr>
            <w:tcW w:w="880" w:type="dxa"/>
            <w:vAlign w:val="bottom"/>
          </w:tcPr>
          <w:p>
            <w:pPr>
              <w:jc w:val="right"/>
              <w:spacing w:after="0"/>
              <w:rPr>
                <w:sz w:val="20"/>
                <w:szCs w:val="20"/>
                <w:color w:val="auto"/>
              </w:rPr>
            </w:pPr>
            <w:r>
              <w:rPr>
                <w:rFonts w:ascii="Arial" w:cs="Arial" w:eastAsia="Arial" w:hAnsi="Arial"/>
                <w:sz w:val="18"/>
                <w:szCs w:val="18"/>
                <w:color w:val="auto"/>
              </w:rPr>
              <w:t>36,826</w:t>
            </w:r>
          </w:p>
        </w:tc>
      </w:tr>
      <w:tr>
        <w:trPr>
          <w:trHeight w:val="230"/>
        </w:trPr>
        <w:tc>
          <w:tcPr>
            <w:tcW w:w="770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9,574</w:t>
            </w:r>
          </w:p>
        </w:tc>
        <w:tc>
          <w:tcPr>
            <w:tcW w:w="1520" w:type="dxa"/>
            <w:vAlign w:val="bottom"/>
          </w:tcPr>
          <w:p>
            <w:pPr>
              <w:jc w:val="right"/>
              <w:ind w:right="316"/>
              <w:spacing w:after="0"/>
              <w:rPr>
                <w:sz w:val="20"/>
                <w:szCs w:val="20"/>
                <w:color w:val="auto"/>
              </w:rPr>
            </w:pPr>
            <w:r>
              <w:rPr>
                <w:rFonts w:ascii="Arial" w:cs="Arial" w:eastAsia="Arial" w:hAnsi="Arial"/>
                <w:sz w:val="18"/>
                <w:szCs w:val="18"/>
                <w:color w:val="auto"/>
              </w:rPr>
              <w:t>10,168</w:t>
            </w:r>
          </w:p>
        </w:tc>
        <w:tc>
          <w:tcPr>
            <w:tcW w:w="880" w:type="dxa"/>
            <w:vAlign w:val="bottom"/>
          </w:tcPr>
          <w:p>
            <w:pPr>
              <w:jc w:val="right"/>
              <w:spacing w:after="0"/>
              <w:rPr>
                <w:sz w:val="20"/>
                <w:szCs w:val="20"/>
                <w:color w:val="auto"/>
              </w:rPr>
            </w:pPr>
            <w:r>
              <w:rPr>
                <w:rFonts w:ascii="Arial" w:cs="Arial" w:eastAsia="Arial" w:hAnsi="Arial"/>
                <w:sz w:val="18"/>
                <w:szCs w:val="18"/>
                <w:color w:val="auto"/>
              </w:rPr>
              <w:t>11,398</w:t>
            </w:r>
          </w:p>
        </w:tc>
      </w:tr>
      <w:tr>
        <w:trPr>
          <w:trHeight w:val="230"/>
        </w:trPr>
        <w:tc>
          <w:tcPr>
            <w:tcW w:w="7700" w:type="dxa"/>
            <w:vAlign w:val="bottom"/>
          </w:tcPr>
          <w:p>
            <w:pPr>
              <w:ind w:left="20"/>
              <w:spacing w:after="0"/>
              <w:rPr>
                <w:sz w:val="20"/>
                <w:szCs w:val="20"/>
                <w:color w:val="auto"/>
              </w:rPr>
            </w:pPr>
            <w:r>
              <w:rPr>
                <w:rFonts w:ascii="Arial" w:cs="Arial" w:eastAsia="Arial" w:hAnsi="Arial"/>
                <w:sz w:val="18"/>
                <w:szCs w:val="18"/>
                <w:color w:val="auto"/>
              </w:rPr>
              <w:t>Exploration expenses, including dry holes</w:t>
            </w: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1,054</w:t>
            </w:r>
          </w:p>
        </w:tc>
        <w:tc>
          <w:tcPr>
            <w:tcW w:w="1520" w:type="dxa"/>
            <w:vAlign w:val="bottom"/>
            <w:tcBorders>
              <w:bottom w:val="single" w:sz="8" w:color="auto"/>
            </w:tcBorders>
          </w:tcPr>
          <w:p>
            <w:pPr>
              <w:jc w:val="right"/>
              <w:ind w:right="316"/>
              <w:spacing w:after="0"/>
              <w:rPr>
                <w:sz w:val="20"/>
                <w:szCs w:val="20"/>
                <w:color w:val="auto"/>
              </w:rPr>
            </w:pPr>
            <w:r>
              <w:rPr>
                <w:rFonts w:ascii="Arial" w:cs="Arial" w:eastAsia="Arial" w:hAnsi="Arial"/>
                <w:sz w:val="18"/>
                <w:szCs w:val="18"/>
                <w:color w:val="auto"/>
              </w:rPr>
              <w:t>1,285</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1,269</w:t>
            </w:r>
          </w:p>
        </w:tc>
      </w:tr>
      <w:tr>
        <w:trPr>
          <w:trHeight w:val="223"/>
        </w:trPr>
        <w:tc>
          <w:tcPr>
            <w:tcW w:w="7700" w:type="dxa"/>
            <w:vAlign w:val="bottom"/>
          </w:tcPr>
          <w:p>
            <w:pPr>
              <w:ind w:left="340"/>
              <w:spacing w:after="0"/>
              <w:rPr>
                <w:sz w:val="20"/>
                <w:szCs w:val="20"/>
                <w:color w:val="auto"/>
              </w:rPr>
            </w:pPr>
            <w:r>
              <w:rPr>
                <w:rFonts w:ascii="Arial" w:cs="Arial" w:eastAsia="Arial" w:hAnsi="Arial"/>
                <w:sz w:val="18"/>
                <w:szCs w:val="18"/>
                <w:color w:val="auto"/>
              </w:rPr>
              <w:t>Total</w:t>
            </w: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46,663</w:t>
            </w:r>
          </w:p>
        </w:tc>
        <w:tc>
          <w:tcPr>
            <w:tcW w:w="1520" w:type="dxa"/>
            <w:vAlign w:val="bottom"/>
            <w:tcBorders>
              <w:bottom w:val="single" w:sz="8" w:color="auto"/>
            </w:tcBorders>
          </w:tcPr>
          <w:p>
            <w:pPr>
              <w:jc w:val="right"/>
              <w:ind w:right="316"/>
              <w:spacing w:after="0"/>
              <w:rPr>
                <w:sz w:val="20"/>
                <w:szCs w:val="20"/>
                <w:color w:val="auto"/>
              </w:rPr>
            </w:pPr>
            <w:r>
              <w:rPr>
                <w:rFonts w:ascii="Arial" w:cs="Arial" w:eastAsia="Arial" w:hAnsi="Arial"/>
                <w:sz w:val="18"/>
                <w:szCs w:val="18"/>
                <w:color w:val="auto"/>
              </w:rPr>
              <w:t>41,884</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49,493</w:t>
            </w:r>
          </w:p>
        </w:tc>
      </w:tr>
      <w:tr>
        <w:trPr>
          <w:trHeight w:val="750"/>
        </w:trPr>
        <w:tc>
          <w:tcPr>
            <w:tcW w:w="7700" w:type="dxa"/>
            <w:vAlign w:val="bottom"/>
          </w:tcPr>
          <w:p>
            <w:pPr>
              <w:ind w:left="5540"/>
              <w:spacing w:after="0"/>
              <w:rPr>
                <w:sz w:val="20"/>
                <w:szCs w:val="20"/>
                <w:color w:val="auto"/>
              </w:rPr>
            </w:pPr>
            <w:r>
              <w:rPr>
                <w:rFonts w:ascii="Arial" w:cs="Arial" w:eastAsia="Arial" w:hAnsi="Arial"/>
                <w:sz w:val="18"/>
                <w:szCs w:val="18"/>
                <w:color w:val="auto"/>
              </w:rPr>
              <w:t>39</w:t>
            </w:r>
          </w:p>
        </w:tc>
        <w:tc>
          <w:tcPr>
            <w:tcW w:w="1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02"/>
        </w:trPr>
        <w:tc>
          <w:tcPr>
            <w:tcW w:w="770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52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FREQUENTLY USED TERMS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(Loss) excluding Identified Items</w:t>
      </w:r>
    </w:p>
    <w:p>
      <w:pPr>
        <w:spacing w:after="0" w:line="9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Earnings (loss) excluding Identified Items, are earnings (loss) excluding individually significant non-operational events with an absolute corporate total earnings impact of at least $250 million in a given quarter. The earnings (loss) impact of an Identified Item for an individual segment in a given quarter may be less than $250 million when the item impacts several segments or several periods. Management uses these figures to improve comparability of the underlying business across multiple periods by isolating and removing significant non-operational events from business results. The Corporation believes this view provides investors increased transparency into business results and trends, and provides investors with a view of the business as seen through the eyes of management. Earnings (loss) excluding Identified Items is not meant to be viewed in isolation or as a substitute for net income (loss) attributable to ExxonMobil as prepared in accordance with U.S. GAAP.</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6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89"/>
              </w:rPr>
              <w:t>2021</w:t>
            </w:r>
          </w:p>
        </w:tc>
        <w:tc>
          <w:tcPr>
            <w:tcW w:w="8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96"/>
              </w:rPr>
              <w:t>2020</w:t>
            </w:r>
          </w:p>
        </w:tc>
        <w:tc>
          <w:tcPr>
            <w:tcW w:w="8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9"/>
              </w:rPr>
              <w:t>2019</w:t>
            </w: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Upstream</w:t>
            </w:r>
          </w:p>
        </w:tc>
        <w:tc>
          <w:tcPr>
            <w:tcW w:w="88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U.S.</w:t>
            </w:r>
          </w:p>
        </w:tc>
        <w:tc>
          <w:tcPr>
            <w:tcW w:w="90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94"/>
              </w:rPr>
              <w:t>Non-U.S.</w:t>
            </w:r>
          </w:p>
        </w:tc>
        <w:tc>
          <w:tcPr>
            <w:tcW w:w="8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Total</w:t>
            </w:r>
          </w:p>
        </w:tc>
        <w:tc>
          <w:tcPr>
            <w:tcW w:w="8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U.S.</w:t>
            </w:r>
          </w:p>
        </w:tc>
        <w:tc>
          <w:tcPr>
            <w:tcW w:w="96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4"/>
              </w:rPr>
              <w:t>Non-U.S.</w:t>
            </w:r>
          </w:p>
        </w:tc>
        <w:tc>
          <w:tcPr>
            <w:tcW w:w="8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Total</w:t>
            </w:r>
          </w:p>
        </w:tc>
        <w:tc>
          <w:tcPr>
            <w:tcW w:w="78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U.S.</w:t>
            </w:r>
          </w:p>
        </w:tc>
        <w:tc>
          <w:tcPr>
            <w:tcW w:w="92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4"/>
              </w:rPr>
              <w:t>Non-U.S.</w:t>
            </w:r>
          </w:p>
        </w:tc>
        <w:tc>
          <w:tcPr>
            <w:tcW w:w="7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35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20" w:type="dxa"/>
            <w:vAlign w:val="bottom"/>
            <w:gridSpan w:val="2"/>
          </w:tcPr>
          <w:p>
            <w:pPr>
              <w:jc w:val="center"/>
              <w:ind w:left="534"/>
              <w:spacing w:after="0"/>
              <w:rPr>
                <w:sz w:val="20"/>
                <w:szCs w:val="20"/>
                <w:color w:val="auto"/>
              </w:rPr>
            </w:pPr>
            <w:r>
              <w:rPr>
                <w:rFonts w:ascii="Arial" w:cs="Arial" w:eastAsia="Arial" w:hAnsi="Arial"/>
                <w:sz w:val="14"/>
                <w:szCs w:val="14"/>
                <w:i w:val="1"/>
                <w:iCs w:val="1"/>
                <w:color w:val="auto"/>
                <w:w w:val="99"/>
              </w:rPr>
              <w:t>(millions of dollars)</w:t>
            </w: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3560" w:type="dxa"/>
            <w:vAlign w:val="bottom"/>
          </w:tcPr>
          <w:p>
            <w:pPr>
              <w:ind w:left="20"/>
              <w:spacing w:after="0"/>
              <w:rPr>
                <w:sz w:val="20"/>
                <w:szCs w:val="20"/>
                <w:color w:val="auto"/>
              </w:rPr>
            </w:pPr>
            <w:r>
              <w:rPr>
                <w:rFonts w:ascii="Arial" w:cs="Arial" w:eastAsia="Arial" w:hAnsi="Arial"/>
                <w:sz w:val="18"/>
                <w:szCs w:val="18"/>
                <w:color w:val="auto"/>
              </w:rPr>
              <w:t>Earnings (loss) (U.S. GAAP)</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3,663</w:t>
            </w:r>
          </w:p>
        </w:tc>
        <w:tc>
          <w:tcPr>
            <w:tcW w:w="900" w:type="dxa"/>
            <w:vAlign w:val="bottom"/>
          </w:tcPr>
          <w:p>
            <w:pPr>
              <w:jc w:val="right"/>
              <w:ind w:right="114"/>
              <w:spacing w:after="0"/>
              <w:rPr>
                <w:sz w:val="20"/>
                <w:szCs w:val="20"/>
                <w:color w:val="auto"/>
              </w:rPr>
            </w:pPr>
            <w:r>
              <w:rPr>
                <w:rFonts w:ascii="Arial" w:cs="Arial" w:eastAsia="Arial" w:hAnsi="Arial"/>
                <w:sz w:val="18"/>
                <w:szCs w:val="18"/>
                <w:color w:val="auto"/>
              </w:rPr>
              <w:t>12,112</w:t>
            </w:r>
          </w:p>
        </w:tc>
        <w:tc>
          <w:tcPr>
            <w:tcW w:w="840" w:type="dxa"/>
            <w:vAlign w:val="bottom"/>
          </w:tcPr>
          <w:p>
            <w:pPr>
              <w:jc w:val="right"/>
              <w:ind w:right="112"/>
              <w:spacing w:after="0"/>
              <w:rPr>
                <w:sz w:val="20"/>
                <w:szCs w:val="20"/>
                <w:color w:val="auto"/>
              </w:rPr>
            </w:pPr>
            <w:r>
              <w:rPr>
                <w:rFonts w:ascii="Arial" w:cs="Arial" w:eastAsia="Arial" w:hAnsi="Arial"/>
                <w:sz w:val="18"/>
                <w:szCs w:val="18"/>
                <w:color w:val="auto"/>
              </w:rPr>
              <w:t>15,775</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(19,385)</w:t>
            </w:r>
          </w:p>
        </w:tc>
        <w:tc>
          <w:tcPr>
            <w:tcW w:w="960" w:type="dxa"/>
            <w:vAlign w:val="bottom"/>
          </w:tcPr>
          <w:p>
            <w:pPr>
              <w:jc w:val="right"/>
              <w:ind w:right="134"/>
              <w:spacing w:after="0"/>
              <w:rPr>
                <w:sz w:val="20"/>
                <w:szCs w:val="20"/>
                <w:color w:val="auto"/>
              </w:rPr>
            </w:pPr>
            <w:r>
              <w:rPr>
                <w:rFonts w:ascii="Arial" w:cs="Arial" w:eastAsia="Arial" w:hAnsi="Arial"/>
                <w:sz w:val="18"/>
                <w:szCs w:val="18"/>
                <w:color w:val="auto"/>
              </w:rPr>
              <w:t>(645)</w:t>
            </w:r>
          </w:p>
        </w:tc>
        <w:tc>
          <w:tcPr>
            <w:tcW w:w="820" w:type="dxa"/>
            <w:vAlign w:val="bottom"/>
          </w:tcPr>
          <w:p>
            <w:pPr>
              <w:jc w:val="right"/>
              <w:ind w:right="112"/>
              <w:spacing w:after="0"/>
              <w:rPr>
                <w:sz w:val="20"/>
                <w:szCs w:val="20"/>
                <w:color w:val="auto"/>
              </w:rPr>
            </w:pPr>
            <w:r>
              <w:rPr>
                <w:rFonts w:ascii="Arial" w:cs="Arial" w:eastAsia="Arial" w:hAnsi="Arial"/>
                <w:sz w:val="18"/>
                <w:szCs w:val="18"/>
                <w:color w:val="auto"/>
                <w:w w:val="89"/>
              </w:rPr>
              <w:t>(20,030)</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536</w:t>
            </w:r>
          </w:p>
        </w:tc>
        <w:tc>
          <w:tcPr>
            <w:tcW w:w="920" w:type="dxa"/>
            <w:vAlign w:val="bottom"/>
          </w:tcPr>
          <w:p>
            <w:pPr>
              <w:jc w:val="right"/>
              <w:ind w:right="94"/>
              <w:spacing w:after="0"/>
              <w:rPr>
                <w:sz w:val="20"/>
                <w:szCs w:val="20"/>
                <w:color w:val="auto"/>
              </w:rPr>
            </w:pPr>
            <w:r>
              <w:rPr>
                <w:rFonts w:ascii="Arial" w:cs="Arial" w:eastAsia="Arial" w:hAnsi="Arial"/>
                <w:sz w:val="18"/>
                <w:szCs w:val="18"/>
                <w:color w:val="auto"/>
              </w:rPr>
              <w:t>13,906</w:t>
            </w:r>
          </w:p>
        </w:tc>
        <w:tc>
          <w:tcPr>
            <w:tcW w:w="720" w:type="dxa"/>
            <w:vAlign w:val="bottom"/>
          </w:tcPr>
          <w:p>
            <w:pPr>
              <w:jc w:val="right"/>
              <w:spacing w:after="0"/>
              <w:rPr>
                <w:sz w:val="20"/>
                <w:szCs w:val="20"/>
                <w:color w:val="auto"/>
              </w:rPr>
            </w:pPr>
            <w:r>
              <w:rPr>
                <w:rFonts w:ascii="Arial" w:cs="Arial" w:eastAsia="Arial" w:hAnsi="Arial"/>
                <w:sz w:val="18"/>
                <w:szCs w:val="18"/>
                <w:color w:val="auto"/>
              </w:rPr>
              <w:t>14,442</w:t>
            </w:r>
          </w:p>
        </w:tc>
        <w:tc>
          <w:tcPr>
            <w:tcW w:w="0" w:type="dxa"/>
            <w:vAlign w:val="bottom"/>
          </w:tcPr>
          <w:p>
            <w:pPr>
              <w:spacing w:after="0"/>
              <w:rPr>
                <w:sz w:val="1"/>
                <w:szCs w:val="1"/>
                <w:color w:val="auto"/>
              </w:rPr>
            </w:pPr>
          </w:p>
        </w:tc>
      </w:tr>
      <w:tr>
        <w:trPr>
          <w:trHeight w:val="230"/>
        </w:trPr>
        <w:tc>
          <w:tcPr>
            <w:tcW w:w="3560" w:type="dxa"/>
            <w:vAlign w:val="bottom"/>
          </w:tcPr>
          <w:p>
            <w:pPr>
              <w:ind w:left="360"/>
              <w:spacing w:after="0"/>
              <w:rPr>
                <w:sz w:val="20"/>
                <w:szCs w:val="20"/>
                <w:color w:val="auto"/>
              </w:rPr>
            </w:pPr>
            <w:r>
              <w:rPr>
                <w:rFonts w:ascii="Arial" w:cs="Arial" w:eastAsia="Arial" w:hAnsi="Arial"/>
                <w:sz w:val="18"/>
                <w:szCs w:val="18"/>
                <w:color w:val="auto"/>
              </w:rPr>
              <w:t>Impairments</w:t>
            </w:r>
          </w:p>
        </w:tc>
        <w:tc>
          <w:tcPr>
            <w:tcW w:w="880" w:type="dxa"/>
            <w:vAlign w:val="bottom"/>
          </w:tcPr>
          <w:p>
            <w:pPr>
              <w:jc w:val="right"/>
              <w:spacing w:after="0"/>
              <w:rPr>
                <w:sz w:val="20"/>
                <w:szCs w:val="20"/>
                <w:color w:val="auto"/>
              </w:rPr>
            </w:pPr>
            <w:r>
              <w:rPr>
                <w:rFonts w:ascii="Arial" w:cs="Arial" w:eastAsia="Arial" w:hAnsi="Arial"/>
                <w:sz w:val="18"/>
                <w:szCs w:val="18"/>
                <w:color w:val="auto"/>
              </w:rPr>
              <w:t>(263)</w:t>
            </w:r>
          </w:p>
        </w:tc>
        <w:tc>
          <w:tcPr>
            <w:tcW w:w="900" w:type="dxa"/>
            <w:vAlign w:val="bottom"/>
          </w:tcPr>
          <w:p>
            <w:pPr>
              <w:jc w:val="right"/>
              <w:ind w:right="54"/>
              <w:spacing w:after="0"/>
              <w:rPr>
                <w:sz w:val="20"/>
                <w:szCs w:val="20"/>
                <w:color w:val="auto"/>
              </w:rPr>
            </w:pPr>
            <w:r>
              <w:rPr>
                <w:rFonts w:ascii="Arial" w:cs="Arial" w:eastAsia="Arial" w:hAnsi="Arial"/>
                <w:sz w:val="18"/>
                <w:szCs w:val="18"/>
                <w:color w:val="auto"/>
              </w:rPr>
              <w:t>(489)</w:t>
            </w: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(752)</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(17,092)</w:t>
            </w:r>
          </w:p>
        </w:tc>
        <w:tc>
          <w:tcPr>
            <w:tcW w:w="960" w:type="dxa"/>
            <w:vAlign w:val="bottom"/>
          </w:tcPr>
          <w:p>
            <w:pPr>
              <w:jc w:val="right"/>
              <w:ind w:right="134"/>
              <w:spacing w:after="0"/>
              <w:rPr>
                <w:sz w:val="20"/>
                <w:szCs w:val="20"/>
                <w:color w:val="auto"/>
              </w:rPr>
            </w:pPr>
            <w:r>
              <w:rPr>
                <w:rFonts w:ascii="Arial" w:cs="Arial" w:eastAsia="Arial" w:hAnsi="Arial"/>
                <w:sz w:val="18"/>
                <w:szCs w:val="18"/>
                <w:color w:val="auto"/>
              </w:rPr>
              <w:t>(2,244)</w:t>
            </w:r>
          </w:p>
        </w:tc>
        <w:tc>
          <w:tcPr>
            <w:tcW w:w="820" w:type="dxa"/>
            <w:vAlign w:val="bottom"/>
          </w:tcPr>
          <w:p>
            <w:pPr>
              <w:jc w:val="right"/>
              <w:ind w:right="112"/>
              <w:spacing w:after="0"/>
              <w:rPr>
                <w:sz w:val="20"/>
                <w:szCs w:val="20"/>
                <w:color w:val="auto"/>
              </w:rPr>
            </w:pPr>
            <w:r>
              <w:rPr>
                <w:rFonts w:ascii="Arial" w:cs="Arial" w:eastAsia="Arial" w:hAnsi="Arial"/>
                <w:sz w:val="18"/>
                <w:szCs w:val="18"/>
                <w:color w:val="auto"/>
                <w:w w:val="89"/>
              </w:rPr>
              <w:t>(19,336)</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60" w:type="dxa"/>
            <w:vAlign w:val="bottom"/>
          </w:tcPr>
          <w:p>
            <w:pPr>
              <w:ind w:left="360"/>
              <w:spacing w:after="0"/>
              <w:rPr>
                <w:sz w:val="20"/>
                <w:szCs w:val="20"/>
                <w:color w:val="auto"/>
              </w:rPr>
            </w:pPr>
            <w:r>
              <w:rPr>
                <w:rFonts w:ascii="Arial" w:cs="Arial" w:eastAsia="Arial" w:hAnsi="Arial"/>
                <w:sz w:val="18"/>
                <w:szCs w:val="18"/>
                <w:color w:val="auto"/>
              </w:rPr>
              <w:t>Gain/(loss) on sale of assets</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4"/>
              <w:spacing w:after="0"/>
              <w:rPr>
                <w:sz w:val="20"/>
                <w:szCs w:val="20"/>
                <w:color w:val="auto"/>
              </w:rPr>
            </w:pPr>
            <w:r>
              <w:rPr>
                <w:rFonts w:ascii="Arial" w:cs="Arial" w:eastAsia="Arial" w:hAnsi="Arial"/>
                <w:sz w:val="18"/>
                <w:szCs w:val="18"/>
                <w:color w:val="auto"/>
              </w:rPr>
              <w:t>459</w:t>
            </w:r>
          </w:p>
        </w:tc>
        <w:tc>
          <w:tcPr>
            <w:tcW w:w="840" w:type="dxa"/>
            <w:vAlign w:val="bottom"/>
          </w:tcPr>
          <w:p>
            <w:pPr>
              <w:jc w:val="right"/>
              <w:ind w:right="112"/>
              <w:spacing w:after="0"/>
              <w:rPr>
                <w:sz w:val="20"/>
                <w:szCs w:val="20"/>
                <w:color w:val="auto"/>
              </w:rPr>
            </w:pPr>
            <w:r>
              <w:rPr>
                <w:rFonts w:ascii="Arial" w:cs="Arial" w:eastAsia="Arial" w:hAnsi="Arial"/>
                <w:sz w:val="18"/>
                <w:szCs w:val="18"/>
                <w:color w:val="auto"/>
              </w:rPr>
              <w:t>459</w:t>
            </w:r>
          </w:p>
        </w:tc>
        <w:tc>
          <w:tcPr>
            <w:tcW w:w="86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74"/>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94"/>
              <w:spacing w:after="0"/>
              <w:rPr>
                <w:sz w:val="20"/>
                <w:szCs w:val="20"/>
                <w:color w:val="auto"/>
              </w:rPr>
            </w:pPr>
            <w:r>
              <w:rPr>
                <w:rFonts w:ascii="Arial" w:cs="Arial" w:eastAsia="Arial" w:hAnsi="Arial"/>
                <w:sz w:val="18"/>
                <w:szCs w:val="18"/>
                <w:color w:val="auto"/>
              </w:rPr>
              <w:t>3,679</w:t>
            </w:r>
          </w:p>
        </w:tc>
        <w:tc>
          <w:tcPr>
            <w:tcW w:w="720" w:type="dxa"/>
            <w:vAlign w:val="bottom"/>
          </w:tcPr>
          <w:p>
            <w:pPr>
              <w:jc w:val="right"/>
              <w:spacing w:after="0"/>
              <w:rPr>
                <w:sz w:val="20"/>
                <w:szCs w:val="20"/>
                <w:color w:val="auto"/>
              </w:rPr>
            </w:pPr>
            <w:r>
              <w:rPr>
                <w:rFonts w:ascii="Arial" w:cs="Arial" w:eastAsia="Arial" w:hAnsi="Arial"/>
                <w:sz w:val="18"/>
                <w:szCs w:val="18"/>
                <w:color w:val="auto"/>
              </w:rPr>
              <w:t>3,679</w:t>
            </w:r>
          </w:p>
        </w:tc>
        <w:tc>
          <w:tcPr>
            <w:tcW w:w="0" w:type="dxa"/>
            <w:vAlign w:val="bottom"/>
          </w:tcPr>
          <w:p>
            <w:pPr>
              <w:spacing w:after="0"/>
              <w:rPr>
                <w:sz w:val="1"/>
                <w:szCs w:val="1"/>
                <w:color w:val="auto"/>
              </w:rPr>
            </w:pPr>
          </w:p>
        </w:tc>
      </w:tr>
      <w:tr>
        <w:trPr>
          <w:trHeight w:val="176"/>
        </w:trPr>
        <w:tc>
          <w:tcPr>
            <w:tcW w:w="3560" w:type="dxa"/>
            <w:vAlign w:val="bottom"/>
          </w:tcPr>
          <w:p>
            <w:pPr>
              <w:ind w:left="360"/>
              <w:spacing w:after="0" w:line="176" w:lineRule="exact"/>
              <w:rPr>
                <w:sz w:val="20"/>
                <w:szCs w:val="20"/>
                <w:color w:val="auto"/>
              </w:rPr>
            </w:pPr>
            <w:r>
              <w:rPr>
                <w:rFonts w:ascii="Arial" w:cs="Arial" w:eastAsia="Arial" w:hAnsi="Arial"/>
                <w:sz w:val="18"/>
                <w:szCs w:val="18"/>
                <w:color w:val="auto"/>
              </w:rPr>
              <w:t>Inventory valuation - lower of cost or</w:t>
            </w:r>
          </w:p>
        </w:tc>
        <w:tc>
          <w:tcPr>
            <w:tcW w:w="880" w:type="dxa"/>
            <w:vAlign w:val="bottom"/>
            <w:vMerge w:val="restart"/>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ind w:right="114"/>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ind w:right="112"/>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ind w:right="54"/>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ind w:right="134"/>
              <w:spacing w:after="0"/>
              <w:rPr>
                <w:sz w:val="20"/>
                <w:szCs w:val="20"/>
                <w:color w:val="auto"/>
              </w:rPr>
            </w:pPr>
            <w:r>
              <w:rPr>
                <w:rFonts w:ascii="Arial" w:cs="Arial" w:eastAsia="Arial" w:hAnsi="Arial"/>
                <w:sz w:val="18"/>
                <w:szCs w:val="18"/>
                <w:color w:val="auto"/>
              </w:rPr>
              <w:t>(61)</w:t>
            </w:r>
          </w:p>
        </w:tc>
        <w:tc>
          <w:tcPr>
            <w:tcW w:w="820" w:type="dxa"/>
            <w:vAlign w:val="bottom"/>
            <w:vMerge w:val="restart"/>
          </w:tcPr>
          <w:p>
            <w:pPr>
              <w:jc w:val="right"/>
              <w:ind w:right="112"/>
              <w:spacing w:after="0"/>
              <w:rPr>
                <w:sz w:val="20"/>
                <w:szCs w:val="20"/>
                <w:color w:val="auto"/>
              </w:rPr>
            </w:pPr>
            <w:r>
              <w:rPr>
                <w:rFonts w:ascii="Arial" w:cs="Arial" w:eastAsia="Arial" w:hAnsi="Arial"/>
                <w:sz w:val="18"/>
                <w:szCs w:val="18"/>
                <w:color w:val="auto"/>
              </w:rPr>
              <w:t>(61)</w:t>
            </w:r>
          </w:p>
        </w:tc>
        <w:tc>
          <w:tcPr>
            <w:tcW w:w="780" w:type="dxa"/>
            <w:vAlign w:val="bottom"/>
            <w:vMerge w:val="restart"/>
          </w:tcPr>
          <w:p>
            <w:pPr>
              <w:jc w:val="right"/>
              <w:ind w:right="12"/>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ind w:right="94"/>
              <w:spacing w:after="0"/>
              <w:rPr>
                <w:sz w:val="20"/>
                <w:szCs w:val="20"/>
                <w:color w:val="auto"/>
              </w:rPr>
            </w:pPr>
            <w:r>
              <w:rPr>
                <w:rFonts w:ascii="Arial" w:cs="Arial" w:eastAsia="Arial" w:hAnsi="Arial"/>
                <w:sz w:val="18"/>
                <w:szCs w:val="18"/>
                <w:color w:val="auto"/>
              </w:rPr>
              <w:t>—</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5"/>
        </w:trPr>
        <w:tc>
          <w:tcPr>
            <w:tcW w:w="3560" w:type="dxa"/>
            <w:vAlign w:val="bottom"/>
            <w:vMerge w:val="restart"/>
          </w:tcPr>
          <w:p>
            <w:pPr>
              <w:ind w:left="360"/>
              <w:spacing w:after="0"/>
              <w:rPr>
                <w:sz w:val="20"/>
                <w:szCs w:val="20"/>
                <w:color w:val="auto"/>
              </w:rPr>
            </w:pPr>
            <w:r>
              <w:rPr>
                <w:rFonts w:ascii="Arial" w:cs="Arial" w:eastAsia="Arial" w:hAnsi="Arial"/>
                <w:sz w:val="18"/>
                <w:szCs w:val="18"/>
                <w:color w:val="auto"/>
              </w:rPr>
              <w:t>market</w:t>
            </w:r>
          </w:p>
        </w:tc>
        <w:tc>
          <w:tcPr>
            <w:tcW w:w="88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3560" w:type="dxa"/>
            <w:vAlign w:val="bottom"/>
            <w:vMerge w:val="continue"/>
          </w:tcPr>
          <w:p>
            <w:pPr>
              <w:spacing w:after="0"/>
              <w:rPr>
                <w:sz w:val="8"/>
                <w:szCs w:val="8"/>
                <w:color w:val="auto"/>
              </w:rPr>
            </w:pPr>
          </w:p>
        </w:tc>
        <w:tc>
          <w:tcPr>
            <w:tcW w:w="880" w:type="dxa"/>
            <w:vAlign w:val="bottom"/>
          </w:tcPr>
          <w:p>
            <w:pPr>
              <w:spacing w:after="0"/>
              <w:rPr>
                <w:sz w:val="8"/>
                <w:szCs w:val="8"/>
                <w:color w:val="auto"/>
              </w:rPr>
            </w:pPr>
          </w:p>
        </w:tc>
        <w:tc>
          <w:tcPr>
            <w:tcW w:w="9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60" w:type="dxa"/>
            <w:vAlign w:val="bottom"/>
          </w:tcPr>
          <w:p>
            <w:pPr>
              <w:spacing w:after="0"/>
              <w:rPr>
                <w:sz w:val="8"/>
                <w:szCs w:val="8"/>
                <w:color w:val="auto"/>
              </w:rPr>
            </w:pPr>
          </w:p>
        </w:tc>
        <w:tc>
          <w:tcPr>
            <w:tcW w:w="96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92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3560" w:type="dxa"/>
            <w:vAlign w:val="bottom"/>
          </w:tcPr>
          <w:p>
            <w:pPr>
              <w:ind w:left="360"/>
              <w:spacing w:after="0"/>
              <w:rPr>
                <w:sz w:val="20"/>
                <w:szCs w:val="20"/>
                <w:color w:val="auto"/>
              </w:rPr>
            </w:pPr>
            <w:r>
              <w:rPr>
                <w:rFonts w:ascii="Arial" w:cs="Arial" w:eastAsia="Arial" w:hAnsi="Arial"/>
                <w:sz w:val="18"/>
                <w:szCs w:val="18"/>
                <w:color w:val="auto"/>
              </w:rPr>
              <w:t>Tax-related items</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4"/>
              <w:spacing w:after="0"/>
              <w:rPr>
                <w:sz w:val="20"/>
                <w:szCs w:val="20"/>
                <w:color w:val="auto"/>
              </w:rPr>
            </w:pPr>
            <w:r>
              <w:rPr>
                <w:rFonts w:ascii="Arial" w:cs="Arial" w:eastAsia="Arial" w:hAnsi="Arial"/>
                <w:sz w:val="18"/>
                <w:szCs w:val="18"/>
                <w:color w:val="auto"/>
              </w:rPr>
              <w:t>(297)</w:t>
            </w:r>
          </w:p>
        </w:tc>
        <w:tc>
          <w:tcPr>
            <w:tcW w:w="820" w:type="dxa"/>
            <w:vAlign w:val="bottom"/>
          </w:tcPr>
          <w:p>
            <w:pPr>
              <w:jc w:val="right"/>
              <w:ind w:right="112"/>
              <w:spacing w:after="0"/>
              <w:rPr>
                <w:sz w:val="20"/>
                <w:szCs w:val="20"/>
                <w:color w:val="auto"/>
              </w:rPr>
            </w:pPr>
            <w:r>
              <w:rPr>
                <w:rFonts w:ascii="Arial" w:cs="Arial" w:eastAsia="Arial" w:hAnsi="Arial"/>
                <w:sz w:val="18"/>
                <w:szCs w:val="18"/>
                <w:color w:val="auto"/>
              </w:rPr>
              <w:t>(297)</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94"/>
              <w:spacing w:after="0"/>
              <w:rPr>
                <w:sz w:val="20"/>
                <w:szCs w:val="20"/>
                <w:color w:val="auto"/>
              </w:rPr>
            </w:pPr>
            <w:r>
              <w:rPr>
                <w:rFonts w:ascii="Arial" w:cs="Arial" w:eastAsia="Arial" w:hAnsi="Arial"/>
                <w:sz w:val="18"/>
                <w:szCs w:val="18"/>
                <w:color w:val="auto"/>
              </w:rPr>
              <w:t>755</w:t>
            </w:r>
          </w:p>
        </w:tc>
        <w:tc>
          <w:tcPr>
            <w:tcW w:w="720" w:type="dxa"/>
            <w:vAlign w:val="bottom"/>
          </w:tcPr>
          <w:p>
            <w:pPr>
              <w:jc w:val="right"/>
              <w:spacing w:after="0"/>
              <w:rPr>
                <w:sz w:val="20"/>
                <w:szCs w:val="20"/>
                <w:color w:val="auto"/>
              </w:rPr>
            </w:pPr>
            <w:r>
              <w:rPr>
                <w:rFonts w:ascii="Arial" w:cs="Arial" w:eastAsia="Arial" w:hAnsi="Arial"/>
                <w:sz w:val="18"/>
                <w:szCs w:val="18"/>
                <w:color w:val="auto"/>
              </w:rPr>
              <w:t>755</w:t>
            </w:r>
          </w:p>
        </w:tc>
        <w:tc>
          <w:tcPr>
            <w:tcW w:w="0" w:type="dxa"/>
            <w:vAlign w:val="bottom"/>
          </w:tcPr>
          <w:p>
            <w:pPr>
              <w:spacing w:after="0"/>
              <w:rPr>
                <w:sz w:val="1"/>
                <w:szCs w:val="1"/>
                <w:color w:val="auto"/>
              </w:rPr>
            </w:pPr>
          </w:p>
        </w:tc>
      </w:tr>
      <w:tr>
        <w:trPr>
          <w:trHeight w:val="230"/>
        </w:trPr>
        <w:tc>
          <w:tcPr>
            <w:tcW w:w="3560" w:type="dxa"/>
            <w:vAlign w:val="bottom"/>
          </w:tcPr>
          <w:p>
            <w:pPr>
              <w:ind w:left="360"/>
              <w:spacing w:after="0"/>
              <w:rPr>
                <w:sz w:val="20"/>
                <w:szCs w:val="20"/>
                <w:color w:val="auto"/>
              </w:rPr>
            </w:pPr>
            <w:r>
              <w:rPr>
                <w:rFonts w:ascii="Arial" w:cs="Arial" w:eastAsia="Arial" w:hAnsi="Arial"/>
                <w:sz w:val="18"/>
                <w:szCs w:val="18"/>
                <w:color w:val="auto"/>
              </w:rPr>
              <w:t>Contractual provisions</w:t>
            </w: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(250)</w:t>
            </w:r>
          </w:p>
        </w:tc>
        <w:tc>
          <w:tcPr>
            <w:tcW w:w="8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(250)</w:t>
            </w:r>
          </w:p>
        </w:tc>
        <w:tc>
          <w:tcPr>
            <w:tcW w:w="86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560" w:type="dxa"/>
            <w:vAlign w:val="bottom"/>
          </w:tcPr>
          <w:p>
            <w:pPr>
              <w:ind w:left="20"/>
              <w:spacing w:after="0"/>
              <w:rPr>
                <w:sz w:val="20"/>
                <w:szCs w:val="20"/>
                <w:color w:val="auto"/>
              </w:rPr>
            </w:pPr>
            <w:r>
              <w:rPr>
                <w:rFonts w:ascii="Arial" w:cs="Arial" w:eastAsia="Arial" w:hAnsi="Arial"/>
                <w:sz w:val="18"/>
                <w:szCs w:val="18"/>
                <w:color w:val="auto"/>
              </w:rPr>
              <w:t>Identified Items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w:t>
            </w:r>
          </w:p>
        </w:tc>
        <w:tc>
          <w:tcPr>
            <w:tcW w:w="9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(280)</w:t>
            </w:r>
          </w:p>
        </w:tc>
        <w:tc>
          <w:tcPr>
            <w:tcW w:w="8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(543)</w:t>
            </w:r>
          </w:p>
        </w:tc>
        <w:tc>
          <w:tcPr>
            <w:tcW w:w="8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(17,092)</w:t>
            </w:r>
          </w:p>
        </w:tc>
        <w:tc>
          <w:tcPr>
            <w:tcW w:w="96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(2,602)</w:t>
            </w:r>
          </w:p>
        </w:tc>
        <w:tc>
          <w:tcPr>
            <w:tcW w:w="8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89"/>
              </w:rPr>
              <w:t>(19,694)</w:t>
            </w: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4,434</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4,434</w:t>
            </w:r>
          </w:p>
        </w:tc>
        <w:tc>
          <w:tcPr>
            <w:tcW w:w="0" w:type="dxa"/>
            <w:vAlign w:val="bottom"/>
          </w:tcPr>
          <w:p>
            <w:pPr>
              <w:spacing w:after="0"/>
              <w:rPr>
                <w:sz w:val="1"/>
                <w:szCs w:val="1"/>
                <w:color w:val="auto"/>
              </w:rPr>
            </w:pPr>
          </w:p>
        </w:tc>
      </w:tr>
      <w:tr>
        <w:trPr>
          <w:trHeight w:val="223"/>
        </w:trPr>
        <w:tc>
          <w:tcPr>
            <w:tcW w:w="3560" w:type="dxa"/>
            <w:vAlign w:val="bottom"/>
          </w:tcPr>
          <w:p>
            <w:pPr>
              <w:ind w:left="20"/>
              <w:spacing w:after="0"/>
              <w:rPr>
                <w:sz w:val="20"/>
                <w:szCs w:val="20"/>
                <w:color w:val="auto"/>
              </w:rPr>
            </w:pPr>
            <w:r>
              <w:rPr>
                <w:rFonts w:ascii="Arial" w:cs="Arial" w:eastAsia="Arial" w:hAnsi="Arial"/>
                <w:sz w:val="18"/>
                <w:szCs w:val="18"/>
                <w:color w:val="auto"/>
              </w:rPr>
              <w:t>Earnings (loss) excluding Identified Items</w:t>
            </w: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3,926</w:t>
            </w:r>
          </w:p>
        </w:tc>
        <w:tc>
          <w:tcPr>
            <w:tcW w:w="90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12,392</w:t>
            </w:r>
          </w:p>
        </w:tc>
        <w:tc>
          <w:tcPr>
            <w:tcW w:w="8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16,318</w:t>
            </w:r>
          </w:p>
        </w:tc>
        <w:tc>
          <w:tcPr>
            <w:tcW w:w="8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(2,293)</w:t>
            </w:r>
          </w:p>
        </w:tc>
        <w:tc>
          <w:tcPr>
            <w:tcW w:w="96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color w:val="auto"/>
              </w:rPr>
              <w:t>1,957</w:t>
            </w:r>
          </w:p>
        </w:tc>
        <w:tc>
          <w:tcPr>
            <w:tcW w:w="8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(336)</w:t>
            </w: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536</w:t>
            </w:r>
          </w:p>
        </w:tc>
        <w:tc>
          <w:tcPr>
            <w:tcW w:w="92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9,472</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10,008</w:t>
            </w:r>
          </w:p>
        </w:tc>
        <w:tc>
          <w:tcPr>
            <w:tcW w:w="0" w:type="dxa"/>
            <w:vAlign w:val="bottom"/>
          </w:tcPr>
          <w:p>
            <w:pPr>
              <w:spacing w:after="0"/>
              <w:rPr>
                <w:sz w:val="1"/>
                <w:szCs w:val="1"/>
                <w:color w:val="auto"/>
              </w:rPr>
            </w:pPr>
          </w:p>
        </w:tc>
      </w:tr>
      <w:tr>
        <w:trPr>
          <w:trHeight w:val="770"/>
        </w:trPr>
        <w:tc>
          <w:tcPr>
            <w:tcW w:w="356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6"/>
              </w:rPr>
              <w:t>2021</w:t>
            </w:r>
          </w:p>
        </w:tc>
        <w:tc>
          <w:tcPr>
            <w:tcW w:w="8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96"/>
              </w:rPr>
              <w:t>2020</w:t>
            </w:r>
          </w:p>
        </w:tc>
        <w:tc>
          <w:tcPr>
            <w:tcW w:w="8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9"/>
              </w:rPr>
              <w:t>2019</w:t>
            </w: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5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Downstream</w:t>
            </w:r>
          </w:p>
        </w:tc>
        <w:tc>
          <w:tcPr>
            <w:tcW w:w="88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U.S.</w:t>
            </w:r>
          </w:p>
        </w:tc>
        <w:tc>
          <w:tcPr>
            <w:tcW w:w="90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94"/>
              </w:rPr>
              <w:t>Non-U.S.</w:t>
            </w:r>
          </w:p>
        </w:tc>
        <w:tc>
          <w:tcPr>
            <w:tcW w:w="8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Total</w:t>
            </w:r>
          </w:p>
        </w:tc>
        <w:tc>
          <w:tcPr>
            <w:tcW w:w="8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U.S.</w:t>
            </w:r>
          </w:p>
        </w:tc>
        <w:tc>
          <w:tcPr>
            <w:tcW w:w="96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4"/>
              </w:rPr>
              <w:t>Non-U.S.</w:t>
            </w:r>
          </w:p>
        </w:tc>
        <w:tc>
          <w:tcPr>
            <w:tcW w:w="8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Total</w:t>
            </w:r>
          </w:p>
        </w:tc>
        <w:tc>
          <w:tcPr>
            <w:tcW w:w="78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U.S.</w:t>
            </w:r>
          </w:p>
        </w:tc>
        <w:tc>
          <w:tcPr>
            <w:tcW w:w="92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4"/>
              </w:rPr>
              <w:t>Non-U.S.</w:t>
            </w:r>
          </w:p>
        </w:tc>
        <w:tc>
          <w:tcPr>
            <w:tcW w:w="7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35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20" w:type="dxa"/>
            <w:vAlign w:val="bottom"/>
            <w:gridSpan w:val="2"/>
          </w:tcPr>
          <w:p>
            <w:pPr>
              <w:jc w:val="center"/>
              <w:ind w:left="534"/>
              <w:spacing w:after="0"/>
              <w:rPr>
                <w:sz w:val="20"/>
                <w:szCs w:val="20"/>
                <w:color w:val="auto"/>
              </w:rPr>
            </w:pPr>
            <w:r>
              <w:rPr>
                <w:rFonts w:ascii="Arial" w:cs="Arial" w:eastAsia="Arial" w:hAnsi="Arial"/>
                <w:sz w:val="14"/>
                <w:szCs w:val="14"/>
                <w:i w:val="1"/>
                <w:iCs w:val="1"/>
                <w:color w:val="auto"/>
                <w:w w:val="99"/>
              </w:rPr>
              <w:t>(millions of dollars)</w:t>
            </w: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3560" w:type="dxa"/>
            <w:vAlign w:val="bottom"/>
          </w:tcPr>
          <w:p>
            <w:pPr>
              <w:ind w:left="20"/>
              <w:spacing w:after="0"/>
              <w:rPr>
                <w:sz w:val="20"/>
                <w:szCs w:val="20"/>
                <w:color w:val="auto"/>
              </w:rPr>
            </w:pPr>
            <w:r>
              <w:rPr>
                <w:rFonts w:ascii="Arial" w:cs="Arial" w:eastAsia="Arial" w:hAnsi="Arial"/>
                <w:sz w:val="18"/>
                <w:szCs w:val="18"/>
                <w:color w:val="auto"/>
              </w:rPr>
              <w:t>Earnings (loss) (U.S. GAAP)</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1,314</w:t>
            </w:r>
          </w:p>
        </w:tc>
        <w:tc>
          <w:tcPr>
            <w:tcW w:w="900" w:type="dxa"/>
            <w:vAlign w:val="bottom"/>
          </w:tcPr>
          <w:p>
            <w:pPr>
              <w:jc w:val="right"/>
              <w:ind w:right="114"/>
              <w:spacing w:after="0"/>
              <w:rPr>
                <w:sz w:val="20"/>
                <w:szCs w:val="20"/>
                <w:color w:val="auto"/>
              </w:rPr>
            </w:pPr>
            <w:r>
              <w:rPr>
                <w:rFonts w:ascii="Arial" w:cs="Arial" w:eastAsia="Arial" w:hAnsi="Arial"/>
                <w:sz w:val="18"/>
                <w:szCs w:val="18"/>
                <w:color w:val="auto"/>
              </w:rPr>
              <w:t>791</w:t>
            </w:r>
          </w:p>
        </w:tc>
        <w:tc>
          <w:tcPr>
            <w:tcW w:w="840" w:type="dxa"/>
            <w:vAlign w:val="bottom"/>
          </w:tcPr>
          <w:p>
            <w:pPr>
              <w:jc w:val="right"/>
              <w:ind w:right="112"/>
              <w:spacing w:after="0"/>
              <w:rPr>
                <w:sz w:val="20"/>
                <w:szCs w:val="20"/>
                <w:color w:val="auto"/>
              </w:rPr>
            </w:pPr>
            <w:r>
              <w:rPr>
                <w:rFonts w:ascii="Arial" w:cs="Arial" w:eastAsia="Arial" w:hAnsi="Arial"/>
                <w:sz w:val="18"/>
                <w:szCs w:val="18"/>
                <w:color w:val="auto"/>
              </w:rPr>
              <w:t>2,105</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(852)</w:t>
            </w:r>
          </w:p>
        </w:tc>
        <w:tc>
          <w:tcPr>
            <w:tcW w:w="960" w:type="dxa"/>
            <w:vAlign w:val="bottom"/>
          </w:tcPr>
          <w:p>
            <w:pPr>
              <w:jc w:val="right"/>
              <w:ind w:right="134"/>
              <w:spacing w:after="0"/>
              <w:rPr>
                <w:sz w:val="20"/>
                <w:szCs w:val="20"/>
                <w:color w:val="auto"/>
              </w:rPr>
            </w:pPr>
            <w:r>
              <w:rPr>
                <w:rFonts w:ascii="Arial" w:cs="Arial" w:eastAsia="Arial" w:hAnsi="Arial"/>
                <w:sz w:val="18"/>
                <w:szCs w:val="18"/>
                <w:color w:val="auto"/>
              </w:rPr>
              <w:t>(225)</w:t>
            </w:r>
          </w:p>
        </w:tc>
        <w:tc>
          <w:tcPr>
            <w:tcW w:w="820" w:type="dxa"/>
            <w:vAlign w:val="bottom"/>
          </w:tcPr>
          <w:p>
            <w:pPr>
              <w:jc w:val="right"/>
              <w:ind w:right="112"/>
              <w:spacing w:after="0"/>
              <w:rPr>
                <w:sz w:val="20"/>
                <w:szCs w:val="20"/>
                <w:color w:val="auto"/>
              </w:rPr>
            </w:pPr>
            <w:r>
              <w:rPr>
                <w:rFonts w:ascii="Arial" w:cs="Arial" w:eastAsia="Arial" w:hAnsi="Arial"/>
                <w:sz w:val="18"/>
                <w:szCs w:val="18"/>
                <w:color w:val="auto"/>
              </w:rPr>
              <w:t>(1,077)</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1,717</w:t>
            </w:r>
          </w:p>
        </w:tc>
        <w:tc>
          <w:tcPr>
            <w:tcW w:w="920" w:type="dxa"/>
            <w:vAlign w:val="bottom"/>
          </w:tcPr>
          <w:p>
            <w:pPr>
              <w:jc w:val="right"/>
              <w:ind w:right="94"/>
              <w:spacing w:after="0"/>
              <w:rPr>
                <w:sz w:val="20"/>
                <w:szCs w:val="20"/>
                <w:color w:val="auto"/>
              </w:rPr>
            </w:pPr>
            <w:r>
              <w:rPr>
                <w:rFonts w:ascii="Arial" w:cs="Arial" w:eastAsia="Arial" w:hAnsi="Arial"/>
                <w:sz w:val="18"/>
                <w:szCs w:val="18"/>
                <w:color w:val="auto"/>
              </w:rPr>
              <w:t>606</w:t>
            </w:r>
          </w:p>
        </w:tc>
        <w:tc>
          <w:tcPr>
            <w:tcW w:w="720" w:type="dxa"/>
            <w:vAlign w:val="bottom"/>
          </w:tcPr>
          <w:p>
            <w:pPr>
              <w:jc w:val="right"/>
              <w:spacing w:after="0"/>
              <w:rPr>
                <w:sz w:val="20"/>
                <w:szCs w:val="20"/>
                <w:color w:val="auto"/>
              </w:rPr>
            </w:pPr>
            <w:r>
              <w:rPr>
                <w:rFonts w:ascii="Arial" w:cs="Arial" w:eastAsia="Arial" w:hAnsi="Arial"/>
                <w:sz w:val="18"/>
                <w:szCs w:val="18"/>
                <w:color w:val="auto"/>
              </w:rPr>
              <w:t>2,323</w:t>
            </w:r>
          </w:p>
        </w:tc>
        <w:tc>
          <w:tcPr>
            <w:tcW w:w="0" w:type="dxa"/>
            <w:vAlign w:val="bottom"/>
          </w:tcPr>
          <w:p>
            <w:pPr>
              <w:spacing w:after="0"/>
              <w:rPr>
                <w:sz w:val="1"/>
                <w:szCs w:val="1"/>
                <w:color w:val="auto"/>
              </w:rPr>
            </w:pPr>
          </w:p>
        </w:tc>
      </w:tr>
      <w:tr>
        <w:trPr>
          <w:trHeight w:val="229"/>
        </w:trPr>
        <w:tc>
          <w:tcPr>
            <w:tcW w:w="3560" w:type="dxa"/>
            <w:vAlign w:val="bottom"/>
          </w:tcPr>
          <w:p>
            <w:pPr>
              <w:ind w:left="360"/>
              <w:spacing w:after="0"/>
              <w:rPr>
                <w:sz w:val="20"/>
                <w:szCs w:val="20"/>
                <w:color w:val="auto"/>
              </w:rPr>
            </w:pPr>
            <w:r>
              <w:rPr>
                <w:rFonts w:ascii="Arial" w:cs="Arial" w:eastAsia="Arial" w:hAnsi="Arial"/>
                <w:sz w:val="18"/>
                <w:szCs w:val="18"/>
                <w:color w:val="auto"/>
              </w:rPr>
              <w:t>Impairments</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(4)</w:t>
            </w:r>
          </w:p>
        </w:tc>
        <w:tc>
          <w:tcPr>
            <w:tcW w:w="960" w:type="dxa"/>
            <w:vAlign w:val="bottom"/>
          </w:tcPr>
          <w:p>
            <w:pPr>
              <w:jc w:val="right"/>
              <w:ind w:right="134"/>
              <w:spacing w:after="0"/>
              <w:rPr>
                <w:sz w:val="20"/>
                <w:szCs w:val="20"/>
                <w:color w:val="auto"/>
              </w:rPr>
            </w:pPr>
            <w:r>
              <w:rPr>
                <w:rFonts w:ascii="Arial" w:cs="Arial" w:eastAsia="Arial" w:hAnsi="Arial"/>
                <w:sz w:val="18"/>
                <w:szCs w:val="18"/>
                <w:color w:val="auto"/>
              </w:rPr>
              <w:t>(593)</w:t>
            </w:r>
          </w:p>
        </w:tc>
        <w:tc>
          <w:tcPr>
            <w:tcW w:w="820" w:type="dxa"/>
            <w:vAlign w:val="bottom"/>
          </w:tcPr>
          <w:p>
            <w:pPr>
              <w:jc w:val="right"/>
              <w:ind w:right="112"/>
              <w:spacing w:after="0"/>
              <w:rPr>
                <w:sz w:val="20"/>
                <w:szCs w:val="20"/>
                <w:color w:val="auto"/>
              </w:rPr>
            </w:pPr>
            <w:r>
              <w:rPr>
                <w:rFonts w:ascii="Arial" w:cs="Arial" w:eastAsia="Arial" w:hAnsi="Arial"/>
                <w:sz w:val="18"/>
                <w:szCs w:val="18"/>
                <w:color w:val="auto"/>
              </w:rPr>
              <w:t>(597)</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60" w:type="dxa"/>
            <w:vAlign w:val="bottom"/>
          </w:tcPr>
          <w:p>
            <w:pPr>
              <w:ind w:left="360"/>
              <w:spacing w:after="0"/>
              <w:rPr>
                <w:sz w:val="20"/>
                <w:szCs w:val="20"/>
                <w:color w:val="auto"/>
              </w:rPr>
            </w:pPr>
            <w:r>
              <w:rPr>
                <w:rFonts w:ascii="Arial" w:cs="Arial" w:eastAsia="Arial" w:hAnsi="Arial"/>
                <w:sz w:val="18"/>
                <w:szCs w:val="18"/>
                <w:color w:val="auto"/>
              </w:rPr>
              <w:t>Gain/(loss) on sale of assets</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4</w:t>
            </w:r>
          </w:p>
        </w:tc>
        <w:tc>
          <w:tcPr>
            <w:tcW w:w="90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12"/>
              <w:spacing w:after="0"/>
              <w:rPr>
                <w:sz w:val="20"/>
                <w:szCs w:val="20"/>
                <w:color w:val="auto"/>
              </w:rPr>
            </w:pPr>
            <w:r>
              <w:rPr>
                <w:rFonts w:ascii="Arial" w:cs="Arial" w:eastAsia="Arial" w:hAnsi="Arial"/>
                <w:sz w:val="18"/>
                <w:szCs w:val="18"/>
                <w:color w:val="auto"/>
              </w:rPr>
              <w:t>4</w:t>
            </w:r>
          </w:p>
        </w:tc>
        <w:tc>
          <w:tcPr>
            <w:tcW w:w="86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74"/>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60" w:type="dxa"/>
            <w:vAlign w:val="bottom"/>
          </w:tcPr>
          <w:p>
            <w:pPr>
              <w:ind w:left="360"/>
              <w:spacing w:after="0"/>
              <w:rPr>
                <w:sz w:val="20"/>
                <w:szCs w:val="20"/>
                <w:color w:val="auto"/>
              </w:rPr>
            </w:pPr>
            <w:r>
              <w:rPr>
                <w:rFonts w:ascii="Arial" w:cs="Arial" w:eastAsia="Arial" w:hAnsi="Arial"/>
                <w:sz w:val="18"/>
                <w:szCs w:val="18"/>
                <w:color w:val="auto"/>
              </w:rPr>
              <w:t>Tax-related items</w:t>
            </w: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(262)</w:t>
            </w:r>
          </w:p>
        </w:tc>
        <w:tc>
          <w:tcPr>
            <w:tcW w:w="8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(262)</w:t>
            </w: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(9)</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3560" w:type="dxa"/>
            <w:vAlign w:val="bottom"/>
          </w:tcPr>
          <w:p>
            <w:pPr>
              <w:ind w:left="20"/>
              <w:spacing w:after="0"/>
              <w:rPr>
                <w:sz w:val="20"/>
                <w:szCs w:val="20"/>
                <w:color w:val="auto"/>
              </w:rPr>
            </w:pPr>
            <w:r>
              <w:rPr>
                <w:rFonts w:ascii="Arial" w:cs="Arial" w:eastAsia="Arial" w:hAnsi="Arial"/>
                <w:sz w:val="18"/>
                <w:szCs w:val="18"/>
                <w:color w:val="auto"/>
              </w:rPr>
              <w:t>Identified Items</w:t>
            </w: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w:t>
            </w:r>
          </w:p>
        </w:tc>
        <w:tc>
          <w:tcPr>
            <w:tcW w:w="90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4</w:t>
            </w:r>
          </w:p>
        </w:tc>
        <w:tc>
          <w:tcPr>
            <w:tcW w:w="8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w:t>
            </w:r>
          </w:p>
        </w:tc>
        <w:tc>
          <w:tcPr>
            <w:tcW w:w="96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(855)</w:t>
            </w:r>
          </w:p>
        </w:tc>
        <w:tc>
          <w:tcPr>
            <w:tcW w:w="8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(859)</w:t>
            </w: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(9)</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3560" w:type="dxa"/>
            <w:vAlign w:val="bottom"/>
          </w:tcPr>
          <w:p>
            <w:pPr>
              <w:ind w:left="20"/>
              <w:spacing w:after="0"/>
              <w:rPr>
                <w:sz w:val="20"/>
                <w:szCs w:val="20"/>
                <w:color w:val="auto"/>
              </w:rPr>
            </w:pPr>
            <w:r>
              <w:rPr>
                <w:rFonts w:ascii="Arial" w:cs="Arial" w:eastAsia="Arial" w:hAnsi="Arial"/>
                <w:sz w:val="18"/>
                <w:szCs w:val="18"/>
                <w:color w:val="auto"/>
              </w:rPr>
              <w:t>Earnings (loss) excluding Identified Items</w:t>
            </w: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1,310</w:t>
            </w:r>
          </w:p>
        </w:tc>
        <w:tc>
          <w:tcPr>
            <w:tcW w:w="90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791</w:t>
            </w:r>
          </w:p>
        </w:tc>
        <w:tc>
          <w:tcPr>
            <w:tcW w:w="8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2,101</w:t>
            </w:r>
          </w:p>
        </w:tc>
        <w:tc>
          <w:tcPr>
            <w:tcW w:w="8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(848)</w:t>
            </w:r>
          </w:p>
        </w:tc>
        <w:tc>
          <w:tcPr>
            <w:tcW w:w="96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color w:val="auto"/>
              </w:rPr>
              <w:t>630</w:t>
            </w:r>
          </w:p>
        </w:tc>
        <w:tc>
          <w:tcPr>
            <w:tcW w:w="8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(218)</w:t>
            </w: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1,717</w:t>
            </w:r>
          </w:p>
        </w:tc>
        <w:tc>
          <w:tcPr>
            <w:tcW w:w="92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615</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2,332</w:t>
            </w:r>
          </w:p>
        </w:tc>
        <w:tc>
          <w:tcPr>
            <w:tcW w:w="0" w:type="dxa"/>
            <w:vAlign w:val="bottom"/>
          </w:tcPr>
          <w:p>
            <w:pPr>
              <w:spacing w:after="0"/>
              <w:rPr>
                <w:sz w:val="1"/>
                <w:szCs w:val="1"/>
                <w:color w:val="auto"/>
              </w:rPr>
            </w:pPr>
          </w:p>
        </w:tc>
      </w:tr>
      <w:tr>
        <w:trPr>
          <w:trHeight w:val="797"/>
        </w:trPr>
        <w:tc>
          <w:tcPr>
            <w:tcW w:w="356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89"/>
              </w:rPr>
              <w:t>2021</w:t>
            </w:r>
          </w:p>
        </w:tc>
        <w:tc>
          <w:tcPr>
            <w:tcW w:w="8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96"/>
              </w:rPr>
              <w:t>2020</w:t>
            </w:r>
          </w:p>
        </w:tc>
        <w:tc>
          <w:tcPr>
            <w:tcW w:w="8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9"/>
              </w:rPr>
              <w:t>2019</w:t>
            </w: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5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Chemical</w:t>
            </w:r>
          </w:p>
        </w:tc>
        <w:tc>
          <w:tcPr>
            <w:tcW w:w="88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U.S.</w:t>
            </w:r>
          </w:p>
        </w:tc>
        <w:tc>
          <w:tcPr>
            <w:tcW w:w="90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94"/>
              </w:rPr>
              <w:t>Non-U.S.</w:t>
            </w:r>
          </w:p>
        </w:tc>
        <w:tc>
          <w:tcPr>
            <w:tcW w:w="8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Total</w:t>
            </w:r>
          </w:p>
        </w:tc>
        <w:tc>
          <w:tcPr>
            <w:tcW w:w="8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U.S.</w:t>
            </w:r>
          </w:p>
        </w:tc>
        <w:tc>
          <w:tcPr>
            <w:tcW w:w="96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4"/>
              </w:rPr>
              <w:t>Non-U.S.</w:t>
            </w:r>
          </w:p>
        </w:tc>
        <w:tc>
          <w:tcPr>
            <w:tcW w:w="8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Total</w:t>
            </w:r>
          </w:p>
        </w:tc>
        <w:tc>
          <w:tcPr>
            <w:tcW w:w="78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U.S.</w:t>
            </w:r>
          </w:p>
        </w:tc>
        <w:tc>
          <w:tcPr>
            <w:tcW w:w="92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4"/>
              </w:rPr>
              <w:t>Non-U.S.</w:t>
            </w:r>
          </w:p>
        </w:tc>
        <w:tc>
          <w:tcPr>
            <w:tcW w:w="7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35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20" w:type="dxa"/>
            <w:vAlign w:val="bottom"/>
            <w:gridSpan w:val="2"/>
          </w:tcPr>
          <w:p>
            <w:pPr>
              <w:jc w:val="center"/>
              <w:ind w:left="534"/>
              <w:spacing w:after="0"/>
              <w:rPr>
                <w:sz w:val="20"/>
                <w:szCs w:val="20"/>
                <w:color w:val="auto"/>
              </w:rPr>
            </w:pPr>
            <w:r>
              <w:rPr>
                <w:rFonts w:ascii="Arial" w:cs="Arial" w:eastAsia="Arial" w:hAnsi="Arial"/>
                <w:sz w:val="14"/>
                <w:szCs w:val="14"/>
                <w:i w:val="1"/>
                <w:iCs w:val="1"/>
                <w:color w:val="auto"/>
                <w:w w:val="99"/>
              </w:rPr>
              <w:t>(millions of dollars)</w:t>
            </w: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3560" w:type="dxa"/>
            <w:vAlign w:val="bottom"/>
          </w:tcPr>
          <w:p>
            <w:pPr>
              <w:ind w:left="20"/>
              <w:spacing w:after="0"/>
              <w:rPr>
                <w:sz w:val="20"/>
                <w:szCs w:val="20"/>
                <w:color w:val="auto"/>
              </w:rPr>
            </w:pPr>
            <w:r>
              <w:rPr>
                <w:rFonts w:ascii="Arial" w:cs="Arial" w:eastAsia="Arial" w:hAnsi="Arial"/>
                <w:sz w:val="18"/>
                <w:szCs w:val="18"/>
                <w:color w:val="auto"/>
              </w:rPr>
              <w:t>Earnings (loss) (U.S. GAAP)</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4,502</w:t>
            </w:r>
          </w:p>
        </w:tc>
        <w:tc>
          <w:tcPr>
            <w:tcW w:w="900" w:type="dxa"/>
            <w:vAlign w:val="bottom"/>
          </w:tcPr>
          <w:p>
            <w:pPr>
              <w:jc w:val="right"/>
              <w:ind w:right="114"/>
              <w:spacing w:after="0"/>
              <w:rPr>
                <w:sz w:val="20"/>
                <w:szCs w:val="20"/>
                <w:color w:val="auto"/>
              </w:rPr>
            </w:pPr>
            <w:r>
              <w:rPr>
                <w:rFonts w:ascii="Arial" w:cs="Arial" w:eastAsia="Arial" w:hAnsi="Arial"/>
                <w:sz w:val="18"/>
                <w:szCs w:val="18"/>
                <w:color w:val="auto"/>
              </w:rPr>
              <w:t>3,294</w:t>
            </w:r>
          </w:p>
        </w:tc>
        <w:tc>
          <w:tcPr>
            <w:tcW w:w="840" w:type="dxa"/>
            <w:vAlign w:val="bottom"/>
          </w:tcPr>
          <w:p>
            <w:pPr>
              <w:jc w:val="right"/>
              <w:ind w:right="112"/>
              <w:spacing w:after="0"/>
              <w:rPr>
                <w:sz w:val="20"/>
                <w:szCs w:val="20"/>
                <w:color w:val="auto"/>
              </w:rPr>
            </w:pPr>
            <w:r>
              <w:rPr>
                <w:rFonts w:ascii="Arial" w:cs="Arial" w:eastAsia="Arial" w:hAnsi="Arial"/>
                <w:sz w:val="18"/>
                <w:szCs w:val="18"/>
                <w:color w:val="auto"/>
              </w:rPr>
              <w:t>7,796</w:t>
            </w:r>
          </w:p>
        </w:tc>
        <w:tc>
          <w:tcPr>
            <w:tcW w:w="860" w:type="dxa"/>
            <w:vAlign w:val="bottom"/>
          </w:tcPr>
          <w:p>
            <w:pPr>
              <w:jc w:val="right"/>
              <w:ind w:right="54"/>
              <w:spacing w:after="0"/>
              <w:rPr>
                <w:sz w:val="20"/>
                <w:szCs w:val="20"/>
                <w:color w:val="auto"/>
              </w:rPr>
            </w:pPr>
            <w:r>
              <w:rPr>
                <w:rFonts w:ascii="Arial" w:cs="Arial" w:eastAsia="Arial" w:hAnsi="Arial"/>
                <w:sz w:val="18"/>
                <w:szCs w:val="18"/>
                <w:color w:val="auto"/>
              </w:rPr>
              <w:t>1,277</w:t>
            </w:r>
          </w:p>
        </w:tc>
        <w:tc>
          <w:tcPr>
            <w:tcW w:w="960" w:type="dxa"/>
            <w:vAlign w:val="bottom"/>
          </w:tcPr>
          <w:p>
            <w:pPr>
              <w:jc w:val="right"/>
              <w:ind w:right="174"/>
              <w:spacing w:after="0"/>
              <w:rPr>
                <w:sz w:val="20"/>
                <w:szCs w:val="20"/>
                <w:color w:val="auto"/>
              </w:rPr>
            </w:pPr>
            <w:r>
              <w:rPr>
                <w:rFonts w:ascii="Arial" w:cs="Arial" w:eastAsia="Arial" w:hAnsi="Arial"/>
                <w:sz w:val="18"/>
                <w:szCs w:val="18"/>
                <w:color w:val="auto"/>
              </w:rPr>
              <w:t>686</w:t>
            </w:r>
          </w:p>
        </w:tc>
        <w:tc>
          <w:tcPr>
            <w:tcW w:w="820" w:type="dxa"/>
            <w:vAlign w:val="bottom"/>
          </w:tcPr>
          <w:p>
            <w:pPr>
              <w:jc w:val="right"/>
              <w:ind w:right="152"/>
              <w:spacing w:after="0"/>
              <w:rPr>
                <w:sz w:val="20"/>
                <w:szCs w:val="20"/>
                <w:color w:val="auto"/>
              </w:rPr>
            </w:pPr>
            <w:r>
              <w:rPr>
                <w:rFonts w:ascii="Arial" w:cs="Arial" w:eastAsia="Arial" w:hAnsi="Arial"/>
                <w:sz w:val="18"/>
                <w:szCs w:val="18"/>
                <w:color w:val="auto"/>
              </w:rPr>
              <w:t>1,963</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206</w:t>
            </w:r>
          </w:p>
        </w:tc>
        <w:tc>
          <w:tcPr>
            <w:tcW w:w="920" w:type="dxa"/>
            <w:vAlign w:val="bottom"/>
          </w:tcPr>
          <w:p>
            <w:pPr>
              <w:jc w:val="right"/>
              <w:ind w:right="94"/>
              <w:spacing w:after="0"/>
              <w:rPr>
                <w:sz w:val="20"/>
                <w:szCs w:val="20"/>
                <w:color w:val="auto"/>
              </w:rPr>
            </w:pPr>
            <w:r>
              <w:rPr>
                <w:rFonts w:ascii="Arial" w:cs="Arial" w:eastAsia="Arial" w:hAnsi="Arial"/>
                <w:sz w:val="18"/>
                <w:szCs w:val="18"/>
                <w:color w:val="auto"/>
              </w:rPr>
              <w:t>386</w:t>
            </w:r>
          </w:p>
        </w:tc>
        <w:tc>
          <w:tcPr>
            <w:tcW w:w="720" w:type="dxa"/>
            <w:vAlign w:val="bottom"/>
          </w:tcPr>
          <w:p>
            <w:pPr>
              <w:jc w:val="right"/>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30"/>
        </w:trPr>
        <w:tc>
          <w:tcPr>
            <w:tcW w:w="3560" w:type="dxa"/>
            <w:vAlign w:val="bottom"/>
          </w:tcPr>
          <w:p>
            <w:pPr>
              <w:ind w:left="360"/>
              <w:spacing w:after="0"/>
              <w:rPr>
                <w:sz w:val="20"/>
                <w:szCs w:val="20"/>
                <w:color w:val="auto"/>
              </w:rPr>
            </w:pPr>
            <w:r>
              <w:rPr>
                <w:rFonts w:ascii="Arial" w:cs="Arial" w:eastAsia="Arial" w:hAnsi="Arial"/>
                <w:sz w:val="18"/>
                <w:szCs w:val="18"/>
                <w:color w:val="auto"/>
              </w:rPr>
              <w:t>Impairments</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(90)</w:t>
            </w:r>
          </w:p>
        </w:tc>
        <w:tc>
          <w:tcPr>
            <w:tcW w:w="960" w:type="dxa"/>
            <w:vAlign w:val="bottom"/>
          </w:tcPr>
          <w:p>
            <w:pPr>
              <w:jc w:val="right"/>
              <w:ind w:right="134"/>
              <w:spacing w:after="0"/>
              <w:rPr>
                <w:sz w:val="20"/>
                <w:szCs w:val="20"/>
                <w:color w:val="auto"/>
              </w:rPr>
            </w:pPr>
            <w:r>
              <w:rPr>
                <w:rFonts w:ascii="Arial" w:cs="Arial" w:eastAsia="Arial" w:hAnsi="Arial"/>
                <w:sz w:val="18"/>
                <w:szCs w:val="18"/>
                <w:color w:val="auto"/>
              </w:rPr>
              <w:t>(2)</w:t>
            </w:r>
          </w:p>
        </w:tc>
        <w:tc>
          <w:tcPr>
            <w:tcW w:w="820" w:type="dxa"/>
            <w:vAlign w:val="bottom"/>
          </w:tcPr>
          <w:p>
            <w:pPr>
              <w:jc w:val="right"/>
              <w:ind w:right="112"/>
              <w:spacing w:after="0"/>
              <w:rPr>
                <w:sz w:val="20"/>
                <w:szCs w:val="20"/>
                <w:color w:val="auto"/>
              </w:rPr>
            </w:pPr>
            <w:r>
              <w:rPr>
                <w:rFonts w:ascii="Arial" w:cs="Arial" w:eastAsia="Arial" w:hAnsi="Arial"/>
                <w:sz w:val="18"/>
                <w:szCs w:val="18"/>
                <w:color w:val="auto"/>
              </w:rPr>
              <w:t>(92)</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60" w:type="dxa"/>
            <w:vAlign w:val="bottom"/>
          </w:tcPr>
          <w:p>
            <w:pPr>
              <w:ind w:left="360"/>
              <w:spacing w:after="0"/>
              <w:rPr>
                <w:sz w:val="20"/>
                <w:szCs w:val="20"/>
                <w:color w:val="auto"/>
              </w:rPr>
            </w:pPr>
            <w:r>
              <w:rPr>
                <w:rFonts w:ascii="Arial" w:cs="Arial" w:eastAsia="Arial" w:hAnsi="Arial"/>
                <w:sz w:val="18"/>
                <w:szCs w:val="18"/>
                <w:color w:val="auto"/>
              </w:rPr>
              <w:t>Gain/(loss) on sale of assets</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494</w:t>
            </w:r>
          </w:p>
        </w:tc>
        <w:tc>
          <w:tcPr>
            <w:tcW w:w="900" w:type="dxa"/>
            <w:vAlign w:val="bottom"/>
          </w:tcPr>
          <w:p>
            <w:pPr>
              <w:jc w:val="right"/>
              <w:ind w:right="114"/>
              <w:spacing w:after="0"/>
              <w:rPr>
                <w:sz w:val="20"/>
                <w:szCs w:val="20"/>
                <w:color w:val="auto"/>
              </w:rPr>
            </w:pPr>
            <w:r>
              <w:rPr>
                <w:rFonts w:ascii="Arial" w:cs="Arial" w:eastAsia="Arial" w:hAnsi="Arial"/>
                <w:sz w:val="18"/>
                <w:szCs w:val="18"/>
                <w:color w:val="auto"/>
              </w:rPr>
              <w:t>136</w:t>
            </w:r>
          </w:p>
        </w:tc>
        <w:tc>
          <w:tcPr>
            <w:tcW w:w="840" w:type="dxa"/>
            <w:vAlign w:val="bottom"/>
          </w:tcPr>
          <w:p>
            <w:pPr>
              <w:jc w:val="right"/>
              <w:ind w:right="112"/>
              <w:spacing w:after="0"/>
              <w:rPr>
                <w:sz w:val="20"/>
                <w:szCs w:val="20"/>
                <w:color w:val="auto"/>
              </w:rPr>
            </w:pPr>
            <w:r>
              <w:rPr>
                <w:rFonts w:ascii="Arial" w:cs="Arial" w:eastAsia="Arial" w:hAnsi="Arial"/>
                <w:sz w:val="18"/>
                <w:szCs w:val="18"/>
                <w:color w:val="auto"/>
              </w:rPr>
              <w:t>630</w:t>
            </w:r>
          </w:p>
        </w:tc>
        <w:tc>
          <w:tcPr>
            <w:tcW w:w="86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74"/>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60" w:type="dxa"/>
            <w:vAlign w:val="bottom"/>
          </w:tcPr>
          <w:p>
            <w:pPr>
              <w:ind w:left="360"/>
              <w:spacing w:after="0"/>
              <w:rPr>
                <w:sz w:val="20"/>
                <w:szCs w:val="20"/>
                <w:color w:val="auto"/>
              </w:rPr>
            </w:pPr>
            <w:r>
              <w:rPr>
                <w:rFonts w:ascii="Arial" w:cs="Arial" w:eastAsia="Arial" w:hAnsi="Arial"/>
                <w:sz w:val="18"/>
                <w:szCs w:val="18"/>
                <w:color w:val="auto"/>
              </w:rPr>
              <w:t>Tax-related items</w:t>
            </w: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(22)</w:t>
            </w:r>
          </w:p>
        </w:tc>
        <w:tc>
          <w:tcPr>
            <w:tcW w:w="8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(22)</w:t>
            </w: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2</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3560" w:type="dxa"/>
            <w:vAlign w:val="bottom"/>
          </w:tcPr>
          <w:p>
            <w:pPr>
              <w:ind w:left="20"/>
              <w:spacing w:after="0"/>
              <w:rPr>
                <w:sz w:val="20"/>
                <w:szCs w:val="20"/>
                <w:color w:val="auto"/>
              </w:rPr>
            </w:pPr>
            <w:r>
              <w:rPr>
                <w:rFonts w:ascii="Arial" w:cs="Arial" w:eastAsia="Arial" w:hAnsi="Arial"/>
                <w:sz w:val="18"/>
                <w:szCs w:val="18"/>
                <w:color w:val="auto"/>
              </w:rPr>
              <w:t>Identified Items</w:t>
            </w: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494</w:t>
            </w:r>
          </w:p>
        </w:tc>
        <w:tc>
          <w:tcPr>
            <w:tcW w:w="90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136</w:t>
            </w:r>
          </w:p>
        </w:tc>
        <w:tc>
          <w:tcPr>
            <w:tcW w:w="8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630</w:t>
            </w:r>
          </w:p>
        </w:tc>
        <w:tc>
          <w:tcPr>
            <w:tcW w:w="8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(90)</w:t>
            </w:r>
          </w:p>
        </w:tc>
        <w:tc>
          <w:tcPr>
            <w:tcW w:w="96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(24)</w:t>
            </w:r>
          </w:p>
        </w:tc>
        <w:tc>
          <w:tcPr>
            <w:tcW w:w="8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(114)</w:t>
            </w: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2</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3560" w:type="dxa"/>
            <w:vAlign w:val="bottom"/>
          </w:tcPr>
          <w:p>
            <w:pPr>
              <w:ind w:left="20"/>
              <w:spacing w:after="0"/>
              <w:rPr>
                <w:sz w:val="20"/>
                <w:szCs w:val="20"/>
                <w:color w:val="auto"/>
              </w:rPr>
            </w:pPr>
            <w:r>
              <w:rPr>
                <w:rFonts w:ascii="Arial" w:cs="Arial" w:eastAsia="Arial" w:hAnsi="Arial"/>
                <w:sz w:val="18"/>
                <w:szCs w:val="18"/>
                <w:color w:val="auto"/>
              </w:rPr>
              <w:t>Earnings (loss) excluding Identified Items</w:t>
            </w: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4,008</w:t>
            </w:r>
          </w:p>
        </w:tc>
        <w:tc>
          <w:tcPr>
            <w:tcW w:w="90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3,158</w:t>
            </w:r>
          </w:p>
        </w:tc>
        <w:tc>
          <w:tcPr>
            <w:tcW w:w="8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7,166</w:t>
            </w:r>
          </w:p>
        </w:tc>
        <w:tc>
          <w:tcPr>
            <w:tcW w:w="86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1,367</w:t>
            </w:r>
          </w:p>
        </w:tc>
        <w:tc>
          <w:tcPr>
            <w:tcW w:w="96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color w:val="auto"/>
              </w:rPr>
              <w:t>710</w:t>
            </w:r>
          </w:p>
        </w:tc>
        <w:tc>
          <w:tcPr>
            <w:tcW w:w="8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2,077</w:t>
            </w: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206</w:t>
            </w:r>
          </w:p>
        </w:tc>
        <w:tc>
          <w:tcPr>
            <w:tcW w:w="92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384</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34"/>
        </w:trPr>
        <w:tc>
          <w:tcPr>
            <w:tcW w:w="6160" w:type="dxa"/>
            <w:vAlign w:val="bottom"/>
          </w:tcPr>
          <w:p>
            <w:pPr>
              <w:spacing w:after="0"/>
              <w:rPr>
                <w:sz w:val="20"/>
                <w:szCs w:val="20"/>
                <w:color w:val="auto"/>
              </w:rPr>
            </w:pPr>
            <w:r>
              <w:rPr>
                <w:rFonts w:ascii="Arial" w:cs="Arial" w:eastAsia="Arial" w:hAnsi="Arial"/>
                <w:sz w:val="18"/>
                <w:szCs w:val="18"/>
                <w:b w:val="1"/>
                <w:bCs w:val="1"/>
                <w:color w:val="auto"/>
              </w:rPr>
              <w:t>FREQUENTLY USED TERMS</w:t>
            </w:r>
          </w:p>
        </w:tc>
        <w:tc>
          <w:tcPr>
            <w:tcW w:w="16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891"/>
        </w:trPr>
        <w:tc>
          <w:tcPr>
            <w:tcW w:w="61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Corporate and Financing</w:t>
            </w:r>
          </w:p>
        </w:tc>
        <w:tc>
          <w:tcPr>
            <w:tcW w:w="16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2021</w:t>
            </w:r>
          </w:p>
        </w:tc>
        <w:tc>
          <w:tcPr>
            <w:tcW w:w="1960" w:type="dxa"/>
            <w:vAlign w:val="bottom"/>
            <w:tcBorders>
              <w:bottom w:val="single" w:sz="8" w:color="auto"/>
            </w:tcBorders>
          </w:tcPr>
          <w:p>
            <w:pPr>
              <w:jc w:val="center"/>
              <w:ind w:left="534"/>
              <w:spacing w:after="0"/>
              <w:rPr>
                <w:sz w:val="20"/>
                <w:szCs w:val="20"/>
                <w:color w:val="auto"/>
              </w:rPr>
            </w:pPr>
            <w:r>
              <w:rPr>
                <w:rFonts w:ascii="Arial" w:cs="Arial" w:eastAsia="Arial" w:hAnsi="Arial"/>
                <w:sz w:val="14"/>
                <w:szCs w:val="14"/>
                <w:b w:val="1"/>
                <w:bCs w:val="1"/>
                <w:color w:val="auto"/>
                <w:w w:val="96"/>
              </w:rPr>
              <w:t>2020</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r>
      <w:tr>
        <w:trPr>
          <w:trHeight w:val="176"/>
        </w:trPr>
        <w:tc>
          <w:tcPr>
            <w:tcW w:w="61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960" w:type="dxa"/>
            <w:vAlign w:val="bottom"/>
          </w:tcPr>
          <w:p>
            <w:pPr>
              <w:jc w:val="right"/>
              <w:ind w:right="574"/>
              <w:spacing w:after="0"/>
              <w:rPr>
                <w:sz w:val="20"/>
                <w:szCs w:val="20"/>
                <w:color w:val="auto"/>
              </w:rPr>
            </w:pPr>
            <w:r>
              <w:rPr>
                <w:rFonts w:ascii="Arial" w:cs="Arial" w:eastAsia="Arial" w:hAnsi="Arial"/>
                <w:sz w:val="14"/>
                <w:szCs w:val="14"/>
                <w:i w:val="1"/>
                <w:iCs w:val="1"/>
                <w:color w:val="auto"/>
              </w:rPr>
              <w:t>(millions of dollars)</w:t>
            </w:r>
          </w:p>
        </w:tc>
        <w:tc>
          <w:tcPr>
            <w:tcW w:w="1080" w:type="dxa"/>
            <w:vAlign w:val="bottom"/>
          </w:tcPr>
          <w:p>
            <w:pPr>
              <w:spacing w:after="0"/>
              <w:rPr>
                <w:sz w:val="15"/>
                <w:szCs w:val="15"/>
                <w:color w:val="auto"/>
              </w:rPr>
            </w:pPr>
          </w:p>
        </w:tc>
      </w:tr>
      <w:tr>
        <w:trPr>
          <w:trHeight w:val="235"/>
        </w:trPr>
        <w:tc>
          <w:tcPr>
            <w:tcW w:w="6160" w:type="dxa"/>
            <w:vAlign w:val="bottom"/>
          </w:tcPr>
          <w:p>
            <w:pPr>
              <w:ind w:left="20"/>
              <w:spacing w:after="0"/>
              <w:rPr>
                <w:sz w:val="20"/>
                <w:szCs w:val="20"/>
                <w:color w:val="auto"/>
              </w:rPr>
            </w:pPr>
            <w:r>
              <w:rPr>
                <w:rFonts w:ascii="Arial" w:cs="Arial" w:eastAsia="Arial" w:hAnsi="Arial"/>
                <w:sz w:val="18"/>
                <w:szCs w:val="18"/>
                <w:color w:val="auto"/>
              </w:rPr>
              <w:t>Earnings (loss) (U.S. GAAP)</w:t>
            </w:r>
          </w:p>
        </w:tc>
        <w:tc>
          <w:tcPr>
            <w:tcW w:w="1600" w:type="dxa"/>
            <w:vAlign w:val="bottom"/>
          </w:tcPr>
          <w:p>
            <w:pPr>
              <w:jc w:val="right"/>
              <w:ind w:right="72"/>
              <w:spacing w:after="0"/>
              <w:rPr>
                <w:sz w:val="20"/>
                <w:szCs w:val="20"/>
                <w:color w:val="auto"/>
              </w:rPr>
            </w:pPr>
            <w:r>
              <w:rPr>
                <w:rFonts w:ascii="Arial" w:cs="Arial" w:eastAsia="Arial" w:hAnsi="Arial"/>
                <w:sz w:val="18"/>
                <w:szCs w:val="18"/>
                <w:color w:val="auto"/>
              </w:rPr>
              <w:t>(2,636)</w:t>
            </w:r>
          </w:p>
        </w:tc>
        <w:tc>
          <w:tcPr>
            <w:tcW w:w="1960" w:type="dxa"/>
            <w:vAlign w:val="bottom"/>
          </w:tcPr>
          <w:p>
            <w:pPr>
              <w:jc w:val="right"/>
              <w:ind w:right="454"/>
              <w:spacing w:after="0"/>
              <w:rPr>
                <w:sz w:val="20"/>
                <w:szCs w:val="20"/>
                <w:color w:val="auto"/>
              </w:rPr>
            </w:pPr>
            <w:r>
              <w:rPr>
                <w:rFonts w:ascii="Arial" w:cs="Arial" w:eastAsia="Arial" w:hAnsi="Arial"/>
                <w:sz w:val="18"/>
                <w:szCs w:val="18"/>
                <w:color w:val="auto"/>
              </w:rPr>
              <w:t>(3,296)</w:t>
            </w:r>
          </w:p>
        </w:tc>
        <w:tc>
          <w:tcPr>
            <w:tcW w:w="1080" w:type="dxa"/>
            <w:vAlign w:val="bottom"/>
          </w:tcPr>
          <w:p>
            <w:pPr>
              <w:jc w:val="right"/>
              <w:spacing w:after="0"/>
              <w:rPr>
                <w:sz w:val="20"/>
                <w:szCs w:val="20"/>
                <w:color w:val="auto"/>
              </w:rPr>
            </w:pPr>
            <w:r>
              <w:rPr>
                <w:rFonts w:ascii="Arial" w:cs="Arial" w:eastAsia="Arial" w:hAnsi="Arial"/>
                <w:sz w:val="18"/>
                <w:szCs w:val="18"/>
                <w:color w:val="auto"/>
              </w:rPr>
              <w:t>(3,017)</w:t>
            </w:r>
          </w:p>
        </w:tc>
      </w:tr>
      <w:tr>
        <w:trPr>
          <w:trHeight w:val="230"/>
        </w:trPr>
        <w:tc>
          <w:tcPr>
            <w:tcW w:w="6160" w:type="dxa"/>
            <w:vAlign w:val="bottom"/>
          </w:tcPr>
          <w:p>
            <w:pPr>
              <w:ind w:left="360"/>
              <w:spacing w:after="0"/>
              <w:rPr>
                <w:sz w:val="20"/>
                <w:szCs w:val="20"/>
                <w:color w:val="auto"/>
              </w:rPr>
            </w:pPr>
            <w:r>
              <w:rPr>
                <w:rFonts w:ascii="Arial" w:cs="Arial" w:eastAsia="Arial" w:hAnsi="Arial"/>
                <w:sz w:val="18"/>
                <w:szCs w:val="18"/>
                <w:color w:val="auto"/>
              </w:rPr>
              <w:t>Impairments</w:t>
            </w:r>
          </w:p>
        </w:tc>
        <w:tc>
          <w:tcPr>
            <w:tcW w:w="16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960" w:type="dxa"/>
            <w:vAlign w:val="bottom"/>
          </w:tcPr>
          <w:p>
            <w:pPr>
              <w:jc w:val="right"/>
              <w:ind w:right="454"/>
              <w:spacing w:after="0"/>
              <w:rPr>
                <w:sz w:val="20"/>
                <w:szCs w:val="20"/>
                <w:color w:val="auto"/>
              </w:rPr>
            </w:pPr>
            <w:r>
              <w:rPr>
                <w:rFonts w:ascii="Arial" w:cs="Arial" w:eastAsia="Arial" w:hAnsi="Arial"/>
                <w:sz w:val="18"/>
                <w:szCs w:val="18"/>
                <w:color w:val="auto"/>
              </w:rPr>
              <w:t>(35)</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160" w:type="dxa"/>
            <w:vAlign w:val="bottom"/>
          </w:tcPr>
          <w:p>
            <w:pPr>
              <w:ind w:left="360"/>
              <w:spacing w:after="0"/>
              <w:rPr>
                <w:sz w:val="20"/>
                <w:szCs w:val="20"/>
                <w:color w:val="auto"/>
              </w:rPr>
            </w:pPr>
            <w:r>
              <w:rPr>
                <w:rFonts w:ascii="Arial" w:cs="Arial" w:eastAsia="Arial" w:hAnsi="Arial"/>
                <w:sz w:val="18"/>
                <w:szCs w:val="18"/>
                <w:color w:val="auto"/>
              </w:rPr>
              <w:t>Gain/(loss) on sale of assets</w:t>
            </w:r>
          </w:p>
        </w:tc>
        <w:tc>
          <w:tcPr>
            <w:tcW w:w="1600" w:type="dxa"/>
            <w:vAlign w:val="bottom"/>
          </w:tcPr>
          <w:p>
            <w:pPr>
              <w:jc w:val="right"/>
              <w:ind w:right="72"/>
              <w:spacing w:after="0"/>
              <w:rPr>
                <w:sz w:val="20"/>
                <w:szCs w:val="20"/>
                <w:color w:val="auto"/>
              </w:rPr>
            </w:pPr>
            <w:r>
              <w:rPr>
                <w:rFonts w:ascii="Arial" w:cs="Arial" w:eastAsia="Arial" w:hAnsi="Arial"/>
                <w:sz w:val="18"/>
                <w:szCs w:val="18"/>
                <w:color w:val="auto"/>
              </w:rPr>
              <w:t>(12)</w:t>
            </w:r>
          </w:p>
        </w:tc>
        <w:tc>
          <w:tcPr>
            <w:tcW w:w="1960" w:type="dxa"/>
            <w:vAlign w:val="bottom"/>
          </w:tcPr>
          <w:p>
            <w:pPr>
              <w:jc w:val="center"/>
              <w:ind w:left="534"/>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6160" w:type="dxa"/>
            <w:vAlign w:val="bottom"/>
          </w:tcPr>
          <w:p>
            <w:pPr>
              <w:ind w:left="360"/>
              <w:spacing w:after="0"/>
              <w:rPr>
                <w:sz w:val="20"/>
                <w:szCs w:val="20"/>
                <w:color w:val="auto"/>
              </w:rPr>
            </w:pPr>
            <w:r>
              <w:rPr>
                <w:rFonts w:ascii="Arial" w:cs="Arial" w:eastAsia="Arial" w:hAnsi="Arial"/>
                <w:sz w:val="18"/>
                <w:szCs w:val="18"/>
                <w:color w:val="auto"/>
              </w:rPr>
              <w:t>Tax-related items</w:t>
            </w:r>
          </w:p>
        </w:tc>
        <w:tc>
          <w:tcPr>
            <w:tcW w:w="16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960" w:type="dxa"/>
            <w:vAlign w:val="bottom"/>
          </w:tcPr>
          <w:p>
            <w:pPr>
              <w:jc w:val="center"/>
              <w:ind w:left="534"/>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332</w:t>
            </w:r>
          </w:p>
        </w:tc>
      </w:tr>
      <w:tr>
        <w:trPr>
          <w:trHeight w:val="230"/>
        </w:trPr>
        <w:tc>
          <w:tcPr>
            <w:tcW w:w="6160" w:type="dxa"/>
            <w:vAlign w:val="bottom"/>
          </w:tcPr>
          <w:p>
            <w:pPr>
              <w:ind w:left="360"/>
              <w:spacing w:after="0"/>
              <w:rPr>
                <w:sz w:val="20"/>
                <w:szCs w:val="20"/>
                <w:color w:val="auto"/>
              </w:rPr>
            </w:pPr>
            <w:r>
              <w:rPr>
                <w:rFonts w:ascii="Arial" w:cs="Arial" w:eastAsia="Arial" w:hAnsi="Arial"/>
                <w:sz w:val="18"/>
                <w:szCs w:val="18"/>
                <w:color w:val="auto"/>
              </w:rPr>
              <w:t>Severance charges</w:t>
            </w:r>
          </w:p>
        </w:tc>
        <w:tc>
          <w:tcPr>
            <w:tcW w:w="16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(52)</w:t>
            </w:r>
          </w:p>
        </w:tc>
        <w:tc>
          <w:tcPr>
            <w:tcW w:w="1960" w:type="dxa"/>
            <w:vAlign w:val="bottom"/>
            <w:tcBorders>
              <w:bottom w:val="single" w:sz="8" w:color="auto"/>
            </w:tcBorders>
          </w:tcPr>
          <w:p>
            <w:pPr>
              <w:jc w:val="right"/>
              <w:ind w:right="454"/>
              <w:spacing w:after="0"/>
              <w:rPr>
                <w:sz w:val="20"/>
                <w:szCs w:val="20"/>
                <w:color w:val="auto"/>
              </w:rPr>
            </w:pPr>
            <w:r>
              <w:rPr>
                <w:rFonts w:ascii="Arial" w:cs="Arial" w:eastAsia="Arial" w:hAnsi="Arial"/>
                <w:sz w:val="18"/>
                <w:szCs w:val="18"/>
                <w:color w:val="auto"/>
              </w:rPr>
              <w:t>(326)</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160" w:type="dxa"/>
            <w:vAlign w:val="bottom"/>
          </w:tcPr>
          <w:p>
            <w:pPr>
              <w:ind w:left="20"/>
              <w:spacing w:after="0"/>
              <w:rPr>
                <w:sz w:val="20"/>
                <w:szCs w:val="20"/>
                <w:color w:val="auto"/>
              </w:rPr>
            </w:pPr>
            <w:r>
              <w:rPr>
                <w:rFonts w:ascii="Arial" w:cs="Arial" w:eastAsia="Arial" w:hAnsi="Arial"/>
                <w:sz w:val="18"/>
                <w:szCs w:val="18"/>
                <w:color w:val="auto"/>
              </w:rPr>
              <w:t>Identified Items</w:t>
            </w:r>
          </w:p>
        </w:tc>
        <w:tc>
          <w:tcPr>
            <w:tcW w:w="16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(64)</w:t>
            </w:r>
          </w:p>
        </w:tc>
        <w:tc>
          <w:tcPr>
            <w:tcW w:w="1960" w:type="dxa"/>
            <w:vAlign w:val="bottom"/>
            <w:tcBorders>
              <w:bottom w:val="single" w:sz="8" w:color="auto"/>
            </w:tcBorders>
          </w:tcPr>
          <w:p>
            <w:pPr>
              <w:jc w:val="right"/>
              <w:ind w:right="454"/>
              <w:spacing w:after="0"/>
              <w:rPr>
                <w:sz w:val="20"/>
                <w:szCs w:val="20"/>
                <w:color w:val="auto"/>
              </w:rPr>
            </w:pPr>
            <w:r>
              <w:rPr>
                <w:rFonts w:ascii="Arial" w:cs="Arial" w:eastAsia="Arial" w:hAnsi="Arial"/>
                <w:sz w:val="18"/>
                <w:szCs w:val="18"/>
                <w:color w:val="auto"/>
              </w:rPr>
              <w:t>(361)</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w:t>
            </w:r>
          </w:p>
        </w:tc>
      </w:tr>
      <w:tr>
        <w:trPr>
          <w:trHeight w:val="223"/>
        </w:trPr>
        <w:tc>
          <w:tcPr>
            <w:tcW w:w="6160" w:type="dxa"/>
            <w:vAlign w:val="bottom"/>
          </w:tcPr>
          <w:p>
            <w:pPr>
              <w:ind w:left="20"/>
              <w:spacing w:after="0"/>
              <w:rPr>
                <w:sz w:val="20"/>
                <w:szCs w:val="20"/>
                <w:color w:val="auto"/>
              </w:rPr>
            </w:pPr>
            <w:r>
              <w:rPr>
                <w:rFonts w:ascii="Arial" w:cs="Arial" w:eastAsia="Arial" w:hAnsi="Arial"/>
                <w:sz w:val="18"/>
                <w:szCs w:val="18"/>
                <w:color w:val="auto"/>
              </w:rPr>
              <w:t>Earnings (loss) excluding Identified Items</w:t>
            </w:r>
          </w:p>
        </w:tc>
        <w:tc>
          <w:tcPr>
            <w:tcW w:w="16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(2,572)</w:t>
            </w:r>
          </w:p>
        </w:tc>
        <w:tc>
          <w:tcPr>
            <w:tcW w:w="1960" w:type="dxa"/>
            <w:vAlign w:val="bottom"/>
            <w:tcBorders>
              <w:bottom w:val="single" w:sz="8" w:color="auto"/>
            </w:tcBorders>
          </w:tcPr>
          <w:p>
            <w:pPr>
              <w:jc w:val="right"/>
              <w:ind w:right="454"/>
              <w:spacing w:after="0"/>
              <w:rPr>
                <w:sz w:val="20"/>
                <w:szCs w:val="20"/>
                <w:color w:val="auto"/>
              </w:rPr>
            </w:pPr>
            <w:r>
              <w:rPr>
                <w:rFonts w:ascii="Arial" w:cs="Arial" w:eastAsia="Arial" w:hAnsi="Arial"/>
                <w:sz w:val="18"/>
                <w:szCs w:val="18"/>
                <w:color w:val="auto"/>
              </w:rPr>
              <w:t>(2,935)</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(3,325)</w:t>
            </w:r>
          </w:p>
        </w:tc>
      </w:tr>
      <w:tr>
        <w:trPr>
          <w:trHeight w:val="844"/>
        </w:trPr>
        <w:tc>
          <w:tcPr>
            <w:tcW w:w="61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Corporate Total</w:t>
            </w:r>
          </w:p>
        </w:tc>
        <w:tc>
          <w:tcPr>
            <w:tcW w:w="16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2021</w:t>
            </w:r>
          </w:p>
        </w:tc>
        <w:tc>
          <w:tcPr>
            <w:tcW w:w="1960" w:type="dxa"/>
            <w:vAlign w:val="bottom"/>
            <w:tcBorders>
              <w:bottom w:val="single" w:sz="8" w:color="auto"/>
            </w:tcBorders>
          </w:tcPr>
          <w:p>
            <w:pPr>
              <w:jc w:val="center"/>
              <w:ind w:left="534"/>
              <w:spacing w:after="0"/>
              <w:rPr>
                <w:sz w:val="20"/>
                <w:szCs w:val="20"/>
                <w:color w:val="auto"/>
              </w:rPr>
            </w:pPr>
            <w:r>
              <w:rPr>
                <w:rFonts w:ascii="Arial" w:cs="Arial" w:eastAsia="Arial" w:hAnsi="Arial"/>
                <w:sz w:val="14"/>
                <w:szCs w:val="14"/>
                <w:b w:val="1"/>
                <w:bCs w:val="1"/>
                <w:color w:val="auto"/>
                <w:w w:val="96"/>
              </w:rPr>
              <w:t>2020</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r>
      <w:tr>
        <w:trPr>
          <w:trHeight w:val="176"/>
        </w:trPr>
        <w:tc>
          <w:tcPr>
            <w:tcW w:w="61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960" w:type="dxa"/>
            <w:vAlign w:val="bottom"/>
          </w:tcPr>
          <w:p>
            <w:pPr>
              <w:jc w:val="right"/>
              <w:ind w:right="574"/>
              <w:spacing w:after="0"/>
              <w:rPr>
                <w:sz w:val="20"/>
                <w:szCs w:val="20"/>
                <w:color w:val="auto"/>
              </w:rPr>
            </w:pPr>
            <w:r>
              <w:rPr>
                <w:rFonts w:ascii="Arial" w:cs="Arial" w:eastAsia="Arial" w:hAnsi="Arial"/>
                <w:sz w:val="14"/>
                <w:szCs w:val="14"/>
                <w:i w:val="1"/>
                <w:iCs w:val="1"/>
                <w:color w:val="auto"/>
              </w:rPr>
              <w:t>(millions of dollars)</w:t>
            </w:r>
          </w:p>
        </w:tc>
        <w:tc>
          <w:tcPr>
            <w:tcW w:w="1080" w:type="dxa"/>
            <w:vAlign w:val="bottom"/>
          </w:tcPr>
          <w:p>
            <w:pPr>
              <w:spacing w:after="0"/>
              <w:rPr>
                <w:sz w:val="15"/>
                <w:szCs w:val="15"/>
                <w:color w:val="auto"/>
              </w:rPr>
            </w:pPr>
          </w:p>
        </w:tc>
      </w:tr>
      <w:tr>
        <w:trPr>
          <w:trHeight w:val="235"/>
        </w:trPr>
        <w:tc>
          <w:tcPr>
            <w:tcW w:w="6160" w:type="dxa"/>
            <w:vAlign w:val="bottom"/>
          </w:tcPr>
          <w:p>
            <w:pPr>
              <w:ind w:left="20"/>
              <w:spacing w:after="0"/>
              <w:rPr>
                <w:sz w:val="20"/>
                <w:szCs w:val="20"/>
                <w:color w:val="auto"/>
              </w:rPr>
            </w:pPr>
            <w:r>
              <w:rPr>
                <w:rFonts w:ascii="Arial" w:cs="Arial" w:eastAsia="Arial" w:hAnsi="Arial"/>
                <w:sz w:val="18"/>
                <w:szCs w:val="18"/>
                <w:color w:val="auto"/>
              </w:rPr>
              <w:t>Net income (loss) attributable to ExxonMobil (U.S. GAAP)</w:t>
            </w:r>
          </w:p>
        </w:tc>
        <w:tc>
          <w:tcPr>
            <w:tcW w:w="1600" w:type="dxa"/>
            <w:vAlign w:val="bottom"/>
          </w:tcPr>
          <w:p>
            <w:pPr>
              <w:jc w:val="right"/>
              <w:ind w:right="112"/>
              <w:spacing w:after="0"/>
              <w:rPr>
                <w:sz w:val="20"/>
                <w:szCs w:val="20"/>
                <w:color w:val="auto"/>
              </w:rPr>
            </w:pPr>
            <w:r>
              <w:rPr>
                <w:rFonts w:ascii="Arial" w:cs="Arial" w:eastAsia="Arial" w:hAnsi="Arial"/>
                <w:sz w:val="18"/>
                <w:szCs w:val="18"/>
                <w:color w:val="auto"/>
              </w:rPr>
              <w:t>23,040</w:t>
            </w:r>
          </w:p>
        </w:tc>
        <w:tc>
          <w:tcPr>
            <w:tcW w:w="1960" w:type="dxa"/>
            <w:vAlign w:val="bottom"/>
          </w:tcPr>
          <w:p>
            <w:pPr>
              <w:jc w:val="right"/>
              <w:ind w:right="454"/>
              <w:spacing w:after="0"/>
              <w:rPr>
                <w:sz w:val="20"/>
                <w:szCs w:val="20"/>
                <w:color w:val="auto"/>
              </w:rPr>
            </w:pPr>
            <w:r>
              <w:rPr>
                <w:rFonts w:ascii="Arial" w:cs="Arial" w:eastAsia="Arial" w:hAnsi="Arial"/>
                <w:sz w:val="18"/>
                <w:szCs w:val="18"/>
                <w:color w:val="auto"/>
              </w:rPr>
              <w:t>(22,440)</w:t>
            </w:r>
          </w:p>
        </w:tc>
        <w:tc>
          <w:tcPr>
            <w:tcW w:w="1080" w:type="dxa"/>
            <w:vAlign w:val="bottom"/>
          </w:tcPr>
          <w:p>
            <w:pPr>
              <w:jc w:val="right"/>
              <w:spacing w:after="0"/>
              <w:rPr>
                <w:sz w:val="20"/>
                <w:szCs w:val="20"/>
                <w:color w:val="auto"/>
              </w:rPr>
            </w:pPr>
            <w:r>
              <w:rPr>
                <w:rFonts w:ascii="Arial" w:cs="Arial" w:eastAsia="Arial" w:hAnsi="Arial"/>
                <w:sz w:val="18"/>
                <w:szCs w:val="18"/>
                <w:color w:val="auto"/>
              </w:rPr>
              <w:t>14,340</w:t>
            </w:r>
          </w:p>
        </w:tc>
      </w:tr>
      <w:tr>
        <w:trPr>
          <w:trHeight w:val="230"/>
        </w:trPr>
        <w:tc>
          <w:tcPr>
            <w:tcW w:w="6160" w:type="dxa"/>
            <w:vAlign w:val="bottom"/>
          </w:tcPr>
          <w:p>
            <w:pPr>
              <w:ind w:left="360"/>
              <w:spacing w:after="0"/>
              <w:rPr>
                <w:sz w:val="20"/>
                <w:szCs w:val="20"/>
                <w:color w:val="auto"/>
              </w:rPr>
            </w:pPr>
            <w:r>
              <w:rPr>
                <w:rFonts w:ascii="Arial" w:cs="Arial" w:eastAsia="Arial" w:hAnsi="Arial"/>
                <w:sz w:val="18"/>
                <w:szCs w:val="18"/>
                <w:color w:val="auto"/>
              </w:rPr>
              <w:t>Impairments</w:t>
            </w:r>
          </w:p>
        </w:tc>
        <w:tc>
          <w:tcPr>
            <w:tcW w:w="1600" w:type="dxa"/>
            <w:vAlign w:val="bottom"/>
          </w:tcPr>
          <w:p>
            <w:pPr>
              <w:jc w:val="right"/>
              <w:ind w:right="72"/>
              <w:spacing w:after="0"/>
              <w:rPr>
                <w:sz w:val="20"/>
                <w:szCs w:val="20"/>
                <w:color w:val="auto"/>
              </w:rPr>
            </w:pPr>
            <w:r>
              <w:rPr>
                <w:rFonts w:ascii="Arial" w:cs="Arial" w:eastAsia="Arial" w:hAnsi="Arial"/>
                <w:sz w:val="18"/>
                <w:szCs w:val="18"/>
                <w:color w:val="auto"/>
              </w:rPr>
              <w:t>(752)</w:t>
            </w:r>
          </w:p>
        </w:tc>
        <w:tc>
          <w:tcPr>
            <w:tcW w:w="1960" w:type="dxa"/>
            <w:vAlign w:val="bottom"/>
          </w:tcPr>
          <w:p>
            <w:pPr>
              <w:jc w:val="right"/>
              <w:ind w:right="454"/>
              <w:spacing w:after="0"/>
              <w:rPr>
                <w:sz w:val="20"/>
                <w:szCs w:val="20"/>
                <w:color w:val="auto"/>
              </w:rPr>
            </w:pPr>
            <w:r>
              <w:rPr>
                <w:rFonts w:ascii="Arial" w:cs="Arial" w:eastAsia="Arial" w:hAnsi="Arial"/>
                <w:sz w:val="18"/>
                <w:szCs w:val="18"/>
                <w:color w:val="auto"/>
              </w:rPr>
              <w:t>(20,060)</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160" w:type="dxa"/>
            <w:vAlign w:val="bottom"/>
          </w:tcPr>
          <w:p>
            <w:pPr>
              <w:ind w:left="360"/>
              <w:spacing w:after="0"/>
              <w:rPr>
                <w:sz w:val="20"/>
                <w:szCs w:val="20"/>
                <w:color w:val="auto"/>
              </w:rPr>
            </w:pPr>
            <w:r>
              <w:rPr>
                <w:rFonts w:ascii="Arial" w:cs="Arial" w:eastAsia="Arial" w:hAnsi="Arial"/>
                <w:sz w:val="18"/>
                <w:szCs w:val="18"/>
                <w:color w:val="auto"/>
              </w:rPr>
              <w:t>Gain/(loss) on sale of assets</w:t>
            </w:r>
          </w:p>
        </w:tc>
        <w:tc>
          <w:tcPr>
            <w:tcW w:w="1600" w:type="dxa"/>
            <w:vAlign w:val="bottom"/>
          </w:tcPr>
          <w:p>
            <w:pPr>
              <w:jc w:val="right"/>
              <w:ind w:right="112"/>
              <w:spacing w:after="0"/>
              <w:rPr>
                <w:sz w:val="20"/>
                <w:szCs w:val="20"/>
                <w:color w:val="auto"/>
              </w:rPr>
            </w:pPr>
            <w:r>
              <w:rPr>
                <w:rFonts w:ascii="Arial" w:cs="Arial" w:eastAsia="Arial" w:hAnsi="Arial"/>
                <w:sz w:val="18"/>
                <w:szCs w:val="18"/>
                <w:color w:val="auto"/>
              </w:rPr>
              <w:t>1,081</w:t>
            </w:r>
          </w:p>
        </w:tc>
        <w:tc>
          <w:tcPr>
            <w:tcW w:w="1960" w:type="dxa"/>
            <w:vAlign w:val="bottom"/>
          </w:tcPr>
          <w:p>
            <w:pPr>
              <w:jc w:val="center"/>
              <w:ind w:left="534"/>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3,655</w:t>
            </w:r>
          </w:p>
        </w:tc>
      </w:tr>
      <w:tr>
        <w:trPr>
          <w:trHeight w:val="229"/>
        </w:trPr>
        <w:tc>
          <w:tcPr>
            <w:tcW w:w="6160" w:type="dxa"/>
            <w:vAlign w:val="bottom"/>
          </w:tcPr>
          <w:p>
            <w:pPr>
              <w:ind w:left="360"/>
              <w:spacing w:after="0"/>
              <w:rPr>
                <w:sz w:val="20"/>
                <w:szCs w:val="20"/>
                <w:color w:val="auto"/>
              </w:rPr>
            </w:pPr>
            <w:r>
              <w:rPr>
                <w:rFonts w:ascii="Arial" w:cs="Arial" w:eastAsia="Arial" w:hAnsi="Arial"/>
                <w:sz w:val="18"/>
                <w:szCs w:val="18"/>
                <w:color w:val="auto"/>
              </w:rPr>
              <w:t>Inventory valuation - lower of cost or market</w:t>
            </w:r>
          </w:p>
        </w:tc>
        <w:tc>
          <w:tcPr>
            <w:tcW w:w="16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960" w:type="dxa"/>
            <w:vAlign w:val="bottom"/>
          </w:tcPr>
          <w:p>
            <w:pPr>
              <w:jc w:val="right"/>
              <w:ind w:right="454"/>
              <w:spacing w:after="0"/>
              <w:rPr>
                <w:sz w:val="20"/>
                <w:szCs w:val="20"/>
                <w:color w:val="auto"/>
              </w:rPr>
            </w:pPr>
            <w:r>
              <w:rPr>
                <w:rFonts w:ascii="Arial" w:cs="Arial" w:eastAsia="Arial" w:hAnsi="Arial"/>
                <w:sz w:val="18"/>
                <w:szCs w:val="18"/>
                <w:color w:val="auto"/>
              </w:rPr>
              <w:t>(61)</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160" w:type="dxa"/>
            <w:vAlign w:val="bottom"/>
          </w:tcPr>
          <w:p>
            <w:pPr>
              <w:ind w:left="360"/>
              <w:spacing w:after="0"/>
              <w:rPr>
                <w:sz w:val="20"/>
                <w:szCs w:val="20"/>
                <w:color w:val="auto"/>
              </w:rPr>
            </w:pPr>
            <w:r>
              <w:rPr>
                <w:rFonts w:ascii="Arial" w:cs="Arial" w:eastAsia="Arial" w:hAnsi="Arial"/>
                <w:sz w:val="18"/>
                <w:szCs w:val="18"/>
                <w:color w:val="auto"/>
              </w:rPr>
              <w:t>Tax-related items</w:t>
            </w:r>
          </w:p>
        </w:tc>
        <w:tc>
          <w:tcPr>
            <w:tcW w:w="16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960" w:type="dxa"/>
            <w:vAlign w:val="bottom"/>
          </w:tcPr>
          <w:p>
            <w:pPr>
              <w:jc w:val="right"/>
              <w:ind w:right="454"/>
              <w:spacing w:after="0"/>
              <w:rPr>
                <w:sz w:val="20"/>
                <w:szCs w:val="20"/>
                <w:color w:val="auto"/>
              </w:rPr>
            </w:pPr>
            <w:r>
              <w:rPr>
                <w:rFonts w:ascii="Arial" w:cs="Arial" w:eastAsia="Arial" w:hAnsi="Arial"/>
                <w:sz w:val="18"/>
                <w:szCs w:val="18"/>
                <w:color w:val="auto"/>
              </w:rPr>
              <w:t>(581)</w:t>
            </w:r>
          </w:p>
        </w:tc>
        <w:tc>
          <w:tcPr>
            <w:tcW w:w="1080" w:type="dxa"/>
            <w:vAlign w:val="bottom"/>
          </w:tcPr>
          <w:p>
            <w:pPr>
              <w:jc w:val="right"/>
              <w:spacing w:after="0"/>
              <w:rPr>
                <w:sz w:val="20"/>
                <w:szCs w:val="20"/>
                <w:color w:val="auto"/>
              </w:rPr>
            </w:pPr>
            <w:r>
              <w:rPr>
                <w:rFonts w:ascii="Arial" w:cs="Arial" w:eastAsia="Arial" w:hAnsi="Arial"/>
                <w:sz w:val="18"/>
                <w:szCs w:val="18"/>
                <w:color w:val="auto"/>
              </w:rPr>
              <w:t>1,080</w:t>
            </w:r>
          </w:p>
        </w:tc>
      </w:tr>
      <w:tr>
        <w:trPr>
          <w:trHeight w:val="229"/>
        </w:trPr>
        <w:tc>
          <w:tcPr>
            <w:tcW w:w="6160" w:type="dxa"/>
            <w:vAlign w:val="bottom"/>
          </w:tcPr>
          <w:p>
            <w:pPr>
              <w:ind w:left="360"/>
              <w:spacing w:after="0"/>
              <w:rPr>
                <w:sz w:val="20"/>
                <w:szCs w:val="20"/>
                <w:color w:val="auto"/>
              </w:rPr>
            </w:pPr>
            <w:r>
              <w:rPr>
                <w:rFonts w:ascii="Arial" w:cs="Arial" w:eastAsia="Arial" w:hAnsi="Arial"/>
                <w:sz w:val="18"/>
                <w:szCs w:val="18"/>
                <w:color w:val="auto"/>
              </w:rPr>
              <w:t>Severance charges</w:t>
            </w:r>
          </w:p>
        </w:tc>
        <w:tc>
          <w:tcPr>
            <w:tcW w:w="1600" w:type="dxa"/>
            <w:vAlign w:val="bottom"/>
          </w:tcPr>
          <w:p>
            <w:pPr>
              <w:jc w:val="right"/>
              <w:ind w:right="72"/>
              <w:spacing w:after="0"/>
              <w:rPr>
                <w:sz w:val="20"/>
                <w:szCs w:val="20"/>
                <w:color w:val="auto"/>
              </w:rPr>
            </w:pPr>
            <w:r>
              <w:rPr>
                <w:rFonts w:ascii="Arial" w:cs="Arial" w:eastAsia="Arial" w:hAnsi="Arial"/>
                <w:sz w:val="18"/>
                <w:szCs w:val="18"/>
                <w:color w:val="auto"/>
              </w:rPr>
              <w:t>(52)</w:t>
            </w:r>
          </w:p>
        </w:tc>
        <w:tc>
          <w:tcPr>
            <w:tcW w:w="1960" w:type="dxa"/>
            <w:vAlign w:val="bottom"/>
          </w:tcPr>
          <w:p>
            <w:pPr>
              <w:jc w:val="right"/>
              <w:ind w:right="454"/>
              <w:spacing w:after="0"/>
              <w:rPr>
                <w:sz w:val="20"/>
                <w:szCs w:val="20"/>
                <w:color w:val="auto"/>
              </w:rPr>
            </w:pPr>
            <w:r>
              <w:rPr>
                <w:rFonts w:ascii="Arial" w:cs="Arial" w:eastAsia="Arial" w:hAnsi="Arial"/>
                <w:sz w:val="18"/>
                <w:szCs w:val="18"/>
                <w:color w:val="auto"/>
              </w:rPr>
              <w:t>(326)</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160" w:type="dxa"/>
            <w:vAlign w:val="bottom"/>
          </w:tcPr>
          <w:p>
            <w:pPr>
              <w:ind w:left="360"/>
              <w:spacing w:after="0"/>
              <w:rPr>
                <w:sz w:val="20"/>
                <w:szCs w:val="20"/>
                <w:color w:val="auto"/>
              </w:rPr>
            </w:pPr>
            <w:r>
              <w:rPr>
                <w:rFonts w:ascii="Arial" w:cs="Arial" w:eastAsia="Arial" w:hAnsi="Arial"/>
                <w:sz w:val="18"/>
                <w:szCs w:val="18"/>
                <w:color w:val="auto"/>
              </w:rPr>
              <w:t>Contractual provisions</w:t>
            </w:r>
          </w:p>
        </w:tc>
        <w:tc>
          <w:tcPr>
            <w:tcW w:w="16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(250)</w:t>
            </w:r>
          </w:p>
        </w:tc>
        <w:tc>
          <w:tcPr>
            <w:tcW w:w="1960" w:type="dxa"/>
            <w:vAlign w:val="bottom"/>
            <w:tcBorders>
              <w:bottom w:val="single" w:sz="8" w:color="auto"/>
            </w:tcBorders>
          </w:tcPr>
          <w:p>
            <w:pPr>
              <w:jc w:val="center"/>
              <w:ind w:left="534"/>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160" w:type="dxa"/>
            <w:vAlign w:val="bottom"/>
          </w:tcPr>
          <w:p>
            <w:pPr>
              <w:ind w:left="20"/>
              <w:spacing w:after="0"/>
              <w:rPr>
                <w:sz w:val="20"/>
                <w:szCs w:val="20"/>
                <w:color w:val="auto"/>
              </w:rPr>
            </w:pPr>
            <w:r>
              <w:rPr>
                <w:rFonts w:ascii="Arial" w:cs="Arial" w:eastAsia="Arial" w:hAnsi="Arial"/>
                <w:sz w:val="18"/>
                <w:szCs w:val="18"/>
                <w:color w:val="auto"/>
              </w:rPr>
              <w:t>Identified Items</w:t>
            </w:r>
          </w:p>
        </w:tc>
        <w:tc>
          <w:tcPr>
            <w:tcW w:w="16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27</w:t>
            </w:r>
          </w:p>
        </w:tc>
        <w:tc>
          <w:tcPr>
            <w:tcW w:w="1960" w:type="dxa"/>
            <w:vAlign w:val="bottom"/>
            <w:tcBorders>
              <w:bottom w:val="single" w:sz="8" w:color="auto"/>
            </w:tcBorders>
          </w:tcPr>
          <w:p>
            <w:pPr>
              <w:jc w:val="right"/>
              <w:ind w:right="454"/>
              <w:spacing w:after="0"/>
              <w:rPr>
                <w:sz w:val="20"/>
                <w:szCs w:val="20"/>
                <w:color w:val="auto"/>
              </w:rPr>
            </w:pPr>
            <w:r>
              <w:rPr>
                <w:rFonts w:ascii="Arial" w:cs="Arial" w:eastAsia="Arial" w:hAnsi="Arial"/>
                <w:sz w:val="18"/>
                <w:szCs w:val="18"/>
                <w:color w:val="auto"/>
              </w:rPr>
              <w:t>(21,028)</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4,735</w:t>
            </w:r>
          </w:p>
        </w:tc>
      </w:tr>
      <w:tr>
        <w:trPr>
          <w:trHeight w:val="223"/>
        </w:trPr>
        <w:tc>
          <w:tcPr>
            <w:tcW w:w="6160" w:type="dxa"/>
            <w:vAlign w:val="bottom"/>
          </w:tcPr>
          <w:p>
            <w:pPr>
              <w:ind w:left="20"/>
              <w:spacing w:after="0"/>
              <w:rPr>
                <w:sz w:val="20"/>
                <w:szCs w:val="20"/>
                <w:color w:val="auto"/>
              </w:rPr>
            </w:pPr>
            <w:r>
              <w:rPr>
                <w:rFonts w:ascii="Arial" w:cs="Arial" w:eastAsia="Arial" w:hAnsi="Arial"/>
                <w:sz w:val="18"/>
                <w:szCs w:val="18"/>
                <w:color w:val="auto"/>
              </w:rPr>
              <w:t>Earnings (loss) excluding Identified Items</w:t>
            </w:r>
          </w:p>
        </w:tc>
        <w:tc>
          <w:tcPr>
            <w:tcW w:w="16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23,013</w:t>
            </w:r>
          </w:p>
        </w:tc>
        <w:tc>
          <w:tcPr>
            <w:tcW w:w="1960" w:type="dxa"/>
            <w:vAlign w:val="bottom"/>
            <w:tcBorders>
              <w:bottom w:val="single" w:sz="8" w:color="auto"/>
            </w:tcBorders>
          </w:tcPr>
          <w:p>
            <w:pPr>
              <w:jc w:val="right"/>
              <w:ind w:right="454"/>
              <w:spacing w:after="0"/>
              <w:rPr>
                <w:sz w:val="20"/>
                <w:szCs w:val="20"/>
                <w:color w:val="auto"/>
              </w:rPr>
            </w:pPr>
            <w:r>
              <w:rPr>
                <w:rFonts w:ascii="Arial" w:cs="Arial" w:eastAsia="Arial" w:hAnsi="Arial"/>
                <w:sz w:val="18"/>
                <w:szCs w:val="18"/>
                <w:color w:val="auto"/>
              </w:rPr>
              <w:t>(1,412)</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9,605</w:t>
            </w:r>
          </w:p>
        </w:tc>
      </w:tr>
    </w:tbl>
    <w:p>
      <w:pPr>
        <w:spacing w:after="0" w:line="3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References in Frequently Used Terms and Management's Discussion &amp; Analysis to total corporate earnings (loss) mean net income (loss) attributable to ExxonMobil from the Consolidated Statement of Income. Unless otherwise indicated, references to earnings (loss), Upstream, Downstream, Chemical and Corporate and Financing earnings (loss), and earnings (loss) per share are ExxonMobil’s share after excluding amounts attributable to noncontrolling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43" w:name="page44"/>
    <w:bookmarkEnd w:id="43"/>
    <w:p>
      <w:pPr>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54"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Outlooks, projections, goals, targets, descriptions of strategic plans and objectives, and other statements of future events or conditions in this release are forward-looking statements. Similarly, emission-reduction roadmaps are dependent on future market factors, such as continued technological progress and policy support, and also represent forward-looking statements. Actual future results, including future energy demand and mix; financial and operating performance; realized price and margins; dividends and shareholder returns, including the timing and amounts of share repurchases; volume growth; project plans, timing, costs, and capacities; capital expenditures, including lower-emissions and environmental expenditures; cost reductions and structural cost savings; integration benefits; emission intensity and absolute emissions reductions; achievement of ambitions to reach Scope 1 and Scope 2 net-zero from operated assets by 2050, to reduce methane emissions and flaring, or to complete major asset emission reduction roadmaps; implementation and outcomes of carbon capture and storage projects and infrastructure, renewable fuel projects, blue hydrogen projects, and other technology efforts; the impact of new technologies on society and industry; capital expenditures and mix; investment returns; accounting and financial reporting effects resulting from market or regulatory developments and ExxonMobil’s responsive actions, including potential impairment charges; and the outcome of litigation and tax contingencies, could differ materially due to a number of factors. These include global or regional changes in the supply and demand for oil, natural gas, petrochemicals, and feedstocks and other market or economic conditions that impact demand, prices and differentials; policy and consumer support for lower-emission products and technologies in different jurisdictions; the impact of company actions to protect the health and safety of employees, vendors, customers, and communities; actions of competitors and commercial counterparties; the ability to access short- and long-term debt markets on a timely and affordable basis; the severity, length and ultimate impact of COVID-19 variants and government responses on people and economies; reservoir performance; the outcome of exploration projects and timely completion of development and construction projects; regulatory actions targeting public companies in the oil and gas industry; changes in local, national, or international law, taxes, regulation or policies affecting our business, including environmental regulations and timely granting of governmental permits; war, trade agreements and patterns, shipping blockades or harassment, and other political or security disturbances; the pace of regional and global economic recovery from the pandemic and the occurrence and severity of future outbreaks; opportunities for and regulatory approval of potential investments or divestments; the actions of competitors; the capture of efficiencies within and between business lines and the ability to maintain near-term cost reductions as ongoing efficiencies while maintaining future competitive positioning; unforeseen technical or operating difficulties; the development and competitiveness of alternative energy and emission reduction technologies; the results of research programs; the ability to bring new technologies to commercial scale on a cost-competitive basis; general economic conditions including the occurrence and duration of economic recessions; and other factors discussed under Item 1A. Risk Factors.</w:t>
      </w:r>
    </w:p>
    <w:p>
      <w:pPr>
        <w:spacing w:after="0" w:line="6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Energy demand models are forward-looking by nature and aim to replicate system dynamics of the global energy system, requiring simplifications. The reference to any scenario in this report, including any potential net-zero scenarios, does not imply ExxonMobil views any particular scenario as likely to occur. In addition, energy demand scenarios require assumptions on a variety of parameters. As such, the outcome of any given scenario using an energy demand model comes with a high degree of uncertainty. For example, the IEA describes its NZE scenario as extremely challenging, requiring unprecedented innovation, unprecedented international cooperation and sustained support and participation from consumers. Third-party scenarios discussed in this report reflect the modeling assumptions and outputs of their respective authors, not ExxonMobil, and their use by ExxonMobil is not an endorsement by ExxonMobil of their underlying assumptions, likelihood or probability. Investment decisions are made on the basis of ExxonMobil’s separate planning process, but may be secondarily tested for robustness or resiliency against different assumptions, including against various scenarios. Any use of the modeling of a third-party organization within this report does not constitute or imply an endorsement by ExxonMobil of any or all of the positions or activities of such organization.</w:t>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4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following discussion and analysis of ExxonMobil’s financial results, as well as the accompanying financial statements and related notes to consolidated financial statements to which they refer, are the responsibility of the management of Exxon Mobil Corporation. The Corporation’s accounting and financial reporting fairly reflect its integrated business model involving exploration for, and production of, crude oil and natural gas, manufacture, trade, transport and sale of crude oil, natural gas, petroleum products, petrochemicals and a wide variety of specialty products; and pursuit of lower-emission business opportunities including carbon capture and storage, hydrogen, and biofuels. ExxonMobil's operating segments are Upstream, Downstream, and Chemical. Where applicable ExxonMobil voluntarily discloses additional U.S., Non-U.S. and regional splits to help investors better understand the company's operations.</w:t>
      </w:r>
    </w:p>
    <w:p>
      <w:pPr>
        <w:spacing w:after="0" w:line="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January 2022, the Corporation announced that effective April 2022 it is streamlining its business structure by combining the Chemical and Downstream businesses. The company will be organized along three businesses – Upstream, Product Solutions, and Low Carbon Solutions, aligning along market-focused value chains. Product Solutions will consist of Energy Products, Specialty Products and Chemical Products. Low Carbon Solutions will continue to be included in Corporate and Financing. The businesses will be supported by a combined technology organization, and other centralized service-delivery groups, building on the establishment of a worldwide major projects organization in 2019.</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44" w:name="page45"/>
    <w:bookmarkEnd w:id="44"/>
    <w:p>
      <w:pPr>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ExxonMobil, with its resource base, financial strength, disciplined investment approach and technology portfolio, is well-positioned to participate in substantial investments to develop new energy supplies. The company’s integrated business model, with significant investments in Upstream, Downstream and Chemical segments and Low Carbon Solutions business, generally reduces the Corporation’s risk from changes in commodity prices. While commodity prices depend on supply and demand and may be volatile on a short-term basis, ExxonMobil’s investment decisions are grounded on fundamentals reflected in our long-term business outlook, and use a disciplined approach in selecting and pursuing the most attractive investment opportunities. The corporate plan is a fundamental annual management process that is the basis for setting operating and capital objectives in addition to providing the economic assumptions used for investment evaluation purposes. The foundation for the assumptions supporting the corporate plan is the Energy Outlook and corporate plan volume projections are based on individual field production profiles, which are also updated at least annually. Price ranges for crude oil, natural gas, including price differentials, refinery and chemical margins, volumes, development and operating costs, including greenhouse gas emission prices, and foreign currency exchange rates are based on corporate plan assumptions developed annually by major region and are utilized for investment evaluation purposes. Major investment opportunities are evaluated over a range of potential market conditions. Once major investments are made, a reappraisal process is completed to ensure relevant lessons are learned and improvements are incorporated into future projects.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Business Outlook</w:t>
      </w:r>
    </w:p>
    <w:p>
      <w:pPr>
        <w:spacing w:after="0" w:line="9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ExxonMobil’s business planning is underpinned by a deep understanding of long-term energy fundamentals. These fundamentals include energy supply and demand trends, the scale and variety of energy needs worldwide; capability, practicality and affordability of energy alternatives including low-carbon solutions; greenhouse gas emission-reduction technologies; and supportive government policies. The company’s Energy Outlook (Outlook) considers these fundamentals to form the basis for the company’s long-term business planning, investment decisions, and research programs. The Outlook reflects the company’s view of global energy demand and supply through 2050. It is a projection based on current trends in technology, government policies, consumer preferences, geopolitics, and economic development. In addition, ExxonMobil considers a range of scenarios - including remote scenarios - to help inform perspective of the future and enhance strategic thinking over time. Included in the range of these scenarios are the Intergovernmental Panel on Climate Change Lower 2°C and the International Energy Agency's Net Zero Emissions (IEA NZE) by 2050 scenario. To effectively evaluate the pace of change, ExxonMobil uses many scenarios to help identify signposts that provide leading indicators of future developments and allow for timely adjustments to the Outlook. The IEA describes the IEA NZE as extremely challenging, requiring all stakeholders – governments, businesses, investors and citizens – to take action this year and every year after so that the goal does not slip out of reach. The scenario assumes unprecedented and sustained energy efficiency gains, innovation and technology transfer, lower-emission investments, and globally coordinated greenhouse gas reduction policy. The IEA acknowledges that society is not on the IEA NZE pathway.</w:t>
      </w:r>
    </w:p>
    <w:p>
      <w:pPr>
        <w:spacing w:after="0" w:line="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By 2050, the world’s population is projected at around 9.7 billion people, or about 2 billion more than in 2019. Coincident with this population increase, the Corporation expects worldwide economic growth to average close to 2.5 percent per year, with economic output growing by around 125 percent by 2050 compared to 2019. As economies and populations grow, and as living standards improve for billions of people, the need for energy is expected to continue to rise. Even with significant efficiency gains, global energy demand is projected to rise by almost 15 percent from 2019 to 2050. This increase in energy demand is expected to be driven by developing countries (i.e., those that are not member nations of the Organisation for Economic Co-operation and Development (OECD)).</w:t>
      </w:r>
    </w:p>
    <w:p>
      <w:pPr>
        <w:spacing w:after="0" w:line="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expanding prosperity drives global energy demand higher, increasing use of energy-efficient technologies and practices as well as lower-emission products will continue to help significantly reduce energy consumption and emissions per unit of economic output over time. Substantial efficiency gains are likely in all key aspects of the world’s economy through 2050, affecting energy requirements for power generation, transportation, industrial applications, and residential and commercial needs.</w:t>
      </w:r>
    </w:p>
    <w:p>
      <w:pPr>
        <w:spacing w:after="0" w:line="5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Under our Outlook, global electricity demand is expected to increase almost 75 percent from 2019 to 2050, with developing countries likely to account for about 80 percent of the increase. Consistent with this projection, power generation is expected to remain the largest and fastest growing major segment of global primary energy demand, supported by a wide variety of energy sources. The share of coal-fired generation is expected to decline substantially and approach 15 percent of the world’s electricity in 2050, versus nearly 35 percent in 2019, in part as a result of policies to improve air quality as well as reduce greenhouse gas emissions to address risks related to climate change. From 2019 to 2050, the amount of electricity supplied using natural gas, nuclear power, and renewables is expected to more than double, accounting for the entire growth in electricity supplies and offsetting the reduction of coal. Electricity from wind and solar is expected to increase more than 600 percent, helping total renewables (including other sources, e.g. hydropower) to account for about 80 percent of the increase in electricity supplies worldwide through 2050. Total renewables are expected to reach about 50 percent of global electricity supplies by 2050. Natural gas and nuclear are also expected to increase shares over the period to 2050, reaching more than 25 percent and about 10 percent of global electricity supplies, respectively, by 2050. Supplies of electricity by energy type will reflect significant differences across regions reflecting a wide range of factors including the cost and availability of various energy supplies and policy developments.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45" w:name="page46"/>
    <w:bookmarkEnd w:id="45"/>
    <w:p>
      <w:pPr>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Under our Outlook, energy for transportation - including cars, trucks, ships, trains and airplanes - is expected to increase by almost 25 percent from 2019 to 2050. Transportation energy demand is expected to account for over 40 percent of the growth in liquid fuels demand worldwide over this period. Light-duty vehicle demand for liquid fuels is projected to peak by around 2025 and then decline to levels seen in the early-2000s by 2050 as the impact of better fuel economy and significant growth in electric cars, led by China, Europe, and the United States, work to offset growth in the worldwide car fleet of about 75 percent. By 2050, light-duty vehicles are expected to account for around 15 percent of global liquid fuels demand. During the same time period, nearly all the world’s commercial transportation fleets are expected to continue to run on liquid fuels, including biofuels, which are widely available and offer practical advantages in providing a large quantity of energy in small volumes.</w:t>
      </w:r>
    </w:p>
    <w:p>
      <w:pPr>
        <w:spacing w:after="0" w:line="4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Liquid fuels provide the largest share of global energy supplies today reflecting broad-based availability, affordability, ease of transportation, and fitness as a practical solution to meet a wide variety of needs. By 2050, global demand for liquid fuels is projected to grow to approximately 114 million barrels of oil equivalent per day, an increase of about 14 percent from 2019. The non-OECD share of global liquid fuels demand is expected to increase to nearly 70 percent by 2050, as liquid fuels demand in the OECD is expected to decline by more than 20 percent. Much of the global liquid fuels demand today is met by crude production from traditional conventional sources; these supplies will remain important, and significant development activity is expected to offset much of the natural declines from these fields. At the same time, a variety of emerging supply sources - including tight oil, deepwater, oil sands, natural gas liquids and biofuels - are expected to grow to help meet rising demand. The world’s resource base is sufficient to meet projected demand through 2050 as technology advances continue to expand the availability of economic and lower-carbon supply options. However, timely investments will remain critical to meeting global needs with reliable and affordable supplies.</w:t>
      </w:r>
    </w:p>
    <w:p>
      <w:pPr>
        <w:spacing w:after="0" w:line="5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Natural gas is a lower-emission, versatile and practical fuel for a wide variety of applications, and it is expected to grow the most of any primary energy type from 2019 to 2050, meeting about 55 percent of global energy demand growth. Global natural gas demand is expected to rise nearly 35 percent from 2019 to 2050, with more than half of that increase coming from the Asia Pacific region. Significant growth in supplies of unconventional gas - the natural gas found in shale and other tight rock formations - will help meet these needs. In total, about 50 percent of the growth in natural gas supplies is expected to be from unconventional sources. At the same time, conventionally-produced natural gas is likely to remain the cornerstone of global supply, meeting more than two-thirds of worldwide demand in 2050. Liquefied natural gas (LNG) trade will expand significantly, meeting about 40 percent of the increase in global demand growth, with much of this supply expected to help meet rising demand in Asia Pacific.</w:t>
      </w:r>
    </w:p>
    <w:p>
      <w:pPr>
        <w:spacing w:after="0" w:line="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world’s energy mix is highly diverse and will remain so through 2050. Oil is expected to remain the largest source of energy with its share remaining close to 30 percent in 2050. Coal is currently the second largest source of energy, but it is expected to lose that position to natural gas in the next few years. The share of natural gas is expected to reach more than 25 percent by 2050, while the share of coal falls to about half that of natural gas. Nuclear power is projected to grow significantly, as many nations are likely to expand nuclear capacity to address rising electricity needs as well as energy security and environmental issues. Total renewable energy is expected to exceed 20 percent of global energy by 2050, with biomass, hydro and geothermal contributing a combined share of more than 10 percent. Total energy supplied from wind, solar and biofuels is expected to increase rapidly, growing over 420 percent from 2019 to 2050, when they are projected to be about 10 percent of the world energy mix.</w:t>
      </w:r>
    </w:p>
    <w:p>
      <w:pPr>
        <w:spacing w:after="0" w:line="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meet this projected demand under our Outlook, the Corporation anticipates that the world’s available oil and gas resource base will grow not only from new discoveries, but also from increases in previously discovered fields. Technology will underpin these increases. The investments to develop and supply resources to meet global demand through 2050 will be significant. This reflects a fundamental aspect of the oil and natural gas business as the International Energy Agency (IEA) describes in its World Energy Outlook 2021.</w:t>
      </w:r>
    </w:p>
    <w:p>
      <w:pPr>
        <w:spacing w:after="0" w:line="6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International accords and underlying regional and national regulations covering greenhouse gas emissions continue to evolve with uncertain timing and outcome, making it difficult to predict their business impact. For many years, the Corporation has taken into account policies established to reduce energy-related greenhouse gas emissions in its long-term Energy Outlook. The climate accord reached at the Conference of the Parties (COP 21) in Paris set many new goals, and many related policies are still emerging. Our Energy Outlook reflects an environment with increasingly stringent climate policies and is consistent with the global aggregation of Nationally Determined Contributions (NDCs), as available at the end of 2020, which were submitted by signatories to the United Nations Framework Convention on Climate Change (UNFCCC) 2015 Paris Agreement. Our Energy Outlook seeks to identify potential impacts of climate-related policies, which often target specific sectors. It estimates potential impacts of these policies on consumer energy demand by using various assumptions and tools - including, depending on the sector, and, as applicable, use of a proxy cost of carbon or assessment of targeted policies (e.g. automotive fuel economy standards). For purposes of the Energy Outlook, a proxy cost on energy-related CO2 emissions is assumed to reach about $100 per metric ton in 2050 in OECD nations. China and other leading non-OECD nations are expected to trail OECD policy initiatives. Nevertheless, as people and nations look for ways to reduce risks of global climate change, they will continue to need practical solutions that do not jeopardize the affordability or reliability of the energy they need. The Corporation continues to monitor the updates to the NDCs that nations provided around COP 26 in Glasgow in November 2021 as well as other policy developments in light of net-zero ambitions recently formulated by some nations.</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46" w:name="page47"/>
    <w:bookmarkEnd w:id="46"/>
    <w:p>
      <w:pPr>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provided in the Outlook includes ExxonMobil’s internal estimates and projections based upon internal data and analyses as well as publicly available information from external sources including the International Energy Agency.</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Leading the Drive to Net Zero</w:t>
      </w:r>
    </w:p>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plans to play a leading role in the energy transition by leveraging its core capabilities to meet society’s needs for products essential for modern life, while addressing the challenge of climate change.</w:t>
      </w:r>
    </w:p>
    <w:p>
      <w:pPr>
        <w:spacing w:after="0" w:line="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Corporation announced its ambition to achieve net-zero emissions from its operated assets by 2050 (Scope 1 and 2 greenhouse gas emissions) and is taking a comprehensive approach centered on developing detailed emission-reduction roadmaps for major operated assets. The company’s roadmap approach identifies greenhouse gas emission-reduction opportunities and the investment and future policy needs required to achieve net-zero. The roadmaps are tailored to account for facility configuration and maintenance schedules, and they will be updated as technologies and policies evolve. Net-zero roadmaps for major assets, covering about 90% of the company’s greenhouse gas emissions, are scheduled to be completed by year-end 2022, and the remainder in 2023.</w:t>
      </w:r>
    </w:p>
    <w:p>
      <w:pPr>
        <w:spacing w:after="0" w:line="3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strategy uses our advantages in scale, integration, technology and people to build globally competitive businesses that lead industry in earnings and cash flow growth across a broad range of scenarios. The company’s plans to reduce greenhouse gas emissions through 2030 compared to 2016 levels support its net-zero ambition. The plans are expected to result in a 20-30% reduction in corporate-wide greenhouse gas intensity, including reductions of 40-50% in upstream intensity, 70-80% in methane intensity and 60-70% in flaring intensity. These plans include actions that are expected to reduce absolute corporate-wide greenhouse gas emissions by approximately 20%, including an estimated 70% reduction in methane emissions, 60% reduction in flaring emissions and 30% reduction in upstream emissions.</w:t>
      </w:r>
    </w:p>
    <w:p>
      <w:pPr>
        <w:spacing w:after="0" w:line="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ExxonMobil established its Low Carbon Solutions business in early 2021, leveraging its unique combination of capabilities such as geophysics expertise and complex project management, to establish a new business in carbon capture and storage, hydrogen, and biofuels to accelerate emission reductions for customers and in its existing businesses.</w:t>
      </w:r>
    </w:p>
    <w:p>
      <w:pPr>
        <w:spacing w:after="0" w:line="2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Corporation plans to invest in initiatives to lower greenhouse gas emissions. A significant focus is on scaling up carbon capture and storage, hydrogen, and biofuels. Stronger policy further accelerates development and deployment of lower-emission technologies, and would provide ExxonMobil additional investment opportunities to reduce greenhouse gas emissions. The company's robust research and development process, continued evaluation of emerging technologies, and global collaborations will be key to identifying and growing lower-emission opportunities. During the start-up phase, the Low Carbon Solutions business will be reflected in Corporate and Financing.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Business Environment</w:t>
      </w:r>
    </w:p>
    <w:p>
      <w:pPr>
        <w:spacing w:after="0" w:line="1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early 2020, the balance of supply and demand for petroleum and petrochemical products experienced two significant disruptive effects. On the demand side, the COVID-19 pandemic spread rapidly through most areas of the world resulting in substantial reductions in consumer and business activity and significantly reduced demand for crude oil, natural gas, and petroleum products. This reduction in demand coincided with announcements of increased production in certain key oil-producing countries which led to increases in inventory levels and sharp declines in prices for crude oil, natural gas, and petroleum products.</w:t>
      </w:r>
    </w:p>
    <w:p>
      <w:pPr>
        <w:spacing w:after="0" w:line="2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Demand for petroleum and petrochemical products has continued to recover through 2021, with the Corporation's financial results benefiting from stronger prices and margins, notably prices for crude oil and natural gas as well as Chemical product margins. The rate and pace of recovery, however, has varied across geographies and business lines, with Downstream margins only reaching the lower end of the 10-year range late in 2021 and jet demand continuing to lag. The Corporation continues to closely monitor industry and economic conditions amid this uneven global recovery from the COVID-19 pandemic which has brought unprecedented uncertainties to near-term economic outlooks.</w:t>
      </w:r>
    </w:p>
    <w:p>
      <w:pPr>
        <w:spacing w:after="0" w:line="2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general rate of inflation across major countries of operation experienced a brief decline in the initial stage of the COVID-19 pandemic. However inflation rates increased in 2021 across major economies, with some regions experiencing multi-decade highs, largely reflecting overall imbalances between supply and demand recoveries from the pandemic. The underlying factors include, but are not limited to, global supply chain disruptions, shipping bottlenecks, labor market constraints, and side effects from monetary and fiscal expansions. The global economic recovery remains uneven, with uncertainties remaining. Prices for services and materials continue to evolve in response to fast-changing commodity markets, industry activities, as well as government policies, impacting operating and capital costs. The Corporation closely monitors market trends and works to mitigate cost impacts in all price environments through its economies of scale in global procurement, efficient project management practices, and general productivity improvements.</w:t>
      </w:r>
    </w:p>
    <w:p>
      <w:pPr>
        <w:spacing w:after="0" w:line="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Organizational changes implemented over the past several years enabled the Corporation to realize nearly $5 billion of structural cost savings</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versus 2019, leveraging increased operational efficiencies and reduced overhead costs. Included in these savings is the completion of the workforce reduction programs, announced in late 2020 and early 2021, which are estimated to generate savings of approximately $2 billion per year compared to 2019 from lower employee and contractor costs. The company continues to take actions to streamline its business structure to improve effectiveness and reduce costs. The changes more fully leverage global functional capabilities, improve line of sight to markets, and enhance resource allocation to the highest corporate priorities.</w:t>
      </w:r>
    </w:p>
    <w:p>
      <w:pPr>
        <w:spacing w:after="0"/>
        <w:rPr>
          <w:sz w:val="20"/>
          <w:szCs w:val="20"/>
          <w:color w:val="auto"/>
        </w:rPr>
      </w:pPr>
      <w:r>
        <w:rPr>
          <w:rFonts w:ascii="Arial" w:cs="Arial" w:eastAsia="Arial" w:hAnsi="Arial"/>
          <w:sz w:val="16"/>
          <w:szCs w:val="16"/>
          <w:i w:val="1"/>
          <w:iCs w:val="1"/>
          <w:color w:val="auto"/>
        </w:rPr>
        <w:t>(1) Refer to Frequently Used Terms for definition of structural cost savings.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47" w:name="page48"/>
    <w:bookmarkEnd w:id="47"/>
    <w:p>
      <w:pPr>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RESULTS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Upstream</w:t>
      </w:r>
    </w:p>
    <w:p>
      <w:pPr>
        <w:spacing w:after="0" w:line="94" w:lineRule="exact"/>
        <w:rPr>
          <w:sz w:val="20"/>
          <w:szCs w:val="20"/>
          <w:color w:val="auto"/>
        </w:rPr>
      </w:pPr>
    </w:p>
    <w:p>
      <w:pPr>
        <w:jc w:val="both"/>
        <w:spacing w:after="0"/>
        <w:rPr>
          <w:sz w:val="20"/>
          <w:szCs w:val="20"/>
          <w:color w:val="auto"/>
        </w:rPr>
      </w:pPr>
      <w:r>
        <w:rPr>
          <w:rFonts w:ascii="Arial" w:cs="Arial" w:eastAsia="Arial" w:hAnsi="Arial"/>
          <w:sz w:val="18"/>
          <w:szCs w:val="18"/>
          <w:color w:val="auto"/>
        </w:rPr>
        <w:t>ExxonMobil continues to sustain a diverse growth portfolio of exploration and development opportunities, which enables the Corporation to be selective, maximizing shareholder value and mitigating political and technical risks. ExxonMobil’s fundamental strategies guide our global Upstream business, including capturing material and accretive opportunities to continually high-grade the resource portfolio, selectively developing attractive oil and natural gas resources, developing and applying high-impact technologies, and pursuing productivity and efficiency gains as well as a reduction in greenhouse gas emissions. These strategies are underpinned by a relentless focus on operational excellence, development of our employees, and investment in the communities within which we operate.</w:t>
      </w:r>
    </w:p>
    <w:p>
      <w:pPr>
        <w:spacing w:after="0" w:line="5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As future development projects and drilling activities bring new production online, the Corporation expects a shift in the geographic mix and in the type of opportunities from which volumes are produced. Based on current investment plans, the proportion of oil-equivalent production from the Americas is generally expected to increase over the next several years. About half of the Corporation's global production comes from unconventional, deepwater and LNG resources. This proportion is generally expected to grow over the next few years.</w:t>
      </w:r>
    </w:p>
    <w:p>
      <w:pPr>
        <w:spacing w:after="0" w:line="6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Upstream capital program continues to prioritize low cost-of-supply opportunities. In addition to continued development of Guyana, Brazil, and the Permian Basin, ExxonMobil has a strong pipeline of development projects. Most notable are our LNG developments in Mozambique, Papua New Guinea, and the Golden Pass LNG facility.</w:t>
      </w:r>
    </w:p>
    <w:p>
      <w:pPr>
        <w:spacing w:after="0" w:line="60"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The Corporation anticipates several projects will come online over the next few years providing additional production capacity. However, actual volumes will vary from year to year due to the timing of individual project start-ups; operational outages; reservoir performance; performance of enhanced oil recovery projects; regulatory changes; the impact of fiscal and commercial terms; asset sales; weather events; price effects on production sharing contracts; changes in the amount and timing of capital investments that may vary depending on the oil and gas price environment; international trade patterns and relations; and other factors described in Item 1A. Risk Factors.</w:t>
      </w:r>
    </w:p>
    <w:p>
      <w:pPr>
        <w:spacing w:after="0" w:line="54"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ExxonMobil believes prices over the long term will continue to be driven by market supply and demand, with the demand side largely being a function of general economic activities, alternative energy sources, levels of prosperity, technology advances, consumer preference and government policies. On the supply side, prices may be significantly impacted by political events, the actions of OPEC and other large government resource owners, and other factors. To manage the risks associated with price, ExxonMobil tests the resiliency of its annual plans and major investments across a range of price scenarios.</w:t>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Recent Events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Significant progress was made on key new developments in Guyana, Brazil, the Permian Basin, and Mozambique during 2021.</w:t>
      </w:r>
    </w:p>
    <w:p>
      <w:pPr>
        <w:spacing w:after="0" w:line="86" w:lineRule="exact"/>
        <w:rPr>
          <w:sz w:val="20"/>
          <w:szCs w:val="20"/>
          <w:color w:val="auto"/>
        </w:rPr>
      </w:pPr>
    </w:p>
    <w:p>
      <w:pPr>
        <w:jc w:val="both"/>
        <w:spacing w:after="0" w:line="264" w:lineRule="auto"/>
        <w:rPr>
          <w:sz w:val="20"/>
          <w:szCs w:val="20"/>
          <w:color w:val="auto"/>
        </w:rPr>
      </w:pPr>
      <w:r>
        <w:rPr>
          <w:rFonts w:ascii="Arial" w:cs="Arial" w:eastAsia="Arial" w:hAnsi="Arial"/>
          <w:sz w:val="17"/>
          <w:szCs w:val="17"/>
          <w:b w:val="1"/>
          <w:bCs w:val="1"/>
          <w:color w:val="auto"/>
        </w:rPr>
        <w:t>Guyana</w:t>
      </w:r>
      <w:r>
        <w:rPr>
          <w:rFonts w:ascii="Arial" w:cs="Arial" w:eastAsia="Arial" w:hAnsi="Arial"/>
          <w:sz w:val="17"/>
          <w:szCs w:val="17"/>
          <w:color w:val="auto"/>
        </w:rPr>
        <w:t>: Exploration success continued with additional discoveries increasing the estimated recoverable resource on the Stabroek block. The Liza Unity</w:t>
      </w:r>
      <w:r>
        <w:rPr>
          <w:rFonts w:ascii="Arial" w:cs="Arial" w:eastAsia="Arial" w:hAnsi="Arial"/>
          <w:sz w:val="17"/>
          <w:szCs w:val="17"/>
          <w:b w:val="1"/>
          <w:bCs w:val="1"/>
          <w:color w:val="auto"/>
        </w:rPr>
        <w:t xml:space="preserve"> </w:t>
      </w:r>
      <w:r>
        <w:rPr>
          <w:rFonts w:ascii="Arial" w:cs="Arial" w:eastAsia="Arial" w:hAnsi="Arial"/>
          <w:sz w:val="17"/>
          <w:szCs w:val="17"/>
          <w:color w:val="auto"/>
        </w:rPr>
        <w:t>floating production, storage and offloading vessel arrived in Guyanese waters in late 2021 and started production in February 2022. In Payara, the third project, development drilling activities started in late 2021 and it remains on schedule for 2024 start-up. Yellowtail is the fourth and largest world-class development project and is expected to achieve first oil in 2025, following issuance of the production license.</w:t>
      </w:r>
    </w:p>
    <w:p>
      <w:pPr>
        <w:spacing w:after="0" w:line="44" w:lineRule="exact"/>
        <w:rPr>
          <w:sz w:val="20"/>
          <w:szCs w:val="20"/>
          <w:color w:val="auto"/>
        </w:rPr>
      </w:pPr>
    </w:p>
    <w:p>
      <w:pPr>
        <w:jc w:val="both"/>
        <w:spacing w:after="0" w:line="245" w:lineRule="auto"/>
        <w:rPr>
          <w:sz w:val="20"/>
          <w:szCs w:val="20"/>
          <w:color w:val="auto"/>
        </w:rPr>
      </w:pPr>
      <w:r>
        <w:rPr>
          <w:rFonts w:ascii="Arial" w:cs="Arial" w:eastAsia="Arial" w:hAnsi="Arial"/>
          <w:sz w:val="18"/>
          <w:szCs w:val="18"/>
          <w:b w:val="1"/>
          <w:bCs w:val="1"/>
          <w:color w:val="auto"/>
        </w:rPr>
        <w:t>Permian</w:t>
      </w:r>
      <w:r>
        <w:rPr>
          <w:rFonts w:ascii="Arial" w:cs="Arial" w:eastAsia="Arial" w:hAnsi="Arial"/>
          <w:sz w:val="18"/>
          <w:szCs w:val="18"/>
          <w:color w:val="auto"/>
        </w:rPr>
        <w:t>: Production volumes averaged about 460 thousand oil-equivalent barrels per day (koebd) in 2021, nearly 100 koebd year-on-year production</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 which exceeded expectations. The Corporation was successful in increasing drilling performance and continuing to improve capital efficiency. In December, ExxonMobil announced plans to achieve net-zero greenhouse gas emissions (Scope 1 and 2) by 2030 from our unconventional operations in the Permian Basin.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Brazil</w:t>
      </w:r>
      <w:r>
        <w:rPr>
          <w:rFonts w:ascii="Arial" w:cs="Arial" w:eastAsia="Arial" w:hAnsi="Arial"/>
          <w:sz w:val="17"/>
          <w:szCs w:val="17"/>
          <w:color w:val="auto"/>
        </w:rPr>
        <w:t>: ExxonMobil announced its Final Investment Decision for the Bacalhau Phase 1 development in June 2021 with start-up planned for 2024.</w:t>
      </w:r>
    </w:p>
    <w:p>
      <w:pPr>
        <w:spacing w:after="0" w:line="10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Mozambique</w:t>
      </w:r>
      <w:r>
        <w:rPr>
          <w:rFonts w:ascii="Arial" w:cs="Arial" w:eastAsia="Arial" w:hAnsi="Arial"/>
          <w:sz w:val="18"/>
          <w:szCs w:val="18"/>
          <w:color w:val="auto"/>
        </w:rPr>
        <w:t>: The Area 4 Coral South Floating LNG (FLNG) development continues as planned, targeting start-up in 2022, making Mozambique an LNG</w:t>
      </w:r>
      <w:r>
        <w:rPr>
          <w:rFonts w:ascii="Arial" w:cs="Arial" w:eastAsia="Arial" w:hAnsi="Arial"/>
          <w:sz w:val="18"/>
          <w:szCs w:val="18"/>
          <w:b w:val="1"/>
          <w:bCs w:val="1"/>
          <w:color w:val="auto"/>
        </w:rPr>
        <w:t xml:space="preserve"> </w:t>
      </w:r>
      <w:r>
        <w:rPr>
          <w:rFonts w:ascii="Arial" w:cs="Arial" w:eastAsia="Arial" w:hAnsi="Arial"/>
          <w:sz w:val="18"/>
          <w:szCs w:val="18"/>
          <w:color w:val="auto"/>
        </w:rPr>
        <w:t>exporter. The Coral Sul FLNG vessel began tow to field in November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48" w:name="page49"/>
    <w:bookmarkEnd w:id="48"/>
    <w:p>
      <w:pPr>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Upstream Financial Results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1360" w:type="dxa"/>
            <w:vAlign w:val="bottom"/>
          </w:tcPr>
          <w:p>
            <w:pPr>
              <w:jc w:val="right"/>
              <w:ind w:right="233"/>
              <w:spacing w:after="0"/>
              <w:rPr>
                <w:sz w:val="20"/>
                <w:szCs w:val="20"/>
                <w:color w:val="auto"/>
              </w:rPr>
            </w:pPr>
            <w:r>
              <w:rPr>
                <w:rFonts w:ascii="Arial" w:cs="Arial" w:eastAsia="Arial" w:hAnsi="Arial"/>
                <w:sz w:val="14"/>
                <w:szCs w:val="14"/>
                <w:b w:val="1"/>
                <w:bCs w:val="1"/>
                <w:color w:val="auto"/>
              </w:rPr>
              <w:t>2020</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r>
      <w:tr>
        <w:trPr>
          <w:trHeight w:val="39"/>
        </w:trPr>
        <w:tc>
          <w:tcPr>
            <w:tcW w:w="8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r>
      <w:tr>
        <w:trPr>
          <w:trHeight w:val="184"/>
        </w:trPr>
        <w:tc>
          <w:tcPr>
            <w:tcW w:w="8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360" w:type="dxa"/>
            <w:vAlign w:val="bottom"/>
          </w:tcPr>
          <w:p>
            <w:pPr>
              <w:jc w:val="right"/>
              <w:ind w:right="93"/>
              <w:spacing w:after="0"/>
              <w:rPr>
                <w:sz w:val="20"/>
                <w:szCs w:val="20"/>
                <w:color w:val="auto"/>
              </w:rPr>
            </w:pPr>
            <w:r>
              <w:rPr>
                <w:rFonts w:ascii="Arial" w:cs="Arial" w:eastAsia="Arial" w:hAnsi="Arial"/>
                <w:sz w:val="14"/>
                <w:szCs w:val="14"/>
                <w:i w:val="1"/>
                <w:iCs w:val="1"/>
                <w:color w:val="auto"/>
                <w:w w:val="99"/>
              </w:rPr>
              <w:t>(millions of dollars)</w:t>
            </w:r>
          </w:p>
        </w:tc>
        <w:tc>
          <w:tcPr>
            <w:tcW w:w="760" w:type="dxa"/>
            <w:vAlign w:val="bottom"/>
          </w:tcPr>
          <w:p>
            <w:pPr>
              <w:spacing w:after="0"/>
              <w:rPr>
                <w:sz w:val="16"/>
                <w:szCs w:val="16"/>
                <w:color w:val="auto"/>
              </w:rPr>
            </w:pPr>
          </w:p>
        </w:tc>
      </w:tr>
      <w:tr>
        <w:trPr>
          <w:trHeight w:val="268"/>
        </w:trPr>
        <w:tc>
          <w:tcPr>
            <w:tcW w:w="8180" w:type="dxa"/>
            <w:vAlign w:val="bottom"/>
          </w:tcPr>
          <w:p>
            <w:pPr>
              <w:ind w:left="20"/>
              <w:spacing w:after="0"/>
              <w:rPr>
                <w:sz w:val="20"/>
                <w:szCs w:val="20"/>
                <w:color w:val="auto"/>
              </w:rPr>
            </w:pPr>
            <w:r>
              <w:rPr>
                <w:rFonts w:ascii="Arial" w:cs="Arial" w:eastAsia="Arial" w:hAnsi="Arial"/>
                <w:sz w:val="18"/>
                <w:szCs w:val="18"/>
                <w:color w:val="auto"/>
              </w:rPr>
              <w:t>Earnings (loss) (U.S. GAAP)</w:t>
            </w:r>
          </w:p>
        </w:tc>
        <w:tc>
          <w:tcPr>
            <w:tcW w:w="9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229"/>
        </w:trPr>
        <w:tc>
          <w:tcPr>
            <w:tcW w:w="8180" w:type="dxa"/>
            <w:vAlign w:val="bottom"/>
          </w:tcPr>
          <w:p>
            <w:pPr>
              <w:ind w:left="440"/>
              <w:spacing w:after="0"/>
              <w:rPr>
                <w:sz w:val="20"/>
                <w:szCs w:val="20"/>
                <w:color w:val="auto"/>
              </w:rPr>
            </w:pPr>
            <w:r>
              <w:rPr>
                <w:rFonts w:ascii="Arial" w:cs="Arial" w:eastAsia="Arial" w:hAnsi="Arial"/>
                <w:sz w:val="18"/>
                <w:szCs w:val="18"/>
                <w:color w:val="auto"/>
              </w:rPr>
              <w:t>United States</w:t>
            </w:r>
          </w:p>
        </w:tc>
        <w:tc>
          <w:tcPr>
            <w:tcW w:w="940" w:type="dxa"/>
            <w:vAlign w:val="bottom"/>
          </w:tcPr>
          <w:p>
            <w:pPr>
              <w:jc w:val="right"/>
              <w:spacing w:after="0"/>
              <w:rPr>
                <w:sz w:val="20"/>
                <w:szCs w:val="20"/>
                <w:color w:val="auto"/>
              </w:rPr>
            </w:pPr>
            <w:r>
              <w:rPr>
                <w:rFonts w:ascii="Arial" w:cs="Arial" w:eastAsia="Arial" w:hAnsi="Arial"/>
                <w:sz w:val="18"/>
                <w:szCs w:val="18"/>
                <w:color w:val="auto"/>
              </w:rPr>
              <w:t>3,663</w:t>
            </w:r>
          </w:p>
        </w:tc>
        <w:tc>
          <w:tcPr>
            <w:tcW w:w="1360" w:type="dxa"/>
            <w:vAlign w:val="bottom"/>
          </w:tcPr>
          <w:p>
            <w:pPr>
              <w:jc w:val="right"/>
              <w:ind w:right="233"/>
              <w:spacing w:after="0"/>
              <w:rPr>
                <w:sz w:val="20"/>
                <w:szCs w:val="20"/>
                <w:color w:val="auto"/>
              </w:rPr>
            </w:pPr>
            <w:r>
              <w:rPr>
                <w:rFonts w:ascii="Arial" w:cs="Arial" w:eastAsia="Arial" w:hAnsi="Arial"/>
                <w:sz w:val="18"/>
                <w:szCs w:val="18"/>
                <w:color w:val="auto"/>
              </w:rPr>
              <w:t>(19,385)</w:t>
            </w:r>
          </w:p>
        </w:tc>
        <w:tc>
          <w:tcPr>
            <w:tcW w:w="760" w:type="dxa"/>
            <w:vAlign w:val="bottom"/>
          </w:tcPr>
          <w:p>
            <w:pPr>
              <w:jc w:val="right"/>
              <w:spacing w:after="0"/>
              <w:rPr>
                <w:sz w:val="20"/>
                <w:szCs w:val="20"/>
                <w:color w:val="auto"/>
              </w:rPr>
            </w:pPr>
            <w:r>
              <w:rPr>
                <w:rFonts w:ascii="Arial" w:cs="Arial" w:eastAsia="Arial" w:hAnsi="Arial"/>
                <w:sz w:val="18"/>
                <w:szCs w:val="18"/>
                <w:color w:val="auto"/>
              </w:rPr>
              <w:t>536</w:t>
            </w:r>
          </w:p>
        </w:tc>
      </w:tr>
      <w:tr>
        <w:trPr>
          <w:trHeight w:val="230"/>
        </w:trPr>
        <w:tc>
          <w:tcPr>
            <w:tcW w:w="8180" w:type="dxa"/>
            <w:vAlign w:val="bottom"/>
          </w:tcPr>
          <w:p>
            <w:pPr>
              <w:ind w:left="440"/>
              <w:spacing w:after="0"/>
              <w:rPr>
                <w:sz w:val="20"/>
                <w:szCs w:val="20"/>
                <w:color w:val="auto"/>
              </w:rPr>
            </w:pPr>
            <w:r>
              <w:rPr>
                <w:rFonts w:ascii="Arial" w:cs="Arial" w:eastAsia="Arial" w:hAnsi="Arial"/>
                <w:sz w:val="18"/>
                <w:szCs w:val="18"/>
                <w:color w:val="auto"/>
              </w:rPr>
              <w:t>Non-U.S.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12,112</w:t>
            </w:r>
          </w:p>
        </w:tc>
        <w:tc>
          <w:tcPr>
            <w:tcW w:w="136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rPr>
              <w:t>(645)</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13,906</w:t>
            </w:r>
          </w:p>
        </w:tc>
      </w:tr>
      <w:tr>
        <w:trPr>
          <w:trHeight w:val="223"/>
        </w:trPr>
        <w:tc>
          <w:tcPr>
            <w:tcW w:w="8180" w:type="dxa"/>
            <w:vAlign w:val="bottom"/>
          </w:tcPr>
          <w:p>
            <w:pPr>
              <w:ind w:left="840"/>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15,775</w:t>
            </w:r>
          </w:p>
        </w:tc>
        <w:tc>
          <w:tcPr>
            <w:tcW w:w="136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rPr>
              <w:t>(20,030)</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14,442</w:t>
            </w:r>
          </w:p>
        </w:tc>
      </w:tr>
      <w:tr>
        <w:trPr>
          <w:trHeight w:val="209"/>
        </w:trPr>
        <w:tc>
          <w:tcPr>
            <w:tcW w:w="8180" w:type="dxa"/>
            <w:vAlign w:val="bottom"/>
          </w:tcPr>
          <w:p>
            <w:pPr>
              <w:ind w:left="20"/>
              <w:spacing w:after="0"/>
              <w:rPr>
                <w:sz w:val="20"/>
                <w:szCs w:val="20"/>
                <w:color w:val="auto"/>
              </w:rPr>
            </w:pPr>
            <w:r>
              <w:rPr>
                <w:rFonts w:ascii="Arial" w:cs="Arial" w:eastAsia="Arial" w:hAnsi="Arial"/>
                <w:sz w:val="18"/>
                <w:szCs w:val="18"/>
                <w:color w:val="auto"/>
              </w:rPr>
              <w:t xml:space="preserve">Identified Items </w:t>
            </w:r>
            <w:r>
              <w:rPr>
                <w:rFonts w:ascii="Arial" w:cs="Arial" w:eastAsia="Arial" w:hAnsi="Arial"/>
                <w:sz w:val="14"/>
                <w:szCs w:val="14"/>
                <w:i w:val="1"/>
                <w:iCs w:val="1"/>
                <w:color w:val="auto"/>
              </w:rPr>
              <w:t>(1)</w:t>
            </w:r>
          </w:p>
        </w:tc>
        <w:tc>
          <w:tcPr>
            <w:tcW w:w="9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29"/>
        </w:trPr>
        <w:tc>
          <w:tcPr>
            <w:tcW w:w="8180" w:type="dxa"/>
            <w:vAlign w:val="bottom"/>
          </w:tcPr>
          <w:p>
            <w:pPr>
              <w:ind w:left="440"/>
              <w:spacing w:after="0"/>
              <w:rPr>
                <w:sz w:val="20"/>
                <w:szCs w:val="20"/>
                <w:color w:val="auto"/>
              </w:rPr>
            </w:pPr>
            <w:r>
              <w:rPr>
                <w:rFonts w:ascii="Arial" w:cs="Arial" w:eastAsia="Arial" w:hAnsi="Arial"/>
                <w:sz w:val="18"/>
                <w:szCs w:val="18"/>
                <w:color w:val="auto"/>
              </w:rPr>
              <w:t>United States</w:t>
            </w:r>
          </w:p>
        </w:tc>
        <w:tc>
          <w:tcPr>
            <w:tcW w:w="940" w:type="dxa"/>
            <w:vAlign w:val="bottom"/>
          </w:tcPr>
          <w:p>
            <w:pPr>
              <w:jc w:val="right"/>
              <w:spacing w:after="0"/>
              <w:rPr>
                <w:sz w:val="20"/>
                <w:szCs w:val="20"/>
                <w:color w:val="auto"/>
              </w:rPr>
            </w:pPr>
            <w:r>
              <w:rPr>
                <w:rFonts w:ascii="Arial" w:cs="Arial" w:eastAsia="Arial" w:hAnsi="Arial"/>
                <w:sz w:val="18"/>
                <w:szCs w:val="18"/>
                <w:color w:val="auto"/>
              </w:rPr>
              <w:t>(263)</w:t>
            </w:r>
          </w:p>
        </w:tc>
        <w:tc>
          <w:tcPr>
            <w:tcW w:w="1360" w:type="dxa"/>
            <w:vAlign w:val="bottom"/>
          </w:tcPr>
          <w:p>
            <w:pPr>
              <w:jc w:val="right"/>
              <w:ind w:right="233"/>
              <w:spacing w:after="0"/>
              <w:rPr>
                <w:sz w:val="20"/>
                <w:szCs w:val="20"/>
                <w:color w:val="auto"/>
              </w:rPr>
            </w:pPr>
            <w:r>
              <w:rPr>
                <w:rFonts w:ascii="Arial" w:cs="Arial" w:eastAsia="Arial" w:hAnsi="Arial"/>
                <w:sz w:val="18"/>
                <w:szCs w:val="18"/>
                <w:color w:val="auto"/>
              </w:rPr>
              <w:t>(17,092)</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180" w:type="dxa"/>
            <w:vAlign w:val="bottom"/>
          </w:tcPr>
          <w:p>
            <w:pPr>
              <w:ind w:left="440"/>
              <w:spacing w:after="0"/>
              <w:rPr>
                <w:sz w:val="20"/>
                <w:szCs w:val="20"/>
                <w:color w:val="auto"/>
              </w:rPr>
            </w:pPr>
            <w:r>
              <w:rPr>
                <w:rFonts w:ascii="Arial" w:cs="Arial" w:eastAsia="Arial" w:hAnsi="Arial"/>
                <w:sz w:val="18"/>
                <w:szCs w:val="18"/>
                <w:color w:val="auto"/>
              </w:rPr>
              <w:t>Non-U.S.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w:t>
            </w:r>
          </w:p>
        </w:tc>
        <w:tc>
          <w:tcPr>
            <w:tcW w:w="136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rPr>
              <w:t>(2,602)</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4,434</w:t>
            </w:r>
          </w:p>
        </w:tc>
      </w:tr>
      <w:tr>
        <w:trPr>
          <w:trHeight w:val="223"/>
        </w:trPr>
        <w:tc>
          <w:tcPr>
            <w:tcW w:w="8180" w:type="dxa"/>
            <w:vAlign w:val="bottom"/>
          </w:tcPr>
          <w:p>
            <w:pPr>
              <w:ind w:left="840"/>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w:t>
            </w:r>
          </w:p>
        </w:tc>
        <w:tc>
          <w:tcPr>
            <w:tcW w:w="136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rPr>
              <w:t>(19,694)</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4,434</w:t>
            </w:r>
          </w:p>
        </w:tc>
      </w:tr>
      <w:tr>
        <w:trPr>
          <w:trHeight w:val="209"/>
        </w:trPr>
        <w:tc>
          <w:tcPr>
            <w:tcW w:w="8180" w:type="dxa"/>
            <w:vAlign w:val="bottom"/>
          </w:tcPr>
          <w:p>
            <w:pPr>
              <w:ind w:left="20"/>
              <w:spacing w:after="0"/>
              <w:rPr>
                <w:sz w:val="20"/>
                <w:szCs w:val="20"/>
                <w:color w:val="auto"/>
              </w:rPr>
            </w:pPr>
            <w:r>
              <w:rPr>
                <w:rFonts w:ascii="Arial" w:cs="Arial" w:eastAsia="Arial" w:hAnsi="Arial"/>
                <w:sz w:val="18"/>
                <w:szCs w:val="18"/>
                <w:color w:val="auto"/>
              </w:rPr>
              <w:t xml:space="preserve">Earnings (loss) excluding Identified Items </w:t>
            </w:r>
            <w:r>
              <w:rPr>
                <w:rFonts w:ascii="Arial" w:cs="Arial" w:eastAsia="Arial" w:hAnsi="Arial"/>
                <w:sz w:val="14"/>
                <w:szCs w:val="14"/>
                <w:i w:val="1"/>
                <w:iCs w:val="1"/>
                <w:color w:val="auto"/>
              </w:rPr>
              <w:t>(1)</w:t>
            </w:r>
          </w:p>
        </w:tc>
        <w:tc>
          <w:tcPr>
            <w:tcW w:w="9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30"/>
        </w:trPr>
        <w:tc>
          <w:tcPr>
            <w:tcW w:w="8180" w:type="dxa"/>
            <w:vAlign w:val="bottom"/>
          </w:tcPr>
          <w:p>
            <w:pPr>
              <w:ind w:left="440"/>
              <w:spacing w:after="0"/>
              <w:rPr>
                <w:sz w:val="20"/>
                <w:szCs w:val="20"/>
                <w:color w:val="auto"/>
              </w:rPr>
            </w:pPr>
            <w:r>
              <w:rPr>
                <w:rFonts w:ascii="Arial" w:cs="Arial" w:eastAsia="Arial" w:hAnsi="Arial"/>
                <w:sz w:val="18"/>
                <w:szCs w:val="18"/>
                <w:color w:val="auto"/>
              </w:rPr>
              <w:t>United States</w:t>
            </w:r>
          </w:p>
        </w:tc>
        <w:tc>
          <w:tcPr>
            <w:tcW w:w="940" w:type="dxa"/>
            <w:vAlign w:val="bottom"/>
          </w:tcPr>
          <w:p>
            <w:pPr>
              <w:jc w:val="right"/>
              <w:spacing w:after="0"/>
              <w:rPr>
                <w:sz w:val="20"/>
                <w:szCs w:val="20"/>
                <w:color w:val="auto"/>
              </w:rPr>
            </w:pPr>
            <w:r>
              <w:rPr>
                <w:rFonts w:ascii="Arial" w:cs="Arial" w:eastAsia="Arial" w:hAnsi="Arial"/>
                <w:sz w:val="18"/>
                <w:szCs w:val="18"/>
                <w:color w:val="auto"/>
              </w:rPr>
              <w:t>3,926</w:t>
            </w:r>
          </w:p>
        </w:tc>
        <w:tc>
          <w:tcPr>
            <w:tcW w:w="1360" w:type="dxa"/>
            <w:vAlign w:val="bottom"/>
          </w:tcPr>
          <w:p>
            <w:pPr>
              <w:jc w:val="right"/>
              <w:ind w:right="233"/>
              <w:spacing w:after="0"/>
              <w:rPr>
                <w:sz w:val="20"/>
                <w:szCs w:val="20"/>
                <w:color w:val="auto"/>
              </w:rPr>
            </w:pPr>
            <w:r>
              <w:rPr>
                <w:rFonts w:ascii="Arial" w:cs="Arial" w:eastAsia="Arial" w:hAnsi="Arial"/>
                <w:sz w:val="18"/>
                <w:szCs w:val="18"/>
                <w:color w:val="auto"/>
              </w:rPr>
              <w:t>(2,293)</w:t>
            </w:r>
          </w:p>
        </w:tc>
        <w:tc>
          <w:tcPr>
            <w:tcW w:w="760" w:type="dxa"/>
            <w:vAlign w:val="bottom"/>
          </w:tcPr>
          <w:p>
            <w:pPr>
              <w:jc w:val="right"/>
              <w:spacing w:after="0"/>
              <w:rPr>
                <w:sz w:val="20"/>
                <w:szCs w:val="20"/>
                <w:color w:val="auto"/>
              </w:rPr>
            </w:pPr>
            <w:r>
              <w:rPr>
                <w:rFonts w:ascii="Arial" w:cs="Arial" w:eastAsia="Arial" w:hAnsi="Arial"/>
                <w:sz w:val="18"/>
                <w:szCs w:val="18"/>
                <w:color w:val="auto"/>
              </w:rPr>
              <w:t>536</w:t>
            </w:r>
          </w:p>
        </w:tc>
      </w:tr>
      <w:tr>
        <w:trPr>
          <w:trHeight w:val="230"/>
        </w:trPr>
        <w:tc>
          <w:tcPr>
            <w:tcW w:w="8180" w:type="dxa"/>
            <w:vAlign w:val="bottom"/>
          </w:tcPr>
          <w:p>
            <w:pPr>
              <w:ind w:left="440"/>
              <w:spacing w:after="0"/>
              <w:rPr>
                <w:sz w:val="20"/>
                <w:szCs w:val="20"/>
                <w:color w:val="auto"/>
              </w:rPr>
            </w:pPr>
            <w:r>
              <w:rPr>
                <w:rFonts w:ascii="Arial" w:cs="Arial" w:eastAsia="Arial" w:hAnsi="Arial"/>
                <w:sz w:val="18"/>
                <w:szCs w:val="18"/>
                <w:color w:val="auto"/>
              </w:rPr>
              <w:t>Non-U.S.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12,392</w:t>
            </w:r>
          </w:p>
        </w:tc>
        <w:tc>
          <w:tcPr>
            <w:tcW w:w="1360" w:type="dxa"/>
            <w:vAlign w:val="bottom"/>
            <w:tcBorders>
              <w:bottom w:val="single" w:sz="8" w:color="auto"/>
            </w:tcBorders>
          </w:tcPr>
          <w:p>
            <w:pPr>
              <w:jc w:val="right"/>
              <w:ind w:right="273"/>
              <w:spacing w:after="0"/>
              <w:rPr>
                <w:sz w:val="20"/>
                <w:szCs w:val="20"/>
                <w:color w:val="auto"/>
              </w:rPr>
            </w:pPr>
            <w:r>
              <w:rPr>
                <w:rFonts w:ascii="Arial" w:cs="Arial" w:eastAsia="Arial" w:hAnsi="Arial"/>
                <w:sz w:val="18"/>
                <w:szCs w:val="18"/>
                <w:color w:val="auto"/>
              </w:rPr>
              <w:t>1,957</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9,472</w:t>
            </w:r>
          </w:p>
        </w:tc>
      </w:tr>
      <w:tr>
        <w:trPr>
          <w:trHeight w:val="223"/>
        </w:trPr>
        <w:tc>
          <w:tcPr>
            <w:tcW w:w="8180" w:type="dxa"/>
            <w:vAlign w:val="bottom"/>
          </w:tcPr>
          <w:p>
            <w:pPr>
              <w:ind w:left="840"/>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16,318</w:t>
            </w:r>
          </w:p>
        </w:tc>
        <w:tc>
          <w:tcPr>
            <w:tcW w:w="136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rPr>
              <w:t>(336)</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10,008</w:t>
            </w: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Upstream Earnings Factor Analysis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(millions of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4286250" cy="180022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286250" cy="180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Price – Higher realizations increased earnings by $14,960 million.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Volume – Unfavorable volume and mix effects decreased earnings by $340 million.</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Other – All other items increased earnings by $2,040 million, primarily driven by lower expenses of $1,360 million and one-time favorable tax items.</w:t>
      </w:r>
    </w:p>
    <w:p>
      <w:pPr>
        <w:spacing w:after="0" w:line="7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 xml:space="preserve">Identified Items </w:t>
      </w:r>
      <w:r>
        <w:rPr>
          <w:rFonts w:ascii="Arial" w:cs="Arial" w:eastAsia="Arial" w:hAnsi="Arial"/>
          <w:sz w:val="13"/>
          <w:szCs w:val="13"/>
          <w:i w:val="1"/>
          <w:iCs w:val="1"/>
          <w:color w:val="auto"/>
        </w:rPr>
        <w:t>(1)</w:t>
      </w:r>
      <w:r>
        <w:rPr>
          <w:rFonts w:ascii="Arial" w:cs="Arial" w:eastAsia="Arial" w:hAnsi="Arial"/>
          <w:sz w:val="17"/>
          <w:szCs w:val="17"/>
          <w:color w:val="auto"/>
        </w:rPr>
        <w:t xml:space="preserve"> – 2020 $(19,694) million loss primarily impairments of dry gas assets; 2021 $(543) million loss as a result of impairments of $(752) million and contractual provisions of $(250) million, partly offset by a $459 million gain from the U.K. Central and Northern North Sea divestment.</w:t>
      </w:r>
    </w:p>
    <w:p>
      <w:pPr>
        <w:spacing w:after="0" w:line="281" w:lineRule="exact"/>
        <w:rPr>
          <w:sz w:val="20"/>
          <w:szCs w:val="20"/>
          <w:color w:val="auto"/>
        </w:rPr>
      </w:pPr>
    </w:p>
    <w:p>
      <w:pPr>
        <w:ind w:left="260" w:hanging="252"/>
        <w:spacing w:after="0"/>
        <w:tabs>
          <w:tab w:leader="none" w:pos="26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Refer to Frequently Used Terms for definition of Identified Items and earnings (loss) excluding Identified Items.</w:t>
      </w:r>
    </w:p>
    <w:p>
      <w:pPr>
        <w:spacing w:after="0" w:line="200" w:lineRule="exact"/>
        <w:rPr>
          <w:rFonts w:ascii="Arial" w:cs="Arial" w:eastAsia="Arial" w:hAnsi="Arial"/>
          <w:sz w:val="18"/>
          <w:szCs w:val="18"/>
          <w:i w:val="1"/>
          <w:iCs w:val="1"/>
          <w:color w:val="auto"/>
        </w:rPr>
      </w:pPr>
    </w:p>
    <w:p>
      <w:pPr>
        <w:spacing w:after="0" w:line="200" w:lineRule="exact"/>
        <w:rPr>
          <w:rFonts w:ascii="Arial" w:cs="Arial" w:eastAsia="Arial" w:hAnsi="Arial"/>
          <w:sz w:val="18"/>
          <w:szCs w:val="18"/>
          <w:i w:val="1"/>
          <w:iCs w:val="1"/>
          <w:color w:val="auto"/>
        </w:rPr>
      </w:pPr>
    </w:p>
    <w:p>
      <w:pPr>
        <w:spacing w:after="0" w:line="200" w:lineRule="exact"/>
        <w:rPr>
          <w:rFonts w:ascii="Arial" w:cs="Arial" w:eastAsia="Arial" w:hAnsi="Arial"/>
          <w:sz w:val="18"/>
          <w:szCs w:val="18"/>
          <w:i w:val="1"/>
          <w:iCs w:val="1"/>
          <w:color w:val="auto"/>
        </w:rPr>
      </w:pPr>
    </w:p>
    <w:p>
      <w:pPr>
        <w:spacing w:after="0" w:line="205" w:lineRule="exact"/>
        <w:rPr>
          <w:rFonts w:ascii="Arial" w:cs="Arial" w:eastAsia="Arial" w:hAnsi="Arial"/>
          <w:sz w:val="18"/>
          <w:szCs w:val="18"/>
          <w:i w:val="1"/>
          <w:iCs w:val="1"/>
          <w:color w:val="auto"/>
        </w:rPr>
      </w:pPr>
    </w:p>
    <w:p>
      <w:pPr>
        <w:ind w:left="5540"/>
        <w:spacing w:after="0"/>
        <w:rPr>
          <w:rFonts w:ascii="Arial" w:cs="Arial" w:eastAsia="Arial" w:hAnsi="Arial"/>
          <w:sz w:val="18"/>
          <w:szCs w:val="18"/>
          <w:i w:val="1"/>
          <w:iCs w:val="1"/>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49" w:name="page50"/>
    <w:bookmarkEnd w:id="49"/>
    <w:p>
      <w:pPr>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Upstream Earnings Factor Analysis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(millions of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4286250" cy="17145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286250" cy="171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color w:val="auto"/>
        </w:rPr>
        <w:t>Price – Lower realizations reduced earnings by $11,210 million.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Volume – Unfavorable volume and mix effects decreased earnings by $300 million.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Other – All other items increased earnings by $1,170 million, primarily driven by lower expenses of $960 million.</w:t>
      </w:r>
    </w:p>
    <w:p>
      <w:pPr>
        <w:spacing w:after="0" w:line="6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Identified Items </w:t>
      </w:r>
      <w:r>
        <w:rPr>
          <w:rFonts w:ascii="Arial" w:cs="Arial" w:eastAsia="Arial" w:hAnsi="Arial"/>
          <w:sz w:val="14"/>
          <w:szCs w:val="14"/>
          <w:i w:val="1"/>
          <w:iCs w:val="1"/>
          <w:color w:val="auto"/>
        </w:rPr>
        <w:t>(1)</w:t>
      </w:r>
      <w:r>
        <w:rPr>
          <w:rFonts w:ascii="Arial" w:cs="Arial" w:eastAsia="Arial" w:hAnsi="Arial"/>
          <w:sz w:val="18"/>
          <w:szCs w:val="18"/>
          <w:color w:val="auto"/>
        </w:rPr>
        <w:t xml:space="preserve"> – 2019 $4,434 million gain primarily the $3,700 million gain from the Norway non-operated divestment; 2020 $(19,694) million loss primarily impairments of dry gas assets.</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 Refer to Frequently Used Terms for definition of Identified Items and earnings (loss) excluding Identified Items.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Upstream Operational Results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2021</w:t>
            </w:r>
          </w:p>
        </w:tc>
        <w:tc>
          <w:tcPr>
            <w:tcW w:w="12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r>
      <w:tr>
        <w:trPr>
          <w:trHeight w:val="228"/>
        </w:trPr>
        <w:tc>
          <w:tcPr>
            <w:tcW w:w="8000" w:type="dxa"/>
            <w:vAlign w:val="bottom"/>
          </w:tcPr>
          <w:p>
            <w:pPr>
              <w:ind w:left="20"/>
              <w:spacing w:after="0"/>
              <w:rPr>
                <w:sz w:val="20"/>
                <w:szCs w:val="20"/>
                <w:color w:val="auto"/>
              </w:rPr>
            </w:pPr>
            <w:r>
              <w:rPr>
                <w:rFonts w:ascii="Arial" w:cs="Arial" w:eastAsia="Arial" w:hAnsi="Arial"/>
                <w:sz w:val="18"/>
                <w:szCs w:val="18"/>
                <w:color w:val="auto"/>
              </w:rPr>
              <w:t>Production of crude oil, natural gas liquids, bitumen and synthetic oil</w:t>
            </w:r>
          </w:p>
        </w:tc>
        <w:tc>
          <w:tcPr>
            <w:tcW w:w="13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30"/>
        </w:trPr>
        <w:tc>
          <w:tcPr>
            <w:tcW w:w="8000" w:type="dxa"/>
            <w:vAlign w:val="bottom"/>
          </w:tcPr>
          <w:p>
            <w:pPr>
              <w:ind w:left="220"/>
              <w:spacing w:after="0"/>
              <w:rPr>
                <w:sz w:val="20"/>
                <w:szCs w:val="20"/>
                <w:color w:val="auto"/>
              </w:rPr>
            </w:pPr>
            <w:r>
              <w:rPr>
                <w:rFonts w:ascii="Arial" w:cs="Arial" w:eastAsia="Arial" w:hAnsi="Arial"/>
                <w:sz w:val="18"/>
                <w:szCs w:val="18"/>
                <w:color w:val="auto"/>
              </w:rPr>
              <w:t>Net production</w:t>
            </w:r>
          </w:p>
        </w:tc>
        <w:tc>
          <w:tcPr>
            <w:tcW w:w="2620" w:type="dxa"/>
            <w:vAlign w:val="bottom"/>
            <w:gridSpan w:val="2"/>
          </w:tcPr>
          <w:p>
            <w:pPr>
              <w:jc w:val="center"/>
              <w:ind w:left="534"/>
              <w:spacing w:after="0"/>
              <w:rPr>
                <w:sz w:val="20"/>
                <w:szCs w:val="20"/>
                <w:color w:val="auto"/>
              </w:rPr>
            </w:pPr>
            <w:r>
              <w:rPr>
                <w:rFonts w:ascii="Arial" w:cs="Arial" w:eastAsia="Arial" w:hAnsi="Arial"/>
                <w:sz w:val="14"/>
                <w:szCs w:val="14"/>
                <w:i w:val="1"/>
                <w:iCs w:val="1"/>
                <w:color w:val="auto"/>
                <w:w w:val="94"/>
              </w:rPr>
              <w:t>(thousands of barrels daily)</w:t>
            </w:r>
          </w:p>
        </w:tc>
        <w:tc>
          <w:tcPr>
            <w:tcW w:w="620" w:type="dxa"/>
            <w:vAlign w:val="bottom"/>
          </w:tcPr>
          <w:p>
            <w:pPr>
              <w:spacing w:after="0"/>
              <w:rPr>
                <w:sz w:val="19"/>
                <w:szCs w:val="19"/>
                <w:color w:val="auto"/>
              </w:rPr>
            </w:pPr>
          </w:p>
        </w:tc>
      </w:tr>
      <w:tr>
        <w:trPr>
          <w:trHeight w:val="230"/>
        </w:trPr>
        <w:tc>
          <w:tcPr>
            <w:tcW w:w="8000" w:type="dxa"/>
            <w:vAlign w:val="bottom"/>
          </w:tcPr>
          <w:p>
            <w:pPr>
              <w:ind w:left="560"/>
              <w:spacing w:after="0"/>
              <w:rPr>
                <w:sz w:val="20"/>
                <w:szCs w:val="20"/>
                <w:color w:val="auto"/>
              </w:rPr>
            </w:pPr>
            <w:r>
              <w:rPr>
                <w:rFonts w:ascii="Arial" w:cs="Arial" w:eastAsia="Arial" w:hAnsi="Arial"/>
                <w:sz w:val="18"/>
                <w:szCs w:val="18"/>
                <w:color w:val="auto"/>
              </w:rPr>
              <w:t>United States</w:t>
            </w:r>
          </w:p>
        </w:tc>
        <w:tc>
          <w:tcPr>
            <w:tcW w:w="1340" w:type="dxa"/>
            <w:vAlign w:val="bottom"/>
          </w:tcPr>
          <w:p>
            <w:pPr>
              <w:jc w:val="right"/>
              <w:ind w:right="274"/>
              <w:spacing w:after="0"/>
              <w:rPr>
                <w:sz w:val="20"/>
                <w:szCs w:val="20"/>
                <w:color w:val="auto"/>
              </w:rPr>
            </w:pPr>
            <w:r>
              <w:rPr>
                <w:rFonts w:ascii="Arial" w:cs="Arial" w:eastAsia="Arial" w:hAnsi="Arial"/>
                <w:sz w:val="18"/>
                <w:szCs w:val="18"/>
                <w:color w:val="auto"/>
              </w:rPr>
              <w:t>721</w:t>
            </w:r>
          </w:p>
        </w:tc>
        <w:tc>
          <w:tcPr>
            <w:tcW w:w="1280" w:type="dxa"/>
            <w:vAlign w:val="bottom"/>
          </w:tcPr>
          <w:p>
            <w:pPr>
              <w:jc w:val="right"/>
              <w:ind w:right="431"/>
              <w:spacing w:after="0"/>
              <w:rPr>
                <w:sz w:val="20"/>
                <w:szCs w:val="20"/>
                <w:color w:val="auto"/>
              </w:rPr>
            </w:pPr>
            <w:r>
              <w:rPr>
                <w:rFonts w:ascii="Arial" w:cs="Arial" w:eastAsia="Arial" w:hAnsi="Arial"/>
                <w:sz w:val="18"/>
                <w:szCs w:val="18"/>
                <w:color w:val="auto"/>
              </w:rPr>
              <w:t>685</w:t>
            </w:r>
          </w:p>
        </w:tc>
        <w:tc>
          <w:tcPr>
            <w:tcW w:w="620" w:type="dxa"/>
            <w:vAlign w:val="bottom"/>
          </w:tcPr>
          <w:p>
            <w:pPr>
              <w:jc w:val="right"/>
              <w:spacing w:after="0"/>
              <w:rPr>
                <w:sz w:val="20"/>
                <w:szCs w:val="20"/>
                <w:color w:val="auto"/>
              </w:rPr>
            </w:pPr>
            <w:r>
              <w:rPr>
                <w:rFonts w:ascii="Arial" w:cs="Arial" w:eastAsia="Arial" w:hAnsi="Arial"/>
                <w:sz w:val="18"/>
                <w:szCs w:val="18"/>
                <w:color w:val="auto"/>
              </w:rPr>
              <w:t>646</w:t>
            </w:r>
          </w:p>
        </w:tc>
      </w:tr>
      <w:tr>
        <w:trPr>
          <w:trHeight w:val="230"/>
        </w:trPr>
        <w:tc>
          <w:tcPr>
            <w:tcW w:w="8000" w:type="dxa"/>
            <w:vAlign w:val="bottom"/>
          </w:tcPr>
          <w:p>
            <w:pPr>
              <w:ind w:left="560"/>
              <w:spacing w:after="0"/>
              <w:rPr>
                <w:sz w:val="20"/>
                <w:szCs w:val="20"/>
                <w:color w:val="auto"/>
              </w:rPr>
            </w:pPr>
            <w:r>
              <w:rPr>
                <w:rFonts w:ascii="Arial" w:cs="Arial" w:eastAsia="Arial" w:hAnsi="Arial"/>
                <w:sz w:val="18"/>
                <w:szCs w:val="18"/>
                <w:color w:val="auto"/>
              </w:rPr>
              <w:t>Canada/Other Americas</w:t>
            </w:r>
          </w:p>
        </w:tc>
        <w:tc>
          <w:tcPr>
            <w:tcW w:w="1340" w:type="dxa"/>
            <w:vAlign w:val="bottom"/>
          </w:tcPr>
          <w:p>
            <w:pPr>
              <w:jc w:val="right"/>
              <w:ind w:right="274"/>
              <w:spacing w:after="0"/>
              <w:rPr>
                <w:sz w:val="20"/>
                <w:szCs w:val="20"/>
                <w:color w:val="auto"/>
              </w:rPr>
            </w:pPr>
            <w:r>
              <w:rPr>
                <w:rFonts w:ascii="Arial" w:cs="Arial" w:eastAsia="Arial" w:hAnsi="Arial"/>
                <w:sz w:val="18"/>
                <w:szCs w:val="18"/>
                <w:color w:val="auto"/>
              </w:rPr>
              <w:t>560</w:t>
            </w:r>
          </w:p>
        </w:tc>
        <w:tc>
          <w:tcPr>
            <w:tcW w:w="1280" w:type="dxa"/>
            <w:vAlign w:val="bottom"/>
          </w:tcPr>
          <w:p>
            <w:pPr>
              <w:jc w:val="right"/>
              <w:ind w:right="431"/>
              <w:spacing w:after="0"/>
              <w:rPr>
                <w:sz w:val="20"/>
                <w:szCs w:val="20"/>
                <w:color w:val="auto"/>
              </w:rPr>
            </w:pPr>
            <w:r>
              <w:rPr>
                <w:rFonts w:ascii="Arial" w:cs="Arial" w:eastAsia="Arial" w:hAnsi="Arial"/>
                <w:sz w:val="18"/>
                <w:szCs w:val="18"/>
                <w:color w:val="auto"/>
              </w:rPr>
              <w:t>536</w:t>
            </w:r>
          </w:p>
        </w:tc>
        <w:tc>
          <w:tcPr>
            <w:tcW w:w="620" w:type="dxa"/>
            <w:vAlign w:val="bottom"/>
          </w:tcPr>
          <w:p>
            <w:pPr>
              <w:jc w:val="right"/>
              <w:spacing w:after="0"/>
              <w:rPr>
                <w:sz w:val="20"/>
                <w:szCs w:val="20"/>
                <w:color w:val="auto"/>
              </w:rPr>
            </w:pPr>
            <w:r>
              <w:rPr>
                <w:rFonts w:ascii="Arial" w:cs="Arial" w:eastAsia="Arial" w:hAnsi="Arial"/>
                <w:sz w:val="18"/>
                <w:szCs w:val="18"/>
                <w:color w:val="auto"/>
              </w:rPr>
              <w:t>467</w:t>
            </w:r>
          </w:p>
        </w:tc>
      </w:tr>
      <w:tr>
        <w:trPr>
          <w:trHeight w:val="229"/>
        </w:trPr>
        <w:tc>
          <w:tcPr>
            <w:tcW w:w="8000" w:type="dxa"/>
            <w:vAlign w:val="bottom"/>
          </w:tcPr>
          <w:p>
            <w:pPr>
              <w:ind w:left="560"/>
              <w:spacing w:after="0"/>
              <w:rPr>
                <w:sz w:val="20"/>
                <w:szCs w:val="20"/>
                <w:color w:val="auto"/>
              </w:rPr>
            </w:pPr>
            <w:r>
              <w:rPr>
                <w:rFonts w:ascii="Arial" w:cs="Arial" w:eastAsia="Arial" w:hAnsi="Arial"/>
                <w:sz w:val="18"/>
                <w:szCs w:val="18"/>
                <w:color w:val="auto"/>
              </w:rPr>
              <w:t>Europe</w:t>
            </w:r>
          </w:p>
        </w:tc>
        <w:tc>
          <w:tcPr>
            <w:tcW w:w="1340" w:type="dxa"/>
            <w:vAlign w:val="bottom"/>
          </w:tcPr>
          <w:p>
            <w:pPr>
              <w:jc w:val="right"/>
              <w:ind w:right="274"/>
              <w:spacing w:after="0"/>
              <w:rPr>
                <w:sz w:val="20"/>
                <w:szCs w:val="20"/>
                <w:color w:val="auto"/>
              </w:rPr>
            </w:pPr>
            <w:r>
              <w:rPr>
                <w:rFonts w:ascii="Arial" w:cs="Arial" w:eastAsia="Arial" w:hAnsi="Arial"/>
                <w:sz w:val="18"/>
                <w:szCs w:val="18"/>
                <w:color w:val="auto"/>
              </w:rPr>
              <w:t>22</w:t>
            </w:r>
          </w:p>
        </w:tc>
        <w:tc>
          <w:tcPr>
            <w:tcW w:w="1280" w:type="dxa"/>
            <w:vAlign w:val="bottom"/>
          </w:tcPr>
          <w:p>
            <w:pPr>
              <w:jc w:val="right"/>
              <w:ind w:right="431"/>
              <w:spacing w:after="0"/>
              <w:rPr>
                <w:sz w:val="20"/>
                <w:szCs w:val="20"/>
                <w:color w:val="auto"/>
              </w:rPr>
            </w:pPr>
            <w:r>
              <w:rPr>
                <w:rFonts w:ascii="Arial" w:cs="Arial" w:eastAsia="Arial" w:hAnsi="Arial"/>
                <w:sz w:val="18"/>
                <w:szCs w:val="18"/>
                <w:color w:val="auto"/>
              </w:rPr>
              <w:t>30</w:t>
            </w:r>
          </w:p>
        </w:tc>
        <w:tc>
          <w:tcPr>
            <w:tcW w:w="62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30"/>
        </w:trPr>
        <w:tc>
          <w:tcPr>
            <w:tcW w:w="8000" w:type="dxa"/>
            <w:vAlign w:val="bottom"/>
          </w:tcPr>
          <w:p>
            <w:pPr>
              <w:ind w:left="560"/>
              <w:spacing w:after="0"/>
              <w:rPr>
                <w:sz w:val="20"/>
                <w:szCs w:val="20"/>
                <w:color w:val="auto"/>
              </w:rPr>
            </w:pPr>
            <w:r>
              <w:rPr>
                <w:rFonts w:ascii="Arial" w:cs="Arial" w:eastAsia="Arial" w:hAnsi="Arial"/>
                <w:sz w:val="18"/>
                <w:szCs w:val="18"/>
                <w:color w:val="auto"/>
              </w:rPr>
              <w:t>Africa</w:t>
            </w:r>
          </w:p>
        </w:tc>
        <w:tc>
          <w:tcPr>
            <w:tcW w:w="1340" w:type="dxa"/>
            <w:vAlign w:val="bottom"/>
          </w:tcPr>
          <w:p>
            <w:pPr>
              <w:jc w:val="right"/>
              <w:ind w:right="274"/>
              <w:spacing w:after="0"/>
              <w:rPr>
                <w:sz w:val="20"/>
                <w:szCs w:val="20"/>
                <w:color w:val="auto"/>
              </w:rPr>
            </w:pPr>
            <w:r>
              <w:rPr>
                <w:rFonts w:ascii="Arial" w:cs="Arial" w:eastAsia="Arial" w:hAnsi="Arial"/>
                <w:sz w:val="18"/>
                <w:szCs w:val="18"/>
                <w:color w:val="auto"/>
              </w:rPr>
              <w:t>248</w:t>
            </w:r>
          </w:p>
        </w:tc>
        <w:tc>
          <w:tcPr>
            <w:tcW w:w="1280" w:type="dxa"/>
            <w:vAlign w:val="bottom"/>
          </w:tcPr>
          <w:p>
            <w:pPr>
              <w:jc w:val="right"/>
              <w:ind w:right="431"/>
              <w:spacing w:after="0"/>
              <w:rPr>
                <w:sz w:val="20"/>
                <w:szCs w:val="20"/>
                <w:color w:val="auto"/>
              </w:rPr>
            </w:pPr>
            <w:r>
              <w:rPr>
                <w:rFonts w:ascii="Arial" w:cs="Arial" w:eastAsia="Arial" w:hAnsi="Arial"/>
                <w:sz w:val="18"/>
                <w:szCs w:val="18"/>
                <w:color w:val="auto"/>
              </w:rPr>
              <w:t>312</w:t>
            </w:r>
          </w:p>
        </w:tc>
        <w:tc>
          <w:tcPr>
            <w:tcW w:w="620" w:type="dxa"/>
            <w:vAlign w:val="bottom"/>
          </w:tcPr>
          <w:p>
            <w:pPr>
              <w:jc w:val="right"/>
              <w:spacing w:after="0"/>
              <w:rPr>
                <w:sz w:val="20"/>
                <w:szCs w:val="20"/>
                <w:color w:val="auto"/>
              </w:rPr>
            </w:pPr>
            <w:r>
              <w:rPr>
                <w:rFonts w:ascii="Arial" w:cs="Arial" w:eastAsia="Arial" w:hAnsi="Arial"/>
                <w:sz w:val="18"/>
                <w:szCs w:val="18"/>
                <w:color w:val="auto"/>
              </w:rPr>
              <w:t>372</w:t>
            </w:r>
          </w:p>
        </w:tc>
      </w:tr>
      <w:tr>
        <w:trPr>
          <w:trHeight w:val="230"/>
        </w:trPr>
        <w:tc>
          <w:tcPr>
            <w:tcW w:w="8000" w:type="dxa"/>
            <w:vAlign w:val="bottom"/>
          </w:tcPr>
          <w:p>
            <w:pPr>
              <w:ind w:left="560"/>
              <w:spacing w:after="0"/>
              <w:rPr>
                <w:sz w:val="20"/>
                <w:szCs w:val="20"/>
                <w:color w:val="auto"/>
              </w:rPr>
            </w:pPr>
            <w:r>
              <w:rPr>
                <w:rFonts w:ascii="Arial" w:cs="Arial" w:eastAsia="Arial" w:hAnsi="Arial"/>
                <w:sz w:val="18"/>
                <w:szCs w:val="18"/>
                <w:color w:val="auto"/>
              </w:rPr>
              <w:t>Asia</w:t>
            </w:r>
          </w:p>
        </w:tc>
        <w:tc>
          <w:tcPr>
            <w:tcW w:w="1340" w:type="dxa"/>
            <w:vAlign w:val="bottom"/>
          </w:tcPr>
          <w:p>
            <w:pPr>
              <w:jc w:val="right"/>
              <w:ind w:right="274"/>
              <w:spacing w:after="0"/>
              <w:rPr>
                <w:sz w:val="20"/>
                <w:szCs w:val="20"/>
                <w:color w:val="auto"/>
              </w:rPr>
            </w:pPr>
            <w:r>
              <w:rPr>
                <w:rFonts w:ascii="Arial" w:cs="Arial" w:eastAsia="Arial" w:hAnsi="Arial"/>
                <w:sz w:val="18"/>
                <w:szCs w:val="18"/>
                <w:color w:val="auto"/>
              </w:rPr>
              <w:t>695</w:t>
            </w:r>
          </w:p>
        </w:tc>
        <w:tc>
          <w:tcPr>
            <w:tcW w:w="1280" w:type="dxa"/>
            <w:vAlign w:val="bottom"/>
          </w:tcPr>
          <w:p>
            <w:pPr>
              <w:jc w:val="right"/>
              <w:ind w:right="431"/>
              <w:spacing w:after="0"/>
              <w:rPr>
                <w:sz w:val="20"/>
                <w:szCs w:val="20"/>
                <w:color w:val="auto"/>
              </w:rPr>
            </w:pPr>
            <w:r>
              <w:rPr>
                <w:rFonts w:ascii="Arial" w:cs="Arial" w:eastAsia="Arial" w:hAnsi="Arial"/>
                <w:sz w:val="18"/>
                <w:szCs w:val="18"/>
                <w:color w:val="auto"/>
              </w:rPr>
              <w:t>742</w:t>
            </w:r>
          </w:p>
        </w:tc>
        <w:tc>
          <w:tcPr>
            <w:tcW w:w="620" w:type="dxa"/>
            <w:vAlign w:val="bottom"/>
          </w:tcPr>
          <w:p>
            <w:pPr>
              <w:jc w:val="right"/>
              <w:spacing w:after="0"/>
              <w:rPr>
                <w:sz w:val="20"/>
                <w:szCs w:val="20"/>
                <w:color w:val="auto"/>
              </w:rPr>
            </w:pPr>
            <w:r>
              <w:rPr>
                <w:rFonts w:ascii="Arial" w:cs="Arial" w:eastAsia="Arial" w:hAnsi="Arial"/>
                <w:sz w:val="18"/>
                <w:szCs w:val="18"/>
                <w:color w:val="auto"/>
              </w:rPr>
              <w:t>748</w:t>
            </w:r>
          </w:p>
        </w:tc>
      </w:tr>
      <w:tr>
        <w:trPr>
          <w:trHeight w:val="230"/>
        </w:trPr>
        <w:tc>
          <w:tcPr>
            <w:tcW w:w="8000" w:type="dxa"/>
            <w:vAlign w:val="bottom"/>
          </w:tcPr>
          <w:p>
            <w:pPr>
              <w:ind w:left="560"/>
              <w:spacing w:after="0"/>
              <w:rPr>
                <w:sz w:val="20"/>
                <w:szCs w:val="20"/>
                <w:color w:val="auto"/>
              </w:rPr>
            </w:pPr>
            <w:r>
              <w:rPr>
                <w:rFonts w:ascii="Arial" w:cs="Arial" w:eastAsia="Arial" w:hAnsi="Arial"/>
                <w:sz w:val="18"/>
                <w:szCs w:val="18"/>
                <w:color w:val="auto"/>
              </w:rPr>
              <w:t>Australia/Oceania</w:t>
            </w:r>
          </w:p>
        </w:tc>
        <w:tc>
          <w:tcPr>
            <w:tcW w:w="1340" w:type="dxa"/>
            <w:vAlign w:val="bottom"/>
            <w:tcBorders>
              <w:bottom w:val="single" w:sz="8" w:color="auto"/>
            </w:tcBorders>
          </w:tcPr>
          <w:p>
            <w:pPr>
              <w:jc w:val="right"/>
              <w:ind w:right="274"/>
              <w:spacing w:after="0"/>
              <w:rPr>
                <w:sz w:val="20"/>
                <w:szCs w:val="20"/>
                <w:color w:val="auto"/>
              </w:rPr>
            </w:pPr>
            <w:r>
              <w:rPr>
                <w:rFonts w:ascii="Arial" w:cs="Arial" w:eastAsia="Arial" w:hAnsi="Arial"/>
                <w:sz w:val="18"/>
                <w:szCs w:val="18"/>
                <w:color w:val="auto"/>
              </w:rPr>
              <w:t>43</w:t>
            </w:r>
          </w:p>
        </w:tc>
        <w:tc>
          <w:tcPr>
            <w:tcW w:w="128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color w:val="auto"/>
              </w:rPr>
              <w:t>44</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r>
      <w:tr>
        <w:trPr>
          <w:trHeight w:val="223"/>
        </w:trPr>
        <w:tc>
          <w:tcPr>
            <w:tcW w:w="8000" w:type="dxa"/>
            <w:vAlign w:val="bottom"/>
          </w:tcPr>
          <w:p>
            <w:pPr>
              <w:ind w:left="220"/>
              <w:spacing w:after="0"/>
              <w:rPr>
                <w:sz w:val="20"/>
                <w:szCs w:val="20"/>
                <w:color w:val="auto"/>
              </w:rPr>
            </w:pPr>
            <w:r>
              <w:rPr>
                <w:rFonts w:ascii="Arial" w:cs="Arial" w:eastAsia="Arial" w:hAnsi="Arial"/>
                <w:sz w:val="18"/>
                <w:szCs w:val="18"/>
                <w:color w:val="auto"/>
              </w:rPr>
              <w:t>Worldwide</w:t>
            </w:r>
          </w:p>
        </w:tc>
        <w:tc>
          <w:tcPr>
            <w:tcW w:w="1340" w:type="dxa"/>
            <w:vAlign w:val="bottom"/>
            <w:tcBorders>
              <w:bottom w:val="single" w:sz="8" w:color="auto"/>
            </w:tcBorders>
          </w:tcPr>
          <w:p>
            <w:pPr>
              <w:jc w:val="right"/>
              <w:ind w:right="274"/>
              <w:spacing w:after="0"/>
              <w:rPr>
                <w:sz w:val="20"/>
                <w:szCs w:val="20"/>
                <w:color w:val="auto"/>
              </w:rPr>
            </w:pPr>
            <w:r>
              <w:rPr>
                <w:rFonts w:ascii="Arial" w:cs="Arial" w:eastAsia="Arial" w:hAnsi="Arial"/>
                <w:sz w:val="18"/>
                <w:szCs w:val="18"/>
                <w:color w:val="auto"/>
              </w:rPr>
              <w:t>2,289</w:t>
            </w:r>
          </w:p>
        </w:tc>
        <w:tc>
          <w:tcPr>
            <w:tcW w:w="128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color w:val="auto"/>
              </w:rPr>
              <w:t>2,349</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2,386</w:t>
            </w:r>
          </w:p>
        </w:tc>
      </w:tr>
      <w:tr>
        <w:trPr>
          <w:trHeight w:val="479"/>
        </w:trPr>
        <w:tc>
          <w:tcPr>
            <w:tcW w:w="8000" w:type="dxa"/>
            <w:vAlign w:val="bottom"/>
          </w:tcPr>
          <w:p>
            <w:pPr>
              <w:ind w:left="20"/>
              <w:spacing w:after="0"/>
              <w:rPr>
                <w:sz w:val="20"/>
                <w:szCs w:val="20"/>
                <w:color w:val="auto"/>
              </w:rPr>
            </w:pPr>
            <w:r>
              <w:rPr>
                <w:rFonts w:ascii="Arial" w:cs="Arial" w:eastAsia="Arial" w:hAnsi="Arial"/>
                <w:sz w:val="18"/>
                <w:szCs w:val="18"/>
                <w:color w:val="auto"/>
              </w:rPr>
              <w:t>Natural gas production available for sale</w:t>
            </w:r>
          </w:p>
        </w:tc>
        <w:tc>
          <w:tcPr>
            <w:tcW w:w="1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30"/>
        </w:trPr>
        <w:tc>
          <w:tcPr>
            <w:tcW w:w="8000" w:type="dxa"/>
            <w:vAlign w:val="bottom"/>
          </w:tcPr>
          <w:p>
            <w:pPr>
              <w:ind w:left="220"/>
              <w:spacing w:after="0"/>
              <w:rPr>
                <w:sz w:val="20"/>
                <w:szCs w:val="20"/>
                <w:color w:val="auto"/>
              </w:rPr>
            </w:pPr>
            <w:r>
              <w:rPr>
                <w:rFonts w:ascii="Arial" w:cs="Arial" w:eastAsia="Arial" w:hAnsi="Arial"/>
                <w:sz w:val="18"/>
                <w:szCs w:val="18"/>
                <w:color w:val="auto"/>
              </w:rPr>
              <w:t>Net production</w:t>
            </w:r>
          </w:p>
        </w:tc>
        <w:tc>
          <w:tcPr>
            <w:tcW w:w="2620" w:type="dxa"/>
            <w:vAlign w:val="bottom"/>
            <w:gridSpan w:val="2"/>
          </w:tcPr>
          <w:p>
            <w:pPr>
              <w:jc w:val="center"/>
              <w:ind w:left="534"/>
              <w:spacing w:after="0"/>
              <w:rPr>
                <w:sz w:val="20"/>
                <w:szCs w:val="20"/>
                <w:color w:val="auto"/>
              </w:rPr>
            </w:pPr>
            <w:r>
              <w:rPr>
                <w:rFonts w:ascii="Arial" w:cs="Arial" w:eastAsia="Arial" w:hAnsi="Arial"/>
                <w:sz w:val="14"/>
                <w:szCs w:val="14"/>
                <w:i w:val="1"/>
                <w:iCs w:val="1"/>
                <w:color w:val="auto"/>
                <w:w w:val="97"/>
              </w:rPr>
              <w:t>(millions of cubic feet daily)</w:t>
            </w:r>
          </w:p>
        </w:tc>
        <w:tc>
          <w:tcPr>
            <w:tcW w:w="620" w:type="dxa"/>
            <w:vAlign w:val="bottom"/>
          </w:tcPr>
          <w:p>
            <w:pPr>
              <w:spacing w:after="0"/>
              <w:rPr>
                <w:sz w:val="19"/>
                <w:szCs w:val="19"/>
                <w:color w:val="auto"/>
              </w:rPr>
            </w:pPr>
          </w:p>
        </w:tc>
      </w:tr>
      <w:tr>
        <w:trPr>
          <w:trHeight w:val="230"/>
        </w:trPr>
        <w:tc>
          <w:tcPr>
            <w:tcW w:w="8000" w:type="dxa"/>
            <w:vAlign w:val="bottom"/>
          </w:tcPr>
          <w:p>
            <w:pPr>
              <w:ind w:left="560"/>
              <w:spacing w:after="0"/>
              <w:rPr>
                <w:sz w:val="20"/>
                <w:szCs w:val="20"/>
                <w:color w:val="auto"/>
              </w:rPr>
            </w:pPr>
            <w:r>
              <w:rPr>
                <w:rFonts w:ascii="Arial" w:cs="Arial" w:eastAsia="Arial" w:hAnsi="Arial"/>
                <w:sz w:val="18"/>
                <w:szCs w:val="18"/>
                <w:color w:val="auto"/>
              </w:rPr>
              <w:t>United States</w:t>
            </w:r>
          </w:p>
        </w:tc>
        <w:tc>
          <w:tcPr>
            <w:tcW w:w="1340" w:type="dxa"/>
            <w:vAlign w:val="bottom"/>
          </w:tcPr>
          <w:p>
            <w:pPr>
              <w:jc w:val="right"/>
              <w:ind w:right="274"/>
              <w:spacing w:after="0"/>
              <w:rPr>
                <w:sz w:val="20"/>
                <w:szCs w:val="20"/>
                <w:color w:val="auto"/>
              </w:rPr>
            </w:pPr>
            <w:r>
              <w:rPr>
                <w:rFonts w:ascii="Arial" w:cs="Arial" w:eastAsia="Arial" w:hAnsi="Arial"/>
                <w:sz w:val="18"/>
                <w:szCs w:val="18"/>
                <w:color w:val="auto"/>
              </w:rPr>
              <w:t>2,746</w:t>
            </w:r>
          </w:p>
        </w:tc>
        <w:tc>
          <w:tcPr>
            <w:tcW w:w="1280" w:type="dxa"/>
            <w:vAlign w:val="bottom"/>
          </w:tcPr>
          <w:p>
            <w:pPr>
              <w:jc w:val="right"/>
              <w:ind w:right="431"/>
              <w:spacing w:after="0"/>
              <w:rPr>
                <w:sz w:val="20"/>
                <w:szCs w:val="20"/>
                <w:color w:val="auto"/>
              </w:rPr>
            </w:pPr>
            <w:r>
              <w:rPr>
                <w:rFonts w:ascii="Arial" w:cs="Arial" w:eastAsia="Arial" w:hAnsi="Arial"/>
                <w:sz w:val="18"/>
                <w:szCs w:val="18"/>
                <w:color w:val="auto"/>
              </w:rPr>
              <w:t>2,691</w:t>
            </w:r>
          </w:p>
        </w:tc>
        <w:tc>
          <w:tcPr>
            <w:tcW w:w="620" w:type="dxa"/>
            <w:vAlign w:val="bottom"/>
          </w:tcPr>
          <w:p>
            <w:pPr>
              <w:jc w:val="right"/>
              <w:spacing w:after="0"/>
              <w:rPr>
                <w:sz w:val="20"/>
                <w:szCs w:val="20"/>
                <w:color w:val="auto"/>
              </w:rPr>
            </w:pPr>
            <w:r>
              <w:rPr>
                <w:rFonts w:ascii="Arial" w:cs="Arial" w:eastAsia="Arial" w:hAnsi="Arial"/>
                <w:sz w:val="18"/>
                <w:szCs w:val="18"/>
                <w:color w:val="auto"/>
              </w:rPr>
              <w:t>2,778</w:t>
            </w:r>
          </w:p>
        </w:tc>
      </w:tr>
      <w:tr>
        <w:trPr>
          <w:trHeight w:val="230"/>
        </w:trPr>
        <w:tc>
          <w:tcPr>
            <w:tcW w:w="8000" w:type="dxa"/>
            <w:vAlign w:val="bottom"/>
          </w:tcPr>
          <w:p>
            <w:pPr>
              <w:ind w:left="560"/>
              <w:spacing w:after="0"/>
              <w:rPr>
                <w:sz w:val="20"/>
                <w:szCs w:val="20"/>
                <w:color w:val="auto"/>
              </w:rPr>
            </w:pPr>
            <w:r>
              <w:rPr>
                <w:rFonts w:ascii="Arial" w:cs="Arial" w:eastAsia="Arial" w:hAnsi="Arial"/>
                <w:sz w:val="18"/>
                <w:szCs w:val="18"/>
                <w:color w:val="auto"/>
              </w:rPr>
              <w:t>Canada/Other Americas</w:t>
            </w:r>
          </w:p>
        </w:tc>
        <w:tc>
          <w:tcPr>
            <w:tcW w:w="1340" w:type="dxa"/>
            <w:vAlign w:val="bottom"/>
          </w:tcPr>
          <w:p>
            <w:pPr>
              <w:jc w:val="right"/>
              <w:ind w:right="274"/>
              <w:spacing w:after="0"/>
              <w:rPr>
                <w:sz w:val="20"/>
                <w:szCs w:val="20"/>
                <w:color w:val="auto"/>
              </w:rPr>
            </w:pPr>
            <w:r>
              <w:rPr>
                <w:rFonts w:ascii="Arial" w:cs="Arial" w:eastAsia="Arial" w:hAnsi="Arial"/>
                <w:sz w:val="18"/>
                <w:szCs w:val="18"/>
                <w:color w:val="auto"/>
              </w:rPr>
              <w:t>195</w:t>
            </w:r>
          </w:p>
        </w:tc>
        <w:tc>
          <w:tcPr>
            <w:tcW w:w="1280" w:type="dxa"/>
            <w:vAlign w:val="bottom"/>
          </w:tcPr>
          <w:p>
            <w:pPr>
              <w:jc w:val="right"/>
              <w:ind w:right="431"/>
              <w:spacing w:after="0"/>
              <w:rPr>
                <w:sz w:val="20"/>
                <w:szCs w:val="20"/>
                <w:color w:val="auto"/>
              </w:rPr>
            </w:pPr>
            <w:r>
              <w:rPr>
                <w:rFonts w:ascii="Arial" w:cs="Arial" w:eastAsia="Arial" w:hAnsi="Arial"/>
                <w:sz w:val="18"/>
                <w:szCs w:val="18"/>
                <w:color w:val="auto"/>
              </w:rPr>
              <w:t>277</w:t>
            </w:r>
          </w:p>
        </w:tc>
        <w:tc>
          <w:tcPr>
            <w:tcW w:w="620" w:type="dxa"/>
            <w:vAlign w:val="bottom"/>
          </w:tcPr>
          <w:p>
            <w:pPr>
              <w:jc w:val="right"/>
              <w:spacing w:after="0"/>
              <w:rPr>
                <w:sz w:val="20"/>
                <w:szCs w:val="20"/>
                <w:color w:val="auto"/>
              </w:rPr>
            </w:pPr>
            <w:r>
              <w:rPr>
                <w:rFonts w:ascii="Arial" w:cs="Arial" w:eastAsia="Arial" w:hAnsi="Arial"/>
                <w:sz w:val="18"/>
                <w:szCs w:val="18"/>
                <w:color w:val="auto"/>
              </w:rPr>
              <w:t>258</w:t>
            </w:r>
          </w:p>
        </w:tc>
      </w:tr>
      <w:tr>
        <w:trPr>
          <w:trHeight w:val="229"/>
        </w:trPr>
        <w:tc>
          <w:tcPr>
            <w:tcW w:w="8000" w:type="dxa"/>
            <w:vAlign w:val="bottom"/>
          </w:tcPr>
          <w:p>
            <w:pPr>
              <w:ind w:left="560"/>
              <w:spacing w:after="0"/>
              <w:rPr>
                <w:sz w:val="20"/>
                <w:szCs w:val="20"/>
                <w:color w:val="auto"/>
              </w:rPr>
            </w:pPr>
            <w:r>
              <w:rPr>
                <w:rFonts w:ascii="Arial" w:cs="Arial" w:eastAsia="Arial" w:hAnsi="Arial"/>
                <w:sz w:val="18"/>
                <w:szCs w:val="18"/>
                <w:color w:val="auto"/>
              </w:rPr>
              <w:t>Europe</w:t>
            </w:r>
          </w:p>
        </w:tc>
        <w:tc>
          <w:tcPr>
            <w:tcW w:w="1340" w:type="dxa"/>
            <w:vAlign w:val="bottom"/>
          </w:tcPr>
          <w:p>
            <w:pPr>
              <w:jc w:val="right"/>
              <w:ind w:right="274"/>
              <w:spacing w:after="0"/>
              <w:rPr>
                <w:sz w:val="20"/>
                <w:szCs w:val="20"/>
                <w:color w:val="auto"/>
              </w:rPr>
            </w:pPr>
            <w:r>
              <w:rPr>
                <w:rFonts w:ascii="Arial" w:cs="Arial" w:eastAsia="Arial" w:hAnsi="Arial"/>
                <w:sz w:val="18"/>
                <w:szCs w:val="18"/>
                <w:color w:val="auto"/>
              </w:rPr>
              <w:t>808</w:t>
            </w:r>
          </w:p>
        </w:tc>
        <w:tc>
          <w:tcPr>
            <w:tcW w:w="1280" w:type="dxa"/>
            <w:vAlign w:val="bottom"/>
          </w:tcPr>
          <w:p>
            <w:pPr>
              <w:jc w:val="right"/>
              <w:ind w:right="431"/>
              <w:spacing w:after="0"/>
              <w:rPr>
                <w:sz w:val="20"/>
                <w:szCs w:val="20"/>
                <w:color w:val="auto"/>
              </w:rPr>
            </w:pPr>
            <w:r>
              <w:rPr>
                <w:rFonts w:ascii="Arial" w:cs="Arial" w:eastAsia="Arial" w:hAnsi="Arial"/>
                <w:sz w:val="18"/>
                <w:szCs w:val="18"/>
                <w:color w:val="auto"/>
              </w:rPr>
              <w:t>789</w:t>
            </w:r>
          </w:p>
        </w:tc>
        <w:tc>
          <w:tcPr>
            <w:tcW w:w="620" w:type="dxa"/>
            <w:vAlign w:val="bottom"/>
          </w:tcPr>
          <w:p>
            <w:pPr>
              <w:jc w:val="right"/>
              <w:spacing w:after="0"/>
              <w:rPr>
                <w:sz w:val="20"/>
                <w:szCs w:val="20"/>
                <w:color w:val="auto"/>
              </w:rPr>
            </w:pPr>
            <w:r>
              <w:rPr>
                <w:rFonts w:ascii="Arial" w:cs="Arial" w:eastAsia="Arial" w:hAnsi="Arial"/>
                <w:sz w:val="18"/>
                <w:szCs w:val="18"/>
                <w:color w:val="auto"/>
              </w:rPr>
              <w:t>1,457</w:t>
            </w:r>
          </w:p>
        </w:tc>
      </w:tr>
      <w:tr>
        <w:trPr>
          <w:trHeight w:val="230"/>
        </w:trPr>
        <w:tc>
          <w:tcPr>
            <w:tcW w:w="8000" w:type="dxa"/>
            <w:vAlign w:val="bottom"/>
          </w:tcPr>
          <w:p>
            <w:pPr>
              <w:ind w:left="560"/>
              <w:spacing w:after="0"/>
              <w:rPr>
                <w:sz w:val="20"/>
                <w:szCs w:val="20"/>
                <w:color w:val="auto"/>
              </w:rPr>
            </w:pPr>
            <w:r>
              <w:rPr>
                <w:rFonts w:ascii="Arial" w:cs="Arial" w:eastAsia="Arial" w:hAnsi="Arial"/>
                <w:sz w:val="18"/>
                <w:szCs w:val="18"/>
                <w:color w:val="auto"/>
              </w:rPr>
              <w:t>Africa</w:t>
            </w:r>
          </w:p>
        </w:tc>
        <w:tc>
          <w:tcPr>
            <w:tcW w:w="1340" w:type="dxa"/>
            <w:vAlign w:val="bottom"/>
          </w:tcPr>
          <w:p>
            <w:pPr>
              <w:jc w:val="right"/>
              <w:ind w:right="274"/>
              <w:spacing w:after="0"/>
              <w:rPr>
                <w:sz w:val="20"/>
                <w:szCs w:val="20"/>
                <w:color w:val="auto"/>
              </w:rPr>
            </w:pPr>
            <w:r>
              <w:rPr>
                <w:rFonts w:ascii="Arial" w:cs="Arial" w:eastAsia="Arial" w:hAnsi="Arial"/>
                <w:sz w:val="18"/>
                <w:szCs w:val="18"/>
                <w:color w:val="auto"/>
              </w:rPr>
              <w:t>43</w:t>
            </w:r>
          </w:p>
        </w:tc>
        <w:tc>
          <w:tcPr>
            <w:tcW w:w="1280" w:type="dxa"/>
            <w:vAlign w:val="bottom"/>
          </w:tcPr>
          <w:p>
            <w:pPr>
              <w:jc w:val="right"/>
              <w:ind w:right="431"/>
              <w:spacing w:after="0"/>
              <w:rPr>
                <w:sz w:val="20"/>
                <w:szCs w:val="20"/>
                <w:color w:val="auto"/>
              </w:rPr>
            </w:pPr>
            <w:r>
              <w:rPr>
                <w:rFonts w:ascii="Arial" w:cs="Arial" w:eastAsia="Arial" w:hAnsi="Arial"/>
                <w:sz w:val="18"/>
                <w:szCs w:val="18"/>
                <w:color w:val="auto"/>
              </w:rPr>
              <w:t>9</w:t>
            </w:r>
          </w:p>
        </w:tc>
        <w:tc>
          <w:tcPr>
            <w:tcW w:w="6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8000" w:type="dxa"/>
            <w:vAlign w:val="bottom"/>
          </w:tcPr>
          <w:p>
            <w:pPr>
              <w:ind w:left="560"/>
              <w:spacing w:after="0"/>
              <w:rPr>
                <w:sz w:val="20"/>
                <w:szCs w:val="20"/>
                <w:color w:val="auto"/>
              </w:rPr>
            </w:pPr>
            <w:r>
              <w:rPr>
                <w:rFonts w:ascii="Arial" w:cs="Arial" w:eastAsia="Arial" w:hAnsi="Arial"/>
                <w:sz w:val="18"/>
                <w:szCs w:val="18"/>
                <w:color w:val="auto"/>
              </w:rPr>
              <w:t>Asia</w:t>
            </w:r>
          </w:p>
        </w:tc>
        <w:tc>
          <w:tcPr>
            <w:tcW w:w="1340" w:type="dxa"/>
            <w:vAlign w:val="bottom"/>
          </w:tcPr>
          <w:p>
            <w:pPr>
              <w:jc w:val="right"/>
              <w:ind w:right="274"/>
              <w:spacing w:after="0"/>
              <w:rPr>
                <w:sz w:val="20"/>
                <w:szCs w:val="20"/>
                <w:color w:val="auto"/>
              </w:rPr>
            </w:pPr>
            <w:r>
              <w:rPr>
                <w:rFonts w:ascii="Arial" w:cs="Arial" w:eastAsia="Arial" w:hAnsi="Arial"/>
                <w:sz w:val="18"/>
                <w:szCs w:val="18"/>
                <w:color w:val="auto"/>
              </w:rPr>
              <w:t>3,465</w:t>
            </w:r>
          </w:p>
        </w:tc>
        <w:tc>
          <w:tcPr>
            <w:tcW w:w="1280" w:type="dxa"/>
            <w:vAlign w:val="bottom"/>
          </w:tcPr>
          <w:p>
            <w:pPr>
              <w:jc w:val="right"/>
              <w:ind w:right="431"/>
              <w:spacing w:after="0"/>
              <w:rPr>
                <w:sz w:val="20"/>
                <w:szCs w:val="20"/>
                <w:color w:val="auto"/>
              </w:rPr>
            </w:pPr>
            <w:r>
              <w:rPr>
                <w:rFonts w:ascii="Arial" w:cs="Arial" w:eastAsia="Arial" w:hAnsi="Arial"/>
                <w:sz w:val="18"/>
                <w:szCs w:val="18"/>
                <w:color w:val="auto"/>
              </w:rPr>
              <w:t>3,486</w:t>
            </w:r>
          </w:p>
        </w:tc>
        <w:tc>
          <w:tcPr>
            <w:tcW w:w="620" w:type="dxa"/>
            <w:vAlign w:val="bottom"/>
          </w:tcPr>
          <w:p>
            <w:pPr>
              <w:jc w:val="right"/>
              <w:spacing w:after="0"/>
              <w:rPr>
                <w:sz w:val="20"/>
                <w:szCs w:val="20"/>
                <w:color w:val="auto"/>
              </w:rPr>
            </w:pPr>
            <w:r>
              <w:rPr>
                <w:rFonts w:ascii="Arial" w:cs="Arial" w:eastAsia="Arial" w:hAnsi="Arial"/>
                <w:sz w:val="18"/>
                <w:szCs w:val="18"/>
                <w:color w:val="auto"/>
              </w:rPr>
              <w:t>3,575</w:t>
            </w:r>
          </w:p>
        </w:tc>
      </w:tr>
      <w:tr>
        <w:trPr>
          <w:trHeight w:val="230"/>
        </w:trPr>
        <w:tc>
          <w:tcPr>
            <w:tcW w:w="8000" w:type="dxa"/>
            <w:vAlign w:val="bottom"/>
          </w:tcPr>
          <w:p>
            <w:pPr>
              <w:ind w:left="560"/>
              <w:spacing w:after="0"/>
              <w:rPr>
                <w:sz w:val="20"/>
                <w:szCs w:val="20"/>
                <w:color w:val="auto"/>
              </w:rPr>
            </w:pPr>
            <w:r>
              <w:rPr>
                <w:rFonts w:ascii="Arial" w:cs="Arial" w:eastAsia="Arial" w:hAnsi="Arial"/>
                <w:sz w:val="18"/>
                <w:szCs w:val="18"/>
                <w:color w:val="auto"/>
              </w:rPr>
              <w:t>Australia/Oceania</w:t>
            </w:r>
          </w:p>
        </w:tc>
        <w:tc>
          <w:tcPr>
            <w:tcW w:w="1340" w:type="dxa"/>
            <w:vAlign w:val="bottom"/>
            <w:tcBorders>
              <w:bottom w:val="single" w:sz="8" w:color="auto"/>
            </w:tcBorders>
          </w:tcPr>
          <w:p>
            <w:pPr>
              <w:jc w:val="right"/>
              <w:ind w:right="274"/>
              <w:spacing w:after="0"/>
              <w:rPr>
                <w:sz w:val="20"/>
                <w:szCs w:val="20"/>
                <w:color w:val="auto"/>
              </w:rPr>
            </w:pPr>
            <w:r>
              <w:rPr>
                <w:rFonts w:ascii="Arial" w:cs="Arial" w:eastAsia="Arial" w:hAnsi="Arial"/>
                <w:sz w:val="18"/>
                <w:szCs w:val="18"/>
                <w:color w:val="auto"/>
              </w:rPr>
              <w:t>1,280</w:t>
            </w:r>
          </w:p>
        </w:tc>
        <w:tc>
          <w:tcPr>
            <w:tcW w:w="128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color w:val="auto"/>
              </w:rPr>
              <w:t>1,219</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1,319</w:t>
            </w:r>
          </w:p>
        </w:tc>
      </w:tr>
      <w:tr>
        <w:trPr>
          <w:trHeight w:val="223"/>
        </w:trPr>
        <w:tc>
          <w:tcPr>
            <w:tcW w:w="8000" w:type="dxa"/>
            <w:vAlign w:val="bottom"/>
          </w:tcPr>
          <w:p>
            <w:pPr>
              <w:ind w:left="220"/>
              <w:spacing w:after="0"/>
              <w:rPr>
                <w:sz w:val="20"/>
                <w:szCs w:val="20"/>
                <w:color w:val="auto"/>
              </w:rPr>
            </w:pPr>
            <w:r>
              <w:rPr>
                <w:rFonts w:ascii="Arial" w:cs="Arial" w:eastAsia="Arial" w:hAnsi="Arial"/>
                <w:sz w:val="18"/>
                <w:szCs w:val="18"/>
                <w:color w:val="auto"/>
              </w:rPr>
              <w:t>Worldwide</w:t>
            </w:r>
          </w:p>
        </w:tc>
        <w:tc>
          <w:tcPr>
            <w:tcW w:w="1340" w:type="dxa"/>
            <w:vAlign w:val="bottom"/>
            <w:tcBorders>
              <w:bottom w:val="single" w:sz="8" w:color="auto"/>
            </w:tcBorders>
          </w:tcPr>
          <w:p>
            <w:pPr>
              <w:jc w:val="right"/>
              <w:ind w:right="274"/>
              <w:spacing w:after="0"/>
              <w:rPr>
                <w:sz w:val="20"/>
                <w:szCs w:val="20"/>
                <w:color w:val="auto"/>
              </w:rPr>
            </w:pPr>
            <w:r>
              <w:rPr>
                <w:rFonts w:ascii="Arial" w:cs="Arial" w:eastAsia="Arial" w:hAnsi="Arial"/>
                <w:sz w:val="18"/>
                <w:szCs w:val="18"/>
                <w:color w:val="auto"/>
              </w:rPr>
              <w:t>8,537</w:t>
            </w:r>
          </w:p>
        </w:tc>
        <w:tc>
          <w:tcPr>
            <w:tcW w:w="128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color w:val="auto"/>
              </w:rPr>
              <w:t>8,471</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9,394</w:t>
            </w:r>
          </w:p>
        </w:tc>
      </w:tr>
      <w:tr>
        <w:trPr>
          <w:trHeight w:val="440"/>
        </w:trPr>
        <w:tc>
          <w:tcPr>
            <w:tcW w:w="8000" w:type="dxa"/>
            <w:vAlign w:val="bottom"/>
          </w:tcPr>
          <w:p>
            <w:pPr>
              <w:spacing w:after="0"/>
              <w:rPr>
                <w:sz w:val="24"/>
                <w:szCs w:val="24"/>
                <w:color w:val="auto"/>
              </w:rPr>
            </w:pPr>
          </w:p>
        </w:tc>
        <w:tc>
          <w:tcPr>
            <w:tcW w:w="3240" w:type="dxa"/>
            <w:vAlign w:val="bottom"/>
            <w:gridSpan w:val="3"/>
          </w:tcPr>
          <w:p>
            <w:pPr>
              <w:jc w:val="center"/>
              <w:spacing w:after="0"/>
              <w:rPr>
                <w:sz w:val="20"/>
                <w:szCs w:val="20"/>
                <w:color w:val="auto"/>
              </w:rPr>
            </w:pPr>
            <w:r>
              <w:rPr>
                <w:rFonts w:ascii="Arial" w:cs="Arial" w:eastAsia="Arial" w:hAnsi="Arial"/>
                <w:sz w:val="14"/>
                <w:szCs w:val="14"/>
                <w:i w:val="1"/>
                <w:iCs w:val="1"/>
                <w:color w:val="auto"/>
                <w:w w:val="95"/>
              </w:rPr>
              <w:t>(thousands of oil-equivalent barrels daily)</w:t>
            </w:r>
          </w:p>
        </w:tc>
      </w:tr>
      <w:tr>
        <w:trPr>
          <w:trHeight w:val="268"/>
        </w:trPr>
        <w:tc>
          <w:tcPr>
            <w:tcW w:w="8000" w:type="dxa"/>
            <w:vAlign w:val="bottom"/>
          </w:tcPr>
          <w:p>
            <w:pPr>
              <w:ind w:left="20"/>
              <w:spacing w:after="0"/>
              <w:rPr>
                <w:sz w:val="20"/>
                <w:szCs w:val="20"/>
                <w:color w:val="auto"/>
              </w:rPr>
            </w:pPr>
            <w:r>
              <w:rPr>
                <w:rFonts w:ascii="Arial" w:cs="Arial" w:eastAsia="Arial" w:hAnsi="Arial"/>
                <w:sz w:val="18"/>
                <w:szCs w:val="18"/>
                <w:color w:val="auto"/>
              </w:rPr>
              <w:t xml:space="preserve">Oil-equivalent production </w:t>
            </w:r>
            <w:r>
              <w:rPr>
                <w:rFonts w:ascii="Arial" w:cs="Arial" w:eastAsia="Arial" w:hAnsi="Arial"/>
                <w:sz w:val="14"/>
                <w:szCs w:val="14"/>
                <w:i w:val="1"/>
                <w:iCs w:val="1"/>
                <w:color w:val="auto"/>
              </w:rPr>
              <w:t>(2)</w:t>
            </w:r>
          </w:p>
        </w:tc>
        <w:tc>
          <w:tcPr>
            <w:tcW w:w="1340" w:type="dxa"/>
            <w:vAlign w:val="bottom"/>
            <w:tcBorders>
              <w:bottom w:val="single" w:sz="8" w:color="auto"/>
            </w:tcBorders>
          </w:tcPr>
          <w:p>
            <w:pPr>
              <w:jc w:val="right"/>
              <w:ind w:right="274"/>
              <w:spacing w:after="0"/>
              <w:rPr>
                <w:sz w:val="20"/>
                <w:szCs w:val="20"/>
                <w:color w:val="auto"/>
              </w:rPr>
            </w:pPr>
            <w:r>
              <w:rPr>
                <w:rFonts w:ascii="Arial" w:cs="Arial" w:eastAsia="Arial" w:hAnsi="Arial"/>
                <w:sz w:val="18"/>
                <w:szCs w:val="18"/>
                <w:color w:val="auto"/>
              </w:rPr>
              <w:t>3,712</w:t>
            </w:r>
          </w:p>
        </w:tc>
        <w:tc>
          <w:tcPr>
            <w:tcW w:w="128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color w:val="auto"/>
              </w:rPr>
              <w:t>3,761</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3,952</w:t>
            </w:r>
          </w:p>
        </w:tc>
      </w:tr>
    </w:tbl>
    <w:p>
      <w:pPr>
        <w:spacing w:after="0" w:line="256"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(2) Natural gas is converted to an oil-equivalent basis at six million cubic feet per one thousand barrels.</w:t>
      </w:r>
    </w:p>
    <w:p>
      <w:pPr>
        <w:sectPr>
          <w:pgSz w:w="11900" w:h="16838" w:orient="portrait"/>
          <w:cols w:equalWidth="0" w:num="1">
            <w:col w:w="11240"/>
          </w:cols>
          <w:pgMar w:left="320" w:top="266"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type w:val="continuous"/>
        </w:sectPr>
      </w:pPr>
    </w:p>
    <w:bookmarkStart w:id="50" w:name="page51"/>
    <w:bookmarkEnd w:id="50"/>
    <w:p>
      <w:pPr>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w:t>
      </w:r>
    </w:p>
    <w:p>
      <w:pPr>
        <w:spacing w:after="0" w:line="27"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Liquids production – 2.3 million barrels per day decreased 60 thousand barrels per day reflecting higher demand and growth, more than offset by entitlements, decline, and divestments.</w:t>
      </w:r>
    </w:p>
    <w:p>
      <w:pPr>
        <w:spacing w:after="0" w:line="2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Natural gas production available for sale – 8.5 billion cubic feet per day increased 66 million cubic feet per day from 2020, reflecting higher demand, partly offset by divestments and Groningen production limit.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w:t>
      </w:r>
    </w:p>
    <w:p>
      <w:pPr>
        <w:spacing w:after="0" w:line="2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Liquids production – 2.3 million barrels per day decreased 37 thousand barrels per day reflecting the impacts of government mandates, divestments, and lower demand, partly offset by growth and lower downtime.</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Natural gas production available for sale – 8.5 billion cubic feet per day decreased 923 million cubic feet per day from 2019, reflecting divestments, lower demand, and higher downtime, partly offset by growth.</w:t>
      </w:r>
    </w:p>
    <w:p>
      <w:pPr>
        <w:spacing w:after="0" w:line="38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Upstream Additional Information</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600" w:type="dxa"/>
            <w:vAlign w:val="bottom"/>
          </w:tcPr>
          <w:p>
            <w:pPr>
              <w:spacing w:after="0"/>
              <w:rPr>
                <w:sz w:val="16"/>
                <w:szCs w:val="16"/>
                <w:color w:val="auto"/>
              </w:rPr>
            </w:pPr>
          </w:p>
        </w:tc>
        <w:tc>
          <w:tcPr>
            <w:tcW w:w="2140" w:type="dxa"/>
            <w:vAlign w:val="bottom"/>
          </w:tcPr>
          <w:p>
            <w:pPr>
              <w:jc w:val="right"/>
              <w:ind w:right="814"/>
              <w:spacing w:after="0"/>
              <w:rPr>
                <w:sz w:val="20"/>
                <w:szCs w:val="20"/>
                <w:color w:val="auto"/>
              </w:rPr>
            </w:pPr>
            <w:r>
              <w:rPr>
                <w:rFonts w:ascii="Arial" w:cs="Arial" w:eastAsia="Arial" w:hAnsi="Arial"/>
                <w:sz w:val="14"/>
                <w:szCs w:val="14"/>
                <w:b w:val="1"/>
                <w:bCs w:val="1"/>
                <w:color w:val="auto"/>
              </w:rPr>
              <w:t>2021</w:t>
            </w: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r>
      <w:tr>
        <w:trPr>
          <w:trHeight w:val="39"/>
        </w:trPr>
        <w:tc>
          <w:tcPr>
            <w:tcW w:w="8600" w:type="dxa"/>
            <w:vAlign w:val="bottom"/>
            <w:tcBorders>
              <w:bottom w:val="single" w:sz="8" w:color="auto"/>
            </w:tcBorders>
          </w:tcPr>
          <w:p>
            <w:pPr>
              <w:spacing w:after="0"/>
              <w:rPr>
                <w:sz w:val="3"/>
                <w:szCs w:val="3"/>
                <w:color w:val="auto"/>
              </w:rPr>
            </w:pPr>
          </w:p>
        </w:tc>
        <w:tc>
          <w:tcPr>
            <w:tcW w:w="21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r>
      <w:tr>
        <w:trPr>
          <w:trHeight w:val="176"/>
        </w:trPr>
        <w:tc>
          <w:tcPr>
            <w:tcW w:w="8600" w:type="dxa"/>
            <w:vAlign w:val="bottom"/>
          </w:tcPr>
          <w:p>
            <w:pPr>
              <w:spacing w:after="0"/>
              <w:rPr>
                <w:sz w:val="15"/>
                <w:szCs w:val="15"/>
                <w:color w:val="auto"/>
              </w:rPr>
            </w:pPr>
          </w:p>
        </w:tc>
        <w:tc>
          <w:tcPr>
            <w:tcW w:w="2140" w:type="dxa"/>
            <w:vAlign w:val="bottom"/>
          </w:tcPr>
          <w:p>
            <w:pPr>
              <w:jc w:val="right"/>
              <w:spacing w:after="0"/>
              <w:rPr>
                <w:sz w:val="20"/>
                <w:szCs w:val="20"/>
                <w:color w:val="auto"/>
              </w:rPr>
            </w:pPr>
            <w:r>
              <w:rPr>
                <w:rFonts w:ascii="Arial" w:cs="Arial" w:eastAsia="Arial" w:hAnsi="Arial"/>
                <w:sz w:val="14"/>
                <w:szCs w:val="14"/>
                <w:i w:val="1"/>
                <w:iCs w:val="1"/>
                <w:color w:val="auto"/>
              </w:rPr>
              <w:t>(thousands of barrels daily)</w:t>
            </w:r>
          </w:p>
        </w:tc>
        <w:tc>
          <w:tcPr>
            <w:tcW w:w="500" w:type="dxa"/>
            <w:vAlign w:val="bottom"/>
          </w:tcPr>
          <w:p>
            <w:pPr>
              <w:spacing w:after="0"/>
              <w:rPr>
                <w:sz w:val="15"/>
                <w:szCs w:val="15"/>
                <w:color w:val="auto"/>
              </w:rPr>
            </w:pPr>
          </w:p>
        </w:tc>
      </w:tr>
      <w:tr>
        <w:trPr>
          <w:trHeight w:val="276"/>
        </w:trPr>
        <w:tc>
          <w:tcPr>
            <w:tcW w:w="8600" w:type="dxa"/>
            <w:vAlign w:val="bottom"/>
          </w:tcPr>
          <w:p>
            <w:pPr>
              <w:ind w:left="20"/>
              <w:spacing w:after="0"/>
              <w:rPr>
                <w:sz w:val="20"/>
                <w:szCs w:val="20"/>
                <w:color w:val="auto"/>
              </w:rPr>
            </w:pPr>
            <w:r>
              <w:rPr>
                <w:rFonts w:ascii="Arial" w:cs="Arial" w:eastAsia="Arial" w:hAnsi="Arial"/>
                <w:sz w:val="18"/>
                <w:szCs w:val="18"/>
                <w:b w:val="1"/>
                <w:bCs w:val="1"/>
                <w:color w:val="auto"/>
              </w:rPr>
              <w:t xml:space="preserve">Volumes Reconciliation </w:t>
            </w:r>
            <w:r>
              <w:rPr>
                <w:rFonts w:ascii="Arial" w:cs="Arial" w:eastAsia="Arial" w:hAnsi="Arial"/>
                <w:sz w:val="18"/>
                <w:szCs w:val="18"/>
                <w:color w:val="auto"/>
              </w:rPr>
              <w:t>(Oil-equivalent production)</w:t>
            </w:r>
            <w:r>
              <w:rPr>
                <w:rFonts w:ascii="Arial" w:cs="Arial" w:eastAsia="Arial" w:hAnsi="Arial"/>
                <w:sz w:val="18"/>
                <w:szCs w:val="18"/>
                <w:b w:val="1"/>
                <w:bCs w:val="1"/>
                <w:color w:val="auto"/>
              </w:rPr>
              <w:t xml:space="preserve"> </w:t>
            </w:r>
            <w:r>
              <w:rPr>
                <w:rFonts w:ascii="Arial" w:cs="Arial" w:eastAsia="Arial" w:hAnsi="Arial"/>
                <w:sz w:val="14"/>
                <w:szCs w:val="14"/>
                <w:i w:val="1"/>
                <w:iCs w:val="1"/>
                <w:color w:val="auto"/>
              </w:rPr>
              <w:t>(1)</w:t>
            </w:r>
          </w:p>
        </w:tc>
        <w:tc>
          <w:tcPr>
            <w:tcW w:w="2140" w:type="dxa"/>
            <w:vAlign w:val="bottom"/>
          </w:tcPr>
          <w:p>
            <w:pPr>
              <w:spacing w:after="0"/>
              <w:rPr>
                <w:sz w:val="23"/>
                <w:szCs w:val="23"/>
                <w:color w:val="auto"/>
              </w:rPr>
            </w:pPr>
          </w:p>
        </w:tc>
        <w:tc>
          <w:tcPr>
            <w:tcW w:w="500" w:type="dxa"/>
            <w:vAlign w:val="bottom"/>
          </w:tcPr>
          <w:p>
            <w:pPr>
              <w:spacing w:after="0"/>
              <w:rPr>
                <w:sz w:val="23"/>
                <w:szCs w:val="23"/>
                <w:color w:val="auto"/>
              </w:rPr>
            </w:pPr>
          </w:p>
        </w:tc>
      </w:tr>
      <w:tr>
        <w:trPr>
          <w:trHeight w:val="229"/>
        </w:trPr>
        <w:tc>
          <w:tcPr>
            <w:tcW w:w="8600" w:type="dxa"/>
            <w:vAlign w:val="bottom"/>
          </w:tcPr>
          <w:p>
            <w:pPr>
              <w:ind w:left="20"/>
              <w:spacing w:after="0"/>
              <w:rPr>
                <w:sz w:val="20"/>
                <w:szCs w:val="20"/>
                <w:color w:val="auto"/>
              </w:rPr>
            </w:pPr>
            <w:r>
              <w:rPr>
                <w:rFonts w:ascii="Arial" w:cs="Arial" w:eastAsia="Arial" w:hAnsi="Arial"/>
                <w:sz w:val="18"/>
                <w:szCs w:val="18"/>
                <w:color w:val="auto"/>
              </w:rPr>
              <w:t>Prior Year</w:t>
            </w:r>
          </w:p>
        </w:tc>
        <w:tc>
          <w:tcPr>
            <w:tcW w:w="2140" w:type="dxa"/>
            <w:vAlign w:val="bottom"/>
          </w:tcPr>
          <w:p>
            <w:pPr>
              <w:jc w:val="right"/>
              <w:ind w:right="854"/>
              <w:spacing w:after="0"/>
              <w:rPr>
                <w:sz w:val="20"/>
                <w:szCs w:val="20"/>
                <w:color w:val="auto"/>
              </w:rPr>
            </w:pPr>
            <w:r>
              <w:rPr>
                <w:rFonts w:ascii="Arial" w:cs="Arial" w:eastAsia="Arial" w:hAnsi="Arial"/>
                <w:sz w:val="18"/>
                <w:szCs w:val="18"/>
                <w:color w:val="auto"/>
              </w:rPr>
              <w:t>3,761</w:t>
            </w:r>
          </w:p>
        </w:tc>
        <w:tc>
          <w:tcPr>
            <w:tcW w:w="500" w:type="dxa"/>
            <w:vAlign w:val="bottom"/>
          </w:tcPr>
          <w:p>
            <w:pPr>
              <w:jc w:val="right"/>
              <w:spacing w:after="0"/>
              <w:rPr>
                <w:sz w:val="20"/>
                <w:szCs w:val="20"/>
                <w:color w:val="auto"/>
              </w:rPr>
            </w:pPr>
            <w:r>
              <w:rPr>
                <w:rFonts w:ascii="Arial" w:cs="Arial" w:eastAsia="Arial" w:hAnsi="Arial"/>
                <w:sz w:val="18"/>
                <w:szCs w:val="18"/>
                <w:color w:val="auto"/>
                <w:w w:val="88"/>
              </w:rPr>
              <w:t>3,952</w:t>
            </w:r>
          </w:p>
        </w:tc>
      </w:tr>
      <w:tr>
        <w:trPr>
          <w:trHeight w:val="229"/>
        </w:trPr>
        <w:tc>
          <w:tcPr>
            <w:tcW w:w="8600" w:type="dxa"/>
            <w:vAlign w:val="bottom"/>
          </w:tcPr>
          <w:p>
            <w:pPr>
              <w:ind w:left="680"/>
              <w:spacing w:after="0"/>
              <w:rPr>
                <w:sz w:val="20"/>
                <w:szCs w:val="20"/>
                <w:color w:val="auto"/>
              </w:rPr>
            </w:pPr>
            <w:r>
              <w:rPr>
                <w:rFonts w:ascii="Arial" w:cs="Arial" w:eastAsia="Arial" w:hAnsi="Arial"/>
                <w:sz w:val="18"/>
                <w:szCs w:val="18"/>
                <w:color w:val="auto"/>
              </w:rPr>
              <w:t>Entitlements - Net Interest</w:t>
            </w:r>
          </w:p>
        </w:tc>
        <w:tc>
          <w:tcPr>
            <w:tcW w:w="2140" w:type="dxa"/>
            <w:vAlign w:val="bottom"/>
          </w:tcPr>
          <w:p>
            <w:pPr>
              <w:jc w:val="right"/>
              <w:ind w:right="814"/>
              <w:spacing w:after="0"/>
              <w:rPr>
                <w:sz w:val="20"/>
                <w:szCs w:val="20"/>
                <w:color w:val="auto"/>
              </w:rPr>
            </w:pPr>
            <w:r>
              <w:rPr>
                <w:rFonts w:ascii="Arial" w:cs="Arial" w:eastAsia="Arial" w:hAnsi="Arial"/>
                <w:sz w:val="18"/>
                <w:szCs w:val="18"/>
                <w:color w:val="auto"/>
              </w:rPr>
              <w:t>(1)</w:t>
            </w:r>
          </w:p>
        </w:tc>
        <w:tc>
          <w:tcPr>
            <w:tcW w:w="5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8600" w:type="dxa"/>
            <w:vAlign w:val="bottom"/>
          </w:tcPr>
          <w:p>
            <w:pPr>
              <w:ind w:left="680"/>
              <w:spacing w:after="0"/>
              <w:rPr>
                <w:sz w:val="20"/>
                <w:szCs w:val="20"/>
                <w:color w:val="auto"/>
              </w:rPr>
            </w:pPr>
            <w:r>
              <w:rPr>
                <w:rFonts w:ascii="Arial" w:cs="Arial" w:eastAsia="Arial" w:hAnsi="Arial"/>
                <w:sz w:val="18"/>
                <w:szCs w:val="18"/>
                <w:color w:val="auto"/>
              </w:rPr>
              <w:t>Entitlements - Price / Spend / Other</w:t>
            </w:r>
          </w:p>
        </w:tc>
        <w:tc>
          <w:tcPr>
            <w:tcW w:w="2140" w:type="dxa"/>
            <w:vAlign w:val="bottom"/>
          </w:tcPr>
          <w:p>
            <w:pPr>
              <w:jc w:val="right"/>
              <w:ind w:right="814"/>
              <w:spacing w:after="0"/>
              <w:rPr>
                <w:sz w:val="20"/>
                <w:szCs w:val="20"/>
                <w:color w:val="auto"/>
              </w:rPr>
            </w:pPr>
            <w:r>
              <w:rPr>
                <w:rFonts w:ascii="Arial" w:cs="Arial" w:eastAsia="Arial" w:hAnsi="Arial"/>
                <w:sz w:val="18"/>
                <w:szCs w:val="18"/>
                <w:color w:val="auto"/>
              </w:rPr>
              <w:t>(97)</w:t>
            </w:r>
          </w:p>
        </w:tc>
        <w:tc>
          <w:tcPr>
            <w:tcW w:w="50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29"/>
        </w:trPr>
        <w:tc>
          <w:tcPr>
            <w:tcW w:w="8600" w:type="dxa"/>
            <w:vAlign w:val="bottom"/>
          </w:tcPr>
          <w:p>
            <w:pPr>
              <w:ind w:left="680"/>
              <w:spacing w:after="0"/>
              <w:rPr>
                <w:sz w:val="20"/>
                <w:szCs w:val="20"/>
                <w:color w:val="auto"/>
              </w:rPr>
            </w:pPr>
            <w:r>
              <w:rPr>
                <w:rFonts w:ascii="Arial" w:cs="Arial" w:eastAsia="Arial" w:hAnsi="Arial"/>
                <w:sz w:val="18"/>
                <w:szCs w:val="18"/>
                <w:color w:val="auto"/>
              </w:rPr>
              <w:t>Government Mandates</w:t>
            </w:r>
          </w:p>
        </w:tc>
        <w:tc>
          <w:tcPr>
            <w:tcW w:w="2140" w:type="dxa"/>
            <w:vAlign w:val="bottom"/>
          </w:tcPr>
          <w:p>
            <w:pPr>
              <w:jc w:val="right"/>
              <w:ind w:right="854"/>
              <w:spacing w:after="0"/>
              <w:rPr>
                <w:sz w:val="20"/>
                <w:szCs w:val="20"/>
                <w:color w:val="auto"/>
              </w:rPr>
            </w:pPr>
            <w:r>
              <w:rPr>
                <w:rFonts w:ascii="Arial" w:cs="Arial" w:eastAsia="Arial" w:hAnsi="Arial"/>
                <w:sz w:val="18"/>
                <w:szCs w:val="18"/>
                <w:color w:val="auto"/>
              </w:rPr>
              <w:t>8</w:t>
            </w:r>
          </w:p>
        </w:tc>
        <w:tc>
          <w:tcPr>
            <w:tcW w:w="50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29"/>
        </w:trPr>
        <w:tc>
          <w:tcPr>
            <w:tcW w:w="8600" w:type="dxa"/>
            <w:vAlign w:val="bottom"/>
          </w:tcPr>
          <w:p>
            <w:pPr>
              <w:ind w:left="680"/>
              <w:spacing w:after="0"/>
              <w:rPr>
                <w:sz w:val="20"/>
                <w:szCs w:val="20"/>
                <w:color w:val="auto"/>
              </w:rPr>
            </w:pPr>
            <w:r>
              <w:rPr>
                <w:rFonts w:ascii="Arial" w:cs="Arial" w:eastAsia="Arial" w:hAnsi="Arial"/>
                <w:sz w:val="18"/>
                <w:szCs w:val="18"/>
                <w:color w:val="auto"/>
              </w:rPr>
              <w:t>Divestments</w:t>
            </w:r>
          </w:p>
        </w:tc>
        <w:tc>
          <w:tcPr>
            <w:tcW w:w="2140" w:type="dxa"/>
            <w:vAlign w:val="bottom"/>
          </w:tcPr>
          <w:p>
            <w:pPr>
              <w:jc w:val="right"/>
              <w:ind w:right="814"/>
              <w:spacing w:after="0"/>
              <w:rPr>
                <w:sz w:val="20"/>
                <w:szCs w:val="20"/>
                <w:color w:val="auto"/>
              </w:rPr>
            </w:pPr>
            <w:r>
              <w:rPr>
                <w:rFonts w:ascii="Arial" w:cs="Arial" w:eastAsia="Arial" w:hAnsi="Arial"/>
                <w:sz w:val="18"/>
                <w:szCs w:val="18"/>
                <w:color w:val="auto"/>
              </w:rPr>
              <w:t>(24)</w:t>
            </w:r>
          </w:p>
        </w:tc>
        <w:tc>
          <w:tcPr>
            <w:tcW w:w="500" w:type="dxa"/>
            <w:vAlign w:val="bottom"/>
          </w:tcPr>
          <w:p>
            <w:pPr>
              <w:jc w:val="right"/>
              <w:spacing w:after="0"/>
              <w:rPr>
                <w:sz w:val="20"/>
                <w:szCs w:val="20"/>
                <w:color w:val="auto"/>
              </w:rPr>
            </w:pPr>
            <w:r>
              <w:rPr>
                <w:rFonts w:ascii="Arial" w:cs="Arial" w:eastAsia="Arial" w:hAnsi="Arial"/>
                <w:sz w:val="18"/>
                <w:szCs w:val="18"/>
                <w:color w:val="auto"/>
              </w:rPr>
              <w:t>(151)</w:t>
            </w:r>
          </w:p>
        </w:tc>
      </w:tr>
      <w:tr>
        <w:trPr>
          <w:trHeight w:val="230"/>
        </w:trPr>
        <w:tc>
          <w:tcPr>
            <w:tcW w:w="8600" w:type="dxa"/>
            <w:vAlign w:val="bottom"/>
          </w:tcPr>
          <w:p>
            <w:pPr>
              <w:ind w:left="680"/>
              <w:spacing w:after="0"/>
              <w:rPr>
                <w:sz w:val="20"/>
                <w:szCs w:val="20"/>
                <w:color w:val="auto"/>
              </w:rPr>
            </w:pPr>
            <w:r>
              <w:rPr>
                <w:rFonts w:ascii="Arial" w:cs="Arial" w:eastAsia="Arial" w:hAnsi="Arial"/>
                <w:sz w:val="18"/>
                <w:szCs w:val="18"/>
                <w:color w:val="auto"/>
              </w:rPr>
              <w:t>Demand / Growth / Other</w:t>
            </w:r>
          </w:p>
        </w:tc>
        <w:tc>
          <w:tcPr>
            <w:tcW w:w="2140" w:type="dxa"/>
            <w:vAlign w:val="bottom"/>
            <w:tcBorders>
              <w:bottom w:val="single" w:sz="8" w:color="auto"/>
            </w:tcBorders>
          </w:tcPr>
          <w:p>
            <w:pPr>
              <w:jc w:val="right"/>
              <w:ind w:right="854"/>
              <w:spacing w:after="0"/>
              <w:rPr>
                <w:sz w:val="20"/>
                <w:szCs w:val="20"/>
                <w:color w:val="auto"/>
              </w:rPr>
            </w:pPr>
            <w:r>
              <w:rPr>
                <w:rFonts w:ascii="Arial" w:cs="Arial" w:eastAsia="Arial" w:hAnsi="Arial"/>
                <w:sz w:val="18"/>
                <w:szCs w:val="18"/>
                <w:color w:val="auto"/>
              </w:rPr>
              <w:t>65</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223"/>
        </w:trPr>
        <w:tc>
          <w:tcPr>
            <w:tcW w:w="8600" w:type="dxa"/>
            <w:vAlign w:val="bottom"/>
          </w:tcPr>
          <w:p>
            <w:pPr>
              <w:ind w:left="20"/>
              <w:spacing w:after="0"/>
              <w:rPr>
                <w:sz w:val="20"/>
                <w:szCs w:val="20"/>
                <w:color w:val="auto"/>
              </w:rPr>
            </w:pPr>
            <w:r>
              <w:rPr>
                <w:rFonts w:ascii="Arial" w:cs="Arial" w:eastAsia="Arial" w:hAnsi="Arial"/>
                <w:sz w:val="18"/>
                <w:szCs w:val="18"/>
                <w:color w:val="auto"/>
              </w:rPr>
              <w:t>Current Year</w:t>
            </w:r>
          </w:p>
        </w:tc>
        <w:tc>
          <w:tcPr>
            <w:tcW w:w="2140" w:type="dxa"/>
            <w:vAlign w:val="bottom"/>
            <w:tcBorders>
              <w:bottom w:val="single" w:sz="8" w:color="auto"/>
            </w:tcBorders>
          </w:tcPr>
          <w:p>
            <w:pPr>
              <w:jc w:val="right"/>
              <w:ind w:right="854"/>
              <w:spacing w:after="0"/>
              <w:rPr>
                <w:sz w:val="20"/>
                <w:szCs w:val="20"/>
                <w:color w:val="auto"/>
              </w:rPr>
            </w:pPr>
            <w:r>
              <w:rPr>
                <w:rFonts w:ascii="Arial" w:cs="Arial" w:eastAsia="Arial" w:hAnsi="Arial"/>
                <w:sz w:val="18"/>
                <w:szCs w:val="18"/>
                <w:color w:val="auto"/>
              </w:rPr>
              <w:t>3,712</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3,761</w:t>
            </w:r>
          </w:p>
        </w:tc>
      </w:tr>
    </w:tbl>
    <w:p>
      <w:pPr>
        <w:spacing w:after="0" w:line="256"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(1) Natural gas is converted to an oil-equivalent basis at six million cubic feet per one thousand barrels.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Listed below are descriptions of ExxonMobil’s volumes reconciliation factors which are provided to facilitate understanding of the terms.</w:t>
      </w:r>
    </w:p>
    <w:p>
      <w:pPr>
        <w:spacing w:after="0" w:line="10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Entitlements - Net Interest </w:t>
      </w:r>
      <w:r>
        <w:rPr>
          <w:rFonts w:ascii="Arial" w:cs="Arial" w:eastAsia="Arial" w:hAnsi="Arial"/>
          <w:sz w:val="18"/>
          <w:szCs w:val="18"/>
          <w:color w:val="auto"/>
        </w:rPr>
        <w:t>are changes to ExxonMobil’s share of production volumes caused by non-operational changes to volume-determining factors.</w:t>
      </w:r>
      <w:r>
        <w:rPr>
          <w:rFonts w:ascii="Arial" w:cs="Arial" w:eastAsia="Arial" w:hAnsi="Arial"/>
          <w:sz w:val="18"/>
          <w:szCs w:val="18"/>
          <w:i w:val="1"/>
          <w:iCs w:val="1"/>
          <w:color w:val="auto"/>
        </w:rPr>
        <w:t xml:space="preserve"> </w:t>
      </w:r>
      <w:r>
        <w:rPr>
          <w:rFonts w:ascii="Arial" w:cs="Arial" w:eastAsia="Arial" w:hAnsi="Arial"/>
          <w:sz w:val="18"/>
          <w:szCs w:val="18"/>
          <w:color w:val="auto"/>
        </w:rPr>
        <w:t>These factors consist of net interest changes specified in Production Sharing Contracts (PSCs) which typically occur when cumulative investment returns or production volumes achieve defined thresholds, changes in equity upon achieving pay-out in partner investment carry situations, equity redeterminations as specified in venture agreements, or as a result of the termination or expiry of a concession. Once a net interest change has occurred, it typically will not be reversed by subsequent events, such as lower crude oil prices.</w:t>
      </w:r>
    </w:p>
    <w:p>
      <w:pPr>
        <w:spacing w:after="0" w:line="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Entitlements - Price, Spend and Other </w:t>
      </w:r>
      <w:r>
        <w:rPr>
          <w:rFonts w:ascii="Arial" w:cs="Arial" w:eastAsia="Arial" w:hAnsi="Arial"/>
          <w:sz w:val="18"/>
          <w:szCs w:val="18"/>
          <w:color w:val="auto"/>
        </w:rPr>
        <w:t>are changes to ExxonMobil’s share of production volumes resulting from temporary changes to non-operational</w:t>
      </w:r>
      <w:r>
        <w:rPr>
          <w:rFonts w:ascii="Arial" w:cs="Arial" w:eastAsia="Arial" w:hAnsi="Arial"/>
          <w:sz w:val="18"/>
          <w:szCs w:val="18"/>
          <w:i w:val="1"/>
          <w:iCs w:val="1"/>
          <w:color w:val="auto"/>
        </w:rPr>
        <w:t xml:space="preserve"> </w:t>
      </w:r>
      <w:r>
        <w:rPr>
          <w:rFonts w:ascii="Arial" w:cs="Arial" w:eastAsia="Arial" w:hAnsi="Arial"/>
          <w:sz w:val="18"/>
          <w:szCs w:val="18"/>
          <w:color w:val="auto"/>
        </w:rPr>
        <w:t>volume-determining factors. These factors include changes in oil and gas prices or spending levels from one period to another. According to the terms of contractual arrangements or government royalty regimes, price or spending variability can increase or decrease royalty burdens and/or volumes attributable to ExxonMobil. For example, at higher prices, fewer barrels are required for ExxonMobil to recover its costs. These effects generally vary from period to period with field spending patterns or market prices for oil and natural gas. Such factors can also include other temporary changes in net interest as dictated by specific provisions in production agreements.</w:t>
      </w:r>
    </w:p>
    <w:p>
      <w:pPr>
        <w:spacing w:after="0" w:line="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Government Mandates </w:t>
      </w:r>
      <w:r>
        <w:rPr>
          <w:rFonts w:ascii="Arial" w:cs="Arial" w:eastAsia="Arial" w:hAnsi="Arial"/>
          <w:sz w:val="18"/>
          <w:szCs w:val="18"/>
          <w:color w:val="auto"/>
        </w:rPr>
        <w:t>are changes to ExxonMobil's sustainable production levels due to temporary non-operational production limits imposed by</w:t>
      </w:r>
      <w:r>
        <w:rPr>
          <w:rFonts w:ascii="Arial" w:cs="Arial" w:eastAsia="Arial" w:hAnsi="Arial"/>
          <w:sz w:val="18"/>
          <w:szCs w:val="18"/>
          <w:i w:val="1"/>
          <w:iCs w:val="1"/>
          <w:color w:val="auto"/>
        </w:rPr>
        <w:t xml:space="preserve"> </w:t>
      </w:r>
      <w:r>
        <w:rPr>
          <w:rFonts w:ascii="Arial" w:cs="Arial" w:eastAsia="Arial" w:hAnsi="Arial"/>
          <w:sz w:val="18"/>
          <w:szCs w:val="18"/>
          <w:color w:val="auto"/>
        </w:rPr>
        <w:t>governments, generally upon a sector, type or method of production.</w:t>
      </w:r>
    </w:p>
    <w:p>
      <w:pPr>
        <w:spacing w:after="0" w:line="4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Divestments </w:t>
      </w:r>
      <w:r>
        <w:rPr>
          <w:rFonts w:ascii="Arial" w:cs="Arial" w:eastAsia="Arial" w:hAnsi="Arial"/>
          <w:sz w:val="18"/>
          <w:szCs w:val="18"/>
          <w:color w:val="auto"/>
        </w:rPr>
        <w:t>are reductions in ExxonMobil’s production arising from commercial arrangements to fully or partially reduce equity in a field or asset in</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for financial or other economic consideration.</w:t>
      </w:r>
    </w:p>
    <w:p>
      <w:pPr>
        <w:spacing w:after="0" w:line="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Demand, Growth and Other </w:t>
      </w:r>
      <w:r>
        <w:rPr>
          <w:rFonts w:ascii="Arial" w:cs="Arial" w:eastAsia="Arial" w:hAnsi="Arial"/>
          <w:sz w:val="18"/>
          <w:szCs w:val="18"/>
          <w:color w:val="auto"/>
        </w:rPr>
        <w:t>factors comprise all other operational and non-operational factors not covered by the above definitions that may affect volumes</w:t>
      </w:r>
      <w:r>
        <w:rPr>
          <w:rFonts w:ascii="Arial" w:cs="Arial" w:eastAsia="Arial" w:hAnsi="Arial"/>
          <w:sz w:val="18"/>
          <w:szCs w:val="18"/>
          <w:i w:val="1"/>
          <w:iCs w:val="1"/>
          <w:color w:val="auto"/>
        </w:rPr>
        <w:t xml:space="preserve"> </w:t>
      </w:r>
      <w:r>
        <w:rPr>
          <w:rFonts w:ascii="Arial" w:cs="Arial" w:eastAsia="Arial" w:hAnsi="Arial"/>
          <w:sz w:val="18"/>
          <w:szCs w:val="18"/>
          <w:color w:val="auto"/>
        </w:rPr>
        <w:t>attributable to ExxonMobil. Such factors include, but are not limited to, production enhancements from project and work program activities, acquisitions including additions from asset exchanges, downtime, market demand, natural field decline, and any fiscal or commercial terms that do not affect entitlements.</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51" w:name="page52"/>
    <w:bookmarkEnd w:id="51"/>
    <w:p>
      <w:pPr>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Downstream</w:t>
      </w:r>
    </w:p>
    <w:p>
      <w:pPr>
        <w:spacing w:after="0" w:line="9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ExxonMobil’s Downstream continues to be one of the largest, most integrated businesses among international oil companies (IOC), with significant positions across the full value chain including logistics, trading, refining, and marketing. The Corporation has a well-established presence in the Americas, Europe, and Asia Pacific.</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Downstream strategies competitively position the business across a range of market conditions. These strategies focus on providing high-value and lower-emission products that customers need to power global mobility; leveraging strong operations performance; capitalizing on integration across all ExxonMobil businesses; maximizing value from advantaged technology and a robust pipeline of lower-emission opportunities; and improving portfolio competitiveness and resilience with advantaged investments and divestments.</w:t>
      </w:r>
    </w:p>
    <w:p>
      <w:pPr>
        <w:spacing w:after="0" w:line="6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With its large manufacturing footprint, ExxonMobil’s Downstream earnings are closely tied to industry refining margins. Refining margins improved steadily throughout 2021, recovering from historic lows in 2020 driven by COVID-19 pandemic demand impacts. By the end of 2021, refining margins had recovered to the bottom of the 10-year historical band from 2010 to 2019. Demand for gasoline and diesel had essentially recovered to normal levels by the end of 2021, while jet fuel demand remained below historical levels reflecting continued COVID-19 restrictions. Refining margins are anticipated to further improve in the near term as the recovery in international travel increases demand for jet fuel, and strong chemical demand persists for products essential to modern life. With improving market conditions, we restarted projects in Beaumont, Texas and Singapore to further strengthen the portfolio by increasing production of high-value fuels and lubricants.</w:t>
      </w:r>
    </w:p>
    <w:p>
      <w:pPr>
        <w:spacing w:after="0" w:line="6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Refining margins are largely driven by differences in commodity prices and are a function of the difference between what a refinery pays for its raw materials and the market prices for the range of products produced. Crude oil and many products are widely traded with published prices, including those quoted on multiple exchanges around the world (e.g. New York Mercantile Exchange and Intercontinental Exchange). Prices for these commodities are determined by the global marketplace and are influenced by many factors, including global and regional supply/demand balances, inventory levels, industry refinery operations, import/export balances, currency fluctuations, seasonal demand, weather, and political climate. ExxonMobil’s outlook is that industry refining margins will remain volatile subject to shifting consumer demand as well as capacity changes from refinery additions and closures. ExxonMobil’s significant integration both within the Downstream value chains including lubricants, logistics, trading, refining, and marketing, as well as with Upstream and Chemical, improves our ability to generate shareholder value in a variety of market conditions.</w:t>
      </w:r>
    </w:p>
    <w:p>
      <w:pPr>
        <w:spacing w:after="0" w:line="57"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ExxonMobil continues to grow fuels product sales in new markets near major production assets with continued progress in the Mexico and Indonesia markets. Similarly, the lubricants business continues to grow, especially in Asia Pacific and the industrial sector, leveraging world class brands and integration with basestocks refining capability. Through the Mobil brands, such as Mobil 1, ExxonMobil is the worldwide leader in synthetic motor oils.</w:t>
      </w:r>
    </w:p>
    <w:p>
      <w:pPr>
        <w:spacing w:after="0" w:line="4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Downstream business is characterized by periods of margin volatility resulting from short-term and long-term supply and demand fluctuations. Proposed carbon policy and other climate-related regulations in many countries have the potential to increase industry volatility, both favorably and unfavorably. ExxonMobil continually evaluates the Downstream portfolio during all phases of the business cycle, which has resulted in numerous asset divestments and terminal conversions over the past decade to strengthen overall profitability and resiliency. When investing in the Downstream, ExxonMobil remains focused on projects resilient across a broad range of market conditions to support capturing value when opportunities emerge.</w:t>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Recent Events</w:t>
      </w:r>
    </w:p>
    <w:p>
      <w:pPr>
        <w:spacing w:after="0" w:line="63" w:lineRule="exact"/>
        <w:rPr>
          <w:sz w:val="20"/>
          <w:szCs w:val="20"/>
          <w:color w:val="auto"/>
        </w:rPr>
      </w:pPr>
    </w:p>
    <w:p>
      <w:pPr>
        <w:jc w:val="both"/>
        <w:spacing w:after="0" w:line="312" w:lineRule="auto"/>
        <w:rPr>
          <w:sz w:val="20"/>
          <w:szCs w:val="20"/>
          <w:color w:val="auto"/>
        </w:rPr>
      </w:pPr>
      <w:r>
        <w:rPr>
          <w:rFonts w:ascii="Arial" w:cs="Arial" w:eastAsia="Arial" w:hAnsi="Arial"/>
          <w:sz w:val="17"/>
          <w:szCs w:val="17"/>
          <w:b w:val="1"/>
          <w:bCs w:val="1"/>
          <w:color w:val="auto"/>
        </w:rPr>
        <w:t>Lower-emission fuels</w:t>
      </w:r>
      <w:r>
        <w:rPr>
          <w:rFonts w:ascii="Arial" w:cs="Arial" w:eastAsia="Arial" w:hAnsi="Arial"/>
          <w:sz w:val="17"/>
          <w:szCs w:val="17"/>
          <w:color w:val="auto"/>
        </w:rPr>
        <w:t>: ExxonMobil announced plans for more than 40 thousand barrels per day of lower-emission fuels by 2025, including a new</w:t>
      </w:r>
      <w:r>
        <w:rPr>
          <w:rFonts w:ascii="Arial" w:cs="Arial" w:eastAsia="Arial" w:hAnsi="Arial"/>
          <w:sz w:val="17"/>
          <w:szCs w:val="17"/>
          <w:b w:val="1"/>
          <w:bCs w:val="1"/>
          <w:color w:val="auto"/>
        </w:rPr>
        <w:t xml:space="preserve"> </w:t>
      </w:r>
      <w:r>
        <w:rPr>
          <w:rFonts w:ascii="Arial" w:cs="Arial" w:eastAsia="Arial" w:hAnsi="Arial"/>
          <w:sz w:val="17"/>
          <w:szCs w:val="17"/>
          <w:color w:val="auto"/>
        </w:rPr>
        <w:t>renewable diesel unit at the Strathcona refinery, and purchase agreements with Global Clean Energy in the U.S. and Biojet AS in Norway.</w:t>
      </w:r>
    </w:p>
    <w:p>
      <w:pPr>
        <w:spacing w:after="0" w:line="1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Terminal conversions</w:t>
      </w:r>
      <w:r>
        <w:rPr>
          <w:rFonts w:ascii="Arial" w:cs="Arial" w:eastAsia="Arial" w:hAnsi="Arial"/>
          <w:sz w:val="18"/>
          <w:szCs w:val="18"/>
          <w:color w:val="auto"/>
        </w:rPr>
        <w:t>: ExxonMobil converted the Slagen, Norway and Altona, Australia refineries into product import terminals capable of serving</w:t>
      </w:r>
      <w:r>
        <w:rPr>
          <w:rFonts w:ascii="Arial" w:cs="Arial" w:eastAsia="Arial" w:hAnsi="Arial"/>
          <w:sz w:val="18"/>
          <w:szCs w:val="18"/>
          <w:b w:val="1"/>
          <w:bCs w:val="1"/>
          <w:color w:val="auto"/>
        </w:rPr>
        <w:t xml:space="preserve"> </w:t>
      </w:r>
      <w:r>
        <w:rPr>
          <w:rFonts w:ascii="Arial" w:cs="Arial" w:eastAsia="Arial" w:hAnsi="Arial"/>
          <w:sz w:val="18"/>
          <w:szCs w:val="18"/>
          <w:color w:val="auto"/>
        </w:rPr>
        <w:t>existing markets. Additionally, Refining New Zealand announced conversion of its refinery (in which ExxonMobil owns a 17% minority share) to a product import terminal in 2022.</w:t>
      </w:r>
    </w:p>
    <w:p>
      <w:pPr>
        <w:sectPr>
          <w:pgSz w:w="11900" w:h="16838" w:orient="portrait"/>
          <w:cols w:equalWidth="0" w:num="1">
            <w:col w:w="11240"/>
          </w:cols>
          <w:pgMar w:left="320" w:top="26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type w:val="continuous"/>
        </w:sectPr>
      </w:pPr>
    </w:p>
    <w:bookmarkStart w:id="52" w:name="page53"/>
    <w:bookmarkEnd w:id="52"/>
    <w:p>
      <w:pPr>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Downstream Financial Results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1400" w:type="dxa"/>
            <w:vAlign w:val="bottom"/>
          </w:tcPr>
          <w:p>
            <w:pPr>
              <w:jc w:val="right"/>
              <w:ind w:right="273"/>
              <w:spacing w:after="0"/>
              <w:rPr>
                <w:sz w:val="20"/>
                <w:szCs w:val="20"/>
                <w:color w:val="auto"/>
              </w:rPr>
            </w:pPr>
            <w:r>
              <w:rPr>
                <w:rFonts w:ascii="Arial" w:cs="Arial" w:eastAsia="Arial" w:hAnsi="Arial"/>
                <w:sz w:val="14"/>
                <w:szCs w:val="14"/>
                <w:b w:val="1"/>
                <w:bCs w:val="1"/>
                <w:color w:val="auto"/>
              </w:rPr>
              <w:t>2020</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r>
      <w:tr>
        <w:trPr>
          <w:trHeight w:val="39"/>
        </w:trPr>
        <w:tc>
          <w:tcPr>
            <w:tcW w:w="8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r>
      <w:tr>
        <w:trPr>
          <w:trHeight w:val="184"/>
        </w:trPr>
        <w:tc>
          <w:tcPr>
            <w:tcW w:w="8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0" w:type="dxa"/>
            <w:vAlign w:val="bottom"/>
          </w:tcPr>
          <w:p>
            <w:pPr>
              <w:jc w:val="right"/>
              <w:ind w:right="133"/>
              <w:spacing w:after="0"/>
              <w:rPr>
                <w:sz w:val="20"/>
                <w:szCs w:val="20"/>
                <w:color w:val="auto"/>
              </w:rPr>
            </w:pPr>
            <w:r>
              <w:rPr>
                <w:rFonts w:ascii="Arial" w:cs="Arial" w:eastAsia="Arial" w:hAnsi="Arial"/>
                <w:sz w:val="14"/>
                <w:szCs w:val="14"/>
                <w:i w:val="1"/>
                <w:iCs w:val="1"/>
                <w:color w:val="auto"/>
                <w:w w:val="99"/>
              </w:rPr>
              <w:t>(millions of dollars)</w:t>
            </w:r>
          </w:p>
        </w:tc>
        <w:tc>
          <w:tcPr>
            <w:tcW w:w="720" w:type="dxa"/>
            <w:vAlign w:val="bottom"/>
          </w:tcPr>
          <w:p>
            <w:pPr>
              <w:spacing w:after="0"/>
              <w:rPr>
                <w:sz w:val="16"/>
                <w:szCs w:val="16"/>
                <w:color w:val="auto"/>
              </w:rPr>
            </w:pPr>
          </w:p>
        </w:tc>
      </w:tr>
      <w:tr>
        <w:trPr>
          <w:trHeight w:val="268"/>
        </w:trPr>
        <w:tc>
          <w:tcPr>
            <w:tcW w:w="8180" w:type="dxa"/>
            <w:vAlign w:val="bottom"/>
          </w:tcPr>
          <w:p>
            <w:pPr>
              <w:ind w:left="20"/>
              <w:spacing w:after="0"/>
              <w:rPr>
                <w:sz w:val="20"/>
                <w:szCs w:val="20"/>
                <w:color w:val="auto"/>
              </w:rPr>
            </w:pPr>
            <w:r>
              <w:rPr>
                <w:rFonts w:ascii="Arial" w:cs="Arial" w:eastAsia="Arial" w:hAnsi="Arial"/>
                <w:sz w:val="18"/>
                <w:szCs w:val="18"/>
                <w:color w:val="auto"/>
              </w:rPr>
              <w:t>Earnings (loss) (U.S. GAAP)</w:t>
            </w:r>
          </w:p>
        </w:tc>
        <w:tc>
          <w:tcPr>
            <w:tcW w:w="9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720" w:type="dxa"/>
            <w:vAlign w:val="bottom"/>
          </w:tcPr>
          <w:p>
            <w:pPr>
              <w:spacing w:after="0"/>
              <w:rPr>
                <w:sz w:val="23"/>
                <w:szCs w:val="23"/>
                <w:color w:val="auto"/>
              </w:rPr>
            </w:pPr>
          </w:p>
        </w:tc>
      </w:tr>
      <w:tr>
        <w:trPr>
          <w:trHeight w:val="230"/>
        </w:trPr>
        <w:tc>
          <w:tcPr>
            <w:tcW w:w="8180" w:type="dxa"/>
            <w:vAlign w:val="bottom"/>
          </w:tcPr>
          <w:p>
            <w:pPr>
              <w:ind w:left="440"/>
              <w:spacing w:after="0"/>
              <w:rPr>
                <w:sz w:val="20"/>
                <w:szCs w:val="20"/>
                <w:color w:val="auto"/>
              </w:rPr>
            </w:pPr>
            <w:r>
              <w:rPr>
                <w:rFonts w:ascii="Arial" w:cs="Arial" w:eastAsia="Arial" w:hAnsi="Arial"/>
                <w:sz w:val="18"/>
                <w:szCs w:val="18"/>
                <w:color w:val="auto"/>
              </w:rPr>
              <w:t>United States</w:t>
            </w:r>
          </w:p>
        </w:tc>
        <w:tc>
          <w:tcPr>
            <w:tcW w:w="940" w:type="dxa"/>
            <w:vAlign w:val="bottom"/>
          </w:tcPr>
          <w:p>
            <w:pPr>
              <w:jc w:val="right"/>
              <w:spacing w:after="0"/>
              <w:rPr>
                <w:sz w:val="20"/>
                <w:szCs w:val="20"/>
                <w:color w:val="auto"/>
              </w:rPr>
            </w:pPr>
            <w:r>
              <w:rPr>
                <w:rFonts w:ascii="Arial" w:cs="Arial" w:eastAsia="Arial" w:hAnsi="Arial"/>
                <w:sz w:val="18"/>
                <w:szCs w:val="18"/>
                <w:color w:val="auto"/>
              </w:rPr>
              <w:t>1,314</w:t>
            </w:r>
          </w:p>
        </w:tc>
        <w:tc>
          <w:tcPr>
            <w:tcW w:w="1400" w:type="dxa"/>
            <w:vAlign w:val="bottom"/>
          </w:tcPr>
          <w:p>
            <w:pPr>
              <w:jc w:val="right"/>
              <w:ind w:right="273"/>
              <w:spacing w:after="0"/>
              <w:rPr>
                <w:sz w:val="20"/>
                <w:szCs w:val="20"/>
                <w:color w:val="auto"/>
              </w:rPr>
            </w:pPr>
            <w:r>
              <w:rPr>
                <w:rFonts w:ascii="Arial" w:cs="Arial" w:eastAsia="Arial" w:hAnsi="Arial"/>
                <w:sz w:val="18"/>
                <w:szCs w:val="18"/>
                <w:color w:val="auto"/>
              </w:rPr>
              <w:t>(852)</w:t>
            </w:r>
          </w:p>
        </w:tc>
        <w:tc>
          <w:tcPr>
            <w:tcW w:w="720" w:type="dxa"/>
            <w:vAlign w:val="bottom"/>
          </w:tcPr>
          <w:p>
            <w:pPr>
              <w:jc w:val="right"/>
              <w:spacing w:after="0"/>
              <w:rPr>
                <w:sz w:val="20"/>
                <w:szCs w:val="20"/>
                <w:color w:val="auto"/>
              </w:rPr>
            </w:pPr>
            <w:r>
              <w:rPr>
                <w:rFonts w:ascii="Arial" w:cs="Arial" w:eastAsia="Arial" w:hAnsi="Arial"/>
                <w:sz w:val="18"/>
                <w:szCs w:val="18"/>
                <w:color w:val="auto"/>
              </w:rPr>
              <w:t>1,717</w:t>
            </w:r>
          </w:p>
        </w:tc>
      </w:tr>
      <w:tr>
        <w:trPr>
          <w:trHeight w:val="230"/>
        </w:trPr>
        <w:tc>
          <w:tcPr>
            <w:tcW w:w="8180" w:type="dxa"/>
            <w:vAlign w:val="bottom"/>
          </w:tcPr>
          <w:p>
            <w:pPr>
              <w:ind w:left="440"/>
              <w:spacing w:after="0"/>
              <w:rPr>
                <w:sz w:val="20"/>
                <w:szCs w:val="20"/>
                <w:color w:val="auto"/>
              </w:rPr>
            </w:pPr>
            <w:r>
              <w:rPr>
                <w:rFonts w:ascii="Arial" w:cs="Arial" w:eastAsia="Arial" w:hAnsi="Arial"/>
                <w:sz w:val="18"/>
                <w:szCs w:val="18"/>
                <w:color w:val="auto"/>
              </w:rPr>
              <w:t>Non-U.S.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791</w:t>
            </w:r>
          </w:p>
        </w:tc>
        <w:tc>
          <w:tcPr>
            <w:tcW w:w="1400" w:type="dxa"/>
            <w:vAlign w:val="bottom"/>
            <w:tcBorders>
              <w:bottom w:val="single" w:sz="8" w:color="auto"/>
            </w:tcBorders>
          </w:tcPr>
          <w:p>
            <w:pPr>
              <w:jc w:val="right"/>
              <w:ind w:right="273"/>
              <w:spacing w:after="0"/>
              <w:rPr>
                <w:sz w:val="20"/>
                <w:szCs w:val="20"/>
                <w:color w:val="auto"/>
              </w:rPr>
            </w:pPr>
            <w:r>
              <w:rPr>
                <w:rFonts w:ascii="Arial" w:cs="Arial" w:eastAsia="Arial" w:hAnsi="Arial"/>
                <w:sz w:val="18"/>
                <w:szCs w:val="18"/>
                <w:color w:val="auto"/>
              </w:rPr>
              <w:t>(225)</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w:t>
            </w:r>
          </w:p>
        </w:tc>
      </w:tr>
      <w:tr>
        <w:trPr>
          <w:trHeight w:val="223"/>
        </w:trPr>
        <w:tc>
          <w:tcPr>
            <w:tcW w:w="8180" w:type="dxa"/>
            <w:vAlign w:val="bottom"/>
          </w:tcPr>
          <w:p>
            <w:pPr>
              <w:ind w:left="840"/>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2,105</w:t>
            </w:r>
          </w:p>
        </w:tc>
        <w:tc>
          <w:tcPr>
            <w:tcW w:w="1400" w:type="dxa"/>
            <w:vAlign w:val="bottom"/>
            <w:tcBorders>
              <w:bottom w:val="single" w:sz="8" w:color="auto"/>
            </w:tcBorders>
          </w:tcPr>
          <w:p>
            <w:pPr>
              <w:jc w:val="right"/>
              <w:ind w:right="273"/>
              <w:spacing w:after="0"/>
              <w:rPr>
                <w:sz w:val="20"/>
                <w:szCs w:val="20"/>
                <w:color w:val="auto"/>
              </w:rPr>
            </w:pPr>
            <w:r>
              <w:rPr>
                <w:rFonts w:ascii="Arial" w:cs="Arial" w:eastAsia="Arial" w:hAnsi="Arial"/>
                <w:sz w:val="18"/>
                <w:szCs w:val="18"/>
                <w:color w:val="auto"/>
              </w:rPr>
              <w:t>(1,077)</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2,323</w:t>
            </w:r>
          </w:p>
        </w:tc>
      </w:tr>
      <w:tr>
        <w:trPr>
          <w:trHeight w:val="209"/>
        </w:trPr>
        <w:tc>
          <w:tcPr>
            <w:tcW w:w="8180" w:type="dxa"/>
            <w:vAlign w:val="bottom"/>
          </w:tcPr>
          <w:p>
            <w:pPr>
              <w:ind w:left="20"/>
              <w:spacing w:after="0"/>
              <w:rPr>
                <w:sz w:val="20"/>
                <w:szCs w:val="20"/>
                <w:color w:val="auto"/>
              </w:rPr>
            </w:pPr>
            <w:r>
              <w:rPr>
                <w:rFonts w:ascii="Arial" w:cs="Arial" w:eastAsia="Arial" w:hAnsi="Arial"/>
                <w:sz w:val="18"/>
                <w:szCs w:val="18"/>
                <w:color w:val="auto"/>
              </w:rPr>
              <w:t xml:space="preserve">Identified Items </w:t>
            </w:r>
            <w:r>
              <w:rPr>
                <w:rFonts w:ascii="Arial" w:cs="Arial" w:eastAsia="Arial" w:hAnsi="Arial"/>
                <w:sz w:val="14"/>
                <w:szCs w:val="14"/>
                <w:i w:val="1"/>
                <w:iCs w:val="1"/>
                <w:color w:val="auto"/>
              </w:rPr>
              <w:t>(1)</w:t>
            </w:r>
          </w:p>
        </w:tc>
        <w:tc>
          <w:tcPr>
            <w:tcW w:w="9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29"/>
        </w:trPr>
        <w:tc>
          <w:tcPr>
            <w:tcW w:w="8180" w:type="dxa"/>
            <w:vAlign w:val="bottom"/>
          </w:tcPr>
          <w:p>
            <w:pPr>
              <w:ind w:left="440"/>
              <w:spacing w:after="0"/>
              <w:rPr>
                <w:sz w:val="20"/>
                <w:szCs w:val="20"/>
                <w:color w:val="auto"/>
              </w:rPr>
            </w:pPr>
            <w:r>
              <w:rPr>
                <w:rFonts w:ascii="Arial" w:cs="Arial" w:eastAsia="Arial" w:hAnsi="Arial"/>
                <w:sz w:val="18"/>
                <w:szCs w:val="18"/>
                <w:color w:val="auto"/>
              </w:rPr>
              <w:t>United States</w:t>
            </w:r>
          </w:p>
        </w:tc>
        <w:tc>
          <w:tcPr>
            <w:tcW w:w="940" w:type="dxa"/>
            <w:vAlign w:val="bottom"/>
          </w:tcPr>
          <w:p>
            <w:pPr>
              <w:jc w:val="right"/>
              <w:spacing w:after="0"/>
              <w:rPr>
                <w:sz w:val="20"/>
                <w:szCs w:val="20"/>
                <w:color w:val="auto"/>
              </w:rPr>
            </w:pPr>
            <w:r>
              <w:rPr>
                <w:rFonts w:ascii="Arial" w:cs="Arial" w:eastAsia="Arial" w:hAnsi="Arial"/>
                <w:sz w:val="18"/>
                <w:szCs w:val="18"/>
                <w:color w:val="auto"/>
              </w:rPr>
              <w:t>4</w:t>
            </w:r>
          </w:p>
        </w:tc>
        <w:tc>
          <w:tcPr>
            <w:tcW w:w="1400" w:type="dxa"/>
            <w:vAlign w:val="bottom"/>
          </w:tcPr>
          <w:p>
            <w:pPr>
              <w:jc w:val="right"/>
              <w:ind w:right="273"/>
              <w:spacing w:after="0"/>
              <w:rPr>
                <w:sz w:val="20"/>
                <w:szCs w:val="20"/>
                <w:color w:val="auto"/>
              </w:rPr>
            </w:pPr>
            <w:r>
              <w:rPr>
                <w:rFonts w:ascii="Arial" w:cs="Arial" w:eastAsia="Arial" w:hAnsi="Arial"/>
                <w:sz w:val="18"/>
                <w:szCs w:val="18"/>
                <w:color w:val="auto"/>
              </w:rPr>
              <w:t>(4)</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180" w:type="dxa"/>
            <w:vAlign w:val="bottom"/>
          </w:tcPr>
          <w:p>
            <w:pPr>
              <w:ind w:left="440"/>
              <w:spacing w:after="0"/>
              <w:rPr>
                <w:sz w:val="20"/>
                <w:szCs w:val="20"/>
                <w:color w:val="auto"/>
              </w:rPr>
            </w:pPr>
            <w:r>
              <w:rPr>
                <w:rFonts w:ascii="Arial" w:cs="Arial" w:eastAsia="Arial" w:hAnsi="Arial"/>
                <w:sz w:val="18"/>
                <w:szCs w:val="18"/>
                <w:color w:val="auto"/>
              </w:rPr>
              <w:t>Non-U.S.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ind w:right="273"/>
              <w:spacing w:after="0"/>
              <w:rPr>
                <w:sz w:val="20"/>
                <w:szCs w:val="20"/>
                <w:color w:val="auto"/>
              </w:rPr>
            </w:pPr>
            <w:r>
              <w:rPr>
                <w:rFonts w:ascii="Arial" w:cs="Arial" w:eastAsia="Arial" w:hAnsi="Arial"/>
                <w:sz w:val="18"/>
                <w:szCs w:val="18"/>
                <w:color w:val="auto"/>
              </w:rPr>
              <w:t>(855)</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r>
      <w:tr>
        <w:trPr>
          <w:trHeight w:val="223"/>
        </w:trPr>
        <w:tc>
          <w:tcPr>
            <w:tcW w:w="8180" w:type="dxa"/>
            <w:vAlign w:val="bottom"/>
          </w:tcPr>
          <w:p>
            <w:pPr>
              <w:ind w:left="840"/>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400" w:type="dxa"/>
            <w:vAlign w:val="bottom"/>
            <w:tcBorders>
              <w:bottom w:val="single" w:sz="8" w:color="auto"/>
            </w:tcBorders>
          </w:tcPr>
          <w:p>
            <w:pPr>
              <w:jc w:val="right"/>
              <w:ind w:right="273"/>
              <w:spacing w:after="0"/>
              <w:rPr>
                <w:sz w:val="20"/>
                <w:szCs w:val="20"/>
                <w:color w:val="auto"/>
              </w:rPr>
            </w:pPr>
            <w:r>
              <w:rPr>
                <w:rFonts w:ascii="Arial" w:cs="Arial" w:eastAsia="Arial" w:hAnsi="Arial"/>
                <w:sz w:val="18"/>
                <w:szCs w:val="18"/>
                <w:color w:val="auto"/>
              </w:rPr>
              <w:t>(859)</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r>
      <w:tr>
        <w:trPr>
          <w:trHeight w:val="209"/>
        </w:trPr>
        <w:tc>
          <w:tcPr>
            <w:tcW w:w="8180" w:type="dxa"/>
            <w:vAlign w:val="bottom"/>
          </w:tcPr>
          <w:p>
            <w:pPr>
              <w:ind w:left="20"/>
              <w:spacing w:after="0"/>
              <w:rPr>
                <w:sz w:val="20"/>
                <w:szCs w:val="20"/>
                <w:color w:val="auto"/>
              </w:rPr>
            </w:pPr>
            <w:r>
              <w:rPr>
                <w:rFonts w:ascii="Arial" w:cs="Arial" w:eastAsia="Arial" w:hAnsi="Arial"/>
                <w:sz w:val="18"/>
                <w:szCs w:val="18"/>
                <w:color w:val="auto"/>
              </w:rPr>
              <w:t xml:space="preserve">Earnings (loss) excluding Identified Items </w:t>
            </w:r>
            <w:r>
              <w:rPr>
                <w:rFonts w:ascii="Arial" w:cs="Arial" w:eastAsia="Arial" w:hAnsi="Arial"/>
                <w:sz w:val="14"/>
                <w:szCs w:val="14"/>
                <w:i w:val="1"/>
                <w:iCs w:val="1"/>
                <w:color w:val="auto"/>
              </w:rPr>
              <w:t>(1)</w:t>
            </w:r>
          </w:p>
        </w:tc>
        <w:tc>
          <w:tcPr>
            <w:tcW w:w="9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29"/>
        </w:trPr>
        <w:tc>
          <w:tcPr>
            <w:tcW w:w="8180" w:type="dxa"/>
            <w:vAlign w:val="bottom"/>
          </w:tcPr>
          <w:p>
            <w:pPr>
              <w:ind w:left="440"/>
              <w:spacing w:after="0"/>
              <w:rPr>
                <w:sz w:val="20"/>
                <w:szCs w:val="20"/>
                <w:color w:val="auto"/>
              </w:rPr>
            </w:pPr>
            <w:r>
              <w:rPr>
                <w:rFonts w:ascii="Arial" w:cs="Arial" w:eastAsia="Arial" w:hAnsi="Arial"/>
                <w:sz w:val="18"/>
                <w:szCs w:val="18"/>
                <w:color w:val="auto"/>
              </w:rPr>
              <w:t>United States</w:t>
            </w:r>
          </w:p>
        </w:tc>
        <w:tc>
          <w:tcPr>
            <w:tcW w:w="940" w:type="dxa"/>
            <w:vAlign w:val="bottom"/>
          </w:tcPr>
          <w:p>
            <w:pPr>
              <w:jc w:val="right"/>
              <w:spacing w:after="0"/>
              <w:rPr>
                <w:sz w:val="20"/>
                <w:szCs w:val="20"/>
                <w:color w:val="auto"/>
              </w:rPr>
            </w:pPr>
            <w:r>
              <w:rPr>
                <w:rFonts w:ascii="Arial" w:cs="Arial" w:eastAsia="Arial" w:hAnsi="Arial"/>
                <w:sz w:val="18"/>
                <w:szCs w:val="18"/>
                <w:color w:val="auto"/>
              </w:rPr>
              <w:t>1,310</w:t>
            </w:r>
          </w:p>
        </w:tc>
        <w:tc>
          <w:tcPr>
            <w:tcW w:w="1400" w:type="dxa"/>
            <w:vAlign w:val="bottom"/>
          </w:tcPr>
          <w:p>
            <w:pPr>
              <w:jc w:val="right"/>
              <w:ind w:right="273"/>
              <w:spacing w:after="0"/>
              <w:rPr>
                <w:sz w:val="20"/>
                <w:szCs w:val="20"/>
                <w:color w:val="auto"/>
              </w:rPr>
            </w:pPr>
            <w:r>
              <w:rPr>
                <w:rFonts w:ascii="Arial" w:cs="Arial" w:eastAsia="Arial" w:hAnsi="Arial"/>
                <w:sz w:val="18"/>
                <w:szCs w:val="18"/>
                <w:color w:val="auto"/>
              </w:rPr>
              <w:t>(848)</w:t>
            </w:r>
          </w:p>
        </w:tc>
        <w:tc>
          <w:tcPr>
            <w:tcW w:w="720" w:type="dxa"/>
            <w:vAlign w:val="bottom"/>
          </w:tcPr>
          <w:p>
            <w:pPr>
              <w:jc w:val="right"/>
              <w:spacing w:after="0"/>
              <w:rPr>
                <w:sz w:val="20"/>
                <w:szCs w:val="20"/>
                <w:color w:val="auto"/>
              </w:rPr>
            </w:pPr>
            <w:r>
              <w:rPr>
                <w:rFonts w:ascii="Arial" w:cs="Arial" w:eastAsia="Arial" w:hAnsi="Arial"/>
                <w:sz w:val="18"/>
                <w:szCs w:val="18"/>
                <w:color w:val="auto"/>
              </w:rPr>
              <w:t>1,717</w:t>
            </w:r>
          </w:p>
        </w:tc>
      </w:tr>
      <w:tr>
        <w:trPr>
          <w:trHeight w:val="230"/>
        </w:trPr>
        <w:tc>
          <w:tcPr>
            <w:tcW w:w="8180" w:type="dxa"/>
            <w:vAlign w:val="bottom"/>
          </w:tcPr>
          <w:p>
            <w:pPr>
              <w:ind w:left="440"/>
              <w:spacing w:after="0"/>
              <w:rPr>
                <w:sz w:val="20"/>
                <w:szCs w:val="20"/>
                <w:color w:val="auto"/>
              </w:rPr>
            </w:pPr>
            <w:r>
              <w:rPr>
                <w:rFonts w:ascii="Arial" w:cs="Arial" w:eastAsia="Arial" w:hAnsi="Arial"/>
                <w:sz w:val="18"/>
                <w:szCs w:val="18"/>
                <w:color w:val="auto"/>
              </w:rPr>
              <w:t>Non-U.S.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791</w:t>
            </w:r>
          </w:p>
        </w:tc>
        <w:tc>
          <w:tcPr>
            <w:tcW w:w="1400" w:type="dxa"/>
            <w:vAlign w:val="bottom"/>
            <w:tcBorders>
              <w:bottom w:val="single" w:sz="8" w:color="auto"/>
            </w:tcBorders>
          </w:tcPr>
          <w:p>
            <w:pPr>
              <w:jc w:val="right"/>
              <w:ind w:right="313"/>
              <w:spacing w:after="0"/>
              <w:rPr>
                <w:sz w:val="20"/>
                <w:szCs w:val="20"/>
                <w:color w:val="auto"/>
              </w:rPr>
            </w:pPr>
            <w:r>
              <w:rPr>
                <w:rFonts w:ascii="Arial" w:cs="Arial" w:eastAsia="Arial" w:hAnsi="Arial"/>
                <w:sz w:val="18"/>
                <w:szCs w:val="18"/>
                <w:color w:val="auto"/>
              </w:rPr>
              <w:t>630</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w:t>
            </w:r>
          </w:p>
        </w:tc>
      </w:tr>
      <w:tr>
        <w:trPr>
          <w:trHeight w:val="223"/>
        </w:trPr>
        <w:tc>
          <w:tcPr>
            <w:tcW w:w="8180" w:type="dxa"/>
            <w:vAlign w:val="bottom"/>
          </w:tcPr>
          <w:p>
            <w:pPr>
              <w:ind w:left="840"/>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2,101</w:t>
            </w:r>
          </w:p>
        </w:tc>
        <w:tc>
          <w:tcPr>
            <w:tcW w:w="1400" w:type="dxa"/>
            <w:vAlign w:val="bottom"/>
            <w:tcBorders>
              <w:bottom w:val="single" w:sz="8" w:color="auto"/>
            </w:tcBorders>
          </w:tcPr>
          <w:p>
            <w:pPr>
              <w:jc w:val="right"/>
              <w:ind w:right="273"/>
              <w:spacing w:after="0"/>
              <w:rPr>
                <w:sz w:val="20"/>
                <w:szCs w:val="20"/>
                <w:color w:val="auto"/>
              </w:rPr>
            </w:pPr>
            <w:r>
              <w:rPr>
                <w:rFonts w:ascii="Arial" w:cs="Arial" w:eastAsia="Arial" w:hAnsi="Arial"/>
                <w:sz w:val="18"/>
                <w:szCs w:val="18"/>
                <w:color w:val="auto"/>
              </w:rPr>
              <w:t>(218)</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2,332</w:t>
            </w: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Downstream Earnings Factor Analysis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(millions of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4286250" cy="17145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286250" cy="171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Margins – Increased earnings by $1,920 million as industry refining conditions improved.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Volume – Increased earnings by $100 million reflecting demand recovery and favorable mix.</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Other – Increased earnings by $300 million due to lower expenses of $560 million, partly offset by unfavorable foreign exchange and LIFO impacts.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Identified Items </w:t>
      </w:r>
      <w:r>
        <w:rPr>
          <w:rFonts w:ascii="Arial" w:cs="Arial" w:eastAsia="Arial" w:hAnsi="Arial"/>
          <w:sz w:val="14"/>
          <w:szCs w:val="14"/>
          <w:i w:val="1"/>
          <w:iCs w:val="1"/>
          <w:color w:val="auto"/>
        </w:rPr>
        <w:t>(1)</w:t>
      </w:r>
      <w:r>
        <w:rPr>
          <w:rFonts w:ascii="Arial" w:cs="Arial" w:eastAsia="Arial" w:hAnsi="Arial"/>
          <w:sz w:val="18"/>
          <w:szCs w:val="18"/>
          <w:color w:val="auto"/>
        </w:rPr>
        <w:t xml:space="preserve"> – 2020 $(859) million loss primarily as a result of impairments and unfavorable tax items.</w:t>
      </w:r>
    </w:p>
    <w:p>
      <w:pPr>
        <w:spacing w:after="0" w:line="360" w:lineRule="exact"/>
        <w:rPr>
          <w:sz w:val="20"/>
          <w:szCs w:val="20"/>
          <w:color w:val="auto"/>
        </w:rPr>
      </w:pPr>
    </w:p>
    <w:p>
      <w:pPr>
        <w:ind w:left="260" w:hanging="252"/>
        <w:spacing w:after="0"/>
        <w:tabs>
          <w:tab w:leader="none" w:pos="26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Refer to Frequently Used Terms for definition of Identified Items and earnings (loss) excluding Identified Items.</w:t>
      </w:r>
    </w:p>
    <w:p>
      <w:pPr>
        <w:spacing w:after="0" w:line="200" w:lineRule="exact"/>
        <w:rPr>
          <w:rFonts w:ascii="Arial" w:cs="Arial" w:eastAsia="Arial" w:hAnsi="Arial"/>
          <w:sz w:val="18"/>
          <w:szCs w:val="18"/>
          <w:i w:val="1"/>
          <w:iCs w:val="1"/>
          <w:color w:val="auto"/>
        </w:rPr>
      </w:pPr>
    </w:p>
    <w:p>
      <w:pPr>
        <w:spacing w:after="0" w:line="200" w:lineRule="exact"/>
        <w:rPr>
          <w:rFonts w:ascii="Arial" w:cs="Arial" w:eastAsia="Arial" w:hAnsi="Arial"/>
          <w:sz w:val="18"/>
          <w:szCs w:val="18"/>
          <w:i w:val="1"/>
          <w:iCs w:val="1"/>
          <w:color w:val="auto"/>
        </w:rPr>
      </w:pPr>
    </w:p>
    <w:p>
      <w:pPr>
        <w:spacing w:after="0" w:line="200" w:lineRule="exact"/>
        <w:rPr>
          <w:rFonts w:ascii="Arial" w:cs="Arial" w:eastAsia="Arial" w:hAnsi="Arial"/>
          <w:sz w:val="18"/>
          <w:szCs w:val="18"/>
          <w:i w:val="1"/>
          <w:iCs w:val="1"/>
          <w:color w:val="auto"/>
        </w:rPr>
      </w:pPr>
    </w:p>
    <w:p>
      <w:pPr>
        <w:spacing w:after="0" w:line="200" w:lineRule="exact"/>
        <w:rPr>
          <w:rFonts w:ascii="Arial" w:cs="Arial" w:eastAsia="Arial" w:hAnsi="Arial"/>
          <w:sz w:val="18"/>
          <w:szCs w:val="18"/>
          <w:i w:val="1"/>
          <w:iCs w:val="1"/>
          <w:color w:val="auto"/>
        </w:rPr>
      </w:pPr>
    </w:p>
    <w:p>
      <w:pPr>
        <w:spacing w:after="0" w:line="302" w:lineRule="exact"/>
        <w:rPr>
          <w:rFonts w:ascii="Arial" w:cs="Arial" w:eastAsia="Arial" w:hAnsi="Arial"/>
          <w:sz w:val="18"/>
          <w:szCs w:val="18"/>
          <w:i w:val="1"/>
          <w:iCs w:val="1"/>
          <w:color w:val="auto"/>
        </w:rPr>
      </w:pPr>
    </w:p>
    <w:p>
      <w:pPr>
        <w:ind w:left="5540"/>
        <w:spacing w:after="0"/>
        <w:rPr>
          <w:rFonts w:ascii="Arial" w:cs="Arial" w:eastAsia="Arial" w:hAnsi="Arial"/>
          <w:sz w:val="18"/>
          <w:szCs w:val="18"/>
          <w:i w:val="1"/>
          <w:iCs w:val="1"/>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53" w:name="page54"/>
    <w:bookmarkEnd w:id="53"/>
    <w:p>
      <w:pPr>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Downstream Earnings Factor Analysis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(millions of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4286250" cy="17145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286250" cy="171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Margins – Decreased earnings by $3,820 million including the impact of weaker industry refining conditions.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Volume – Increased earnings by $370 million as manufacturing/yield improvement impacts were partly offset by weaker demand.</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Other – Increased earnings by $900 million due to lower expenses of $1,290 million, partly offset by unfavorable LIFO inventory impacts of $410 million.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Identified Items </w:t>
      </w:r>
      <w:r>
        <w:rPr>
          <w:rFonts w:ascii="Arial" w:cs="Arial" w:eastAsia="Arial" w:hAnsi="Arial"/>
          <w:sz w:val="14"/>
          <w:szCs w:val="14"/>
          <w:i w:val="1"/>
          <w:iCs w:val="1"/>
          <w:color w:val="auto"/>
        </w:rPr>
        <w:t>(1)</w:t>
      </w:r>
      <w:r>
        <w:rPr>
          <w:rFonts w:ascii="Arial" w:cs="Arial" w:eastAsia="Arial" w:hAnsi="Arial"/>
          <w:sz w:val="18"/>
          <w:szCs w:val="18"/>
          <w:color w:val="auto"/>
        </w:rPr>
        <w:t xml:space="preserve"> – 2020 $(859) million loss primarily as a result of impairments and unfavorable tax items.</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 Refer to Frequently Used Terms for definition of Identified Items and earnings (loss) excluding Identified Items.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Downstream Operational Results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2021</w:t>
            </w:r>
          </w:p>
        </w:tc>
        <w:tc>
          <w:tcPr>
            <w:tcW w:w="12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r>
      <w:tr>
        <w:trPr>
          <w:trHeight w:val="228"/>
        </w:trPr>
        <w:tc>
          <w:tcPr>
            <w:tcW w:w="8000" w:type="dxa"/>
            <w:vAlign w:val="bottom"/>
          </w:tcPr>
          <w:p>
            <w:pPr>
              <w:ind w:left="20"/>
              <w:spacing w:after="0"/>
              <w:rPr>
                <w:sz w:val="20"/>
                <w:szCs w:val="20"/>
                <w:color w:val="auto"/>
              </w:rPr>
            </w:pPr>
            <w:r>
              <w:rPr>
                <w:rFonts w:ascii="Arial" w:cs="Arial" w:eastAsia="Arial" w:hAnsi="Arial"/>
                <w:sz w:val="18"/>
                <w:szCs w:val="18"/>
                <w:color w:val="auto"/>
              </w:rPr>
              <w:t>Refinery throughput</w:t>
            </w:r>
          </w:p>
        </w:tc>
        <w:tc>
          <w:tcPr>
            <w:tcW w:w="2620" w:type="dxa"/>
            <w:vAlign w:val="bottom"/>
            <w:gridSpan w:val="2"/>
          </w:tcPr>
          <w:p>
            <w:pPr>
              <w:jc w:val="right"/>
              <w:ind w:right="111"/>
              <w:spacing w:after="0"/>
              <w:rPr>
                <w:sz w:val="20"/>
                <w:szCs w:val="20"/>
                <w:color w:val="auto"/>
              </w:rPr>
            </w:pPr>
            <w:r>
              <w:rPr>
                <w:rFonts w:ascii="Arial" w:cs="Arial" w:eastAsia="Arial" w:hAnsi="Arial"/>
                <w:sz w:val="14"/>
                <w:szCs w:val="14"/>
                <w:i w:val="1"/>
                <w:iCs w:val="1"/>
                <w:color w:val="auto"/>
              </w:rPr>
              <w:t>(thousands of barrels daily)</w:t>
            </w:r>
          </w:p>
        </w:tc>
        <w:tc>
          <w:tcPr>
            <w:tcW w:w="620" w:type="dxa"/>
            <w:vAlign w:val="bottom"/>
          </w:tcPr>
          <w:p>
            <w:pPr>
              <w:spacing w:after="0"/>
              <w:rPr>
                <w:sz w:val="19"/>
                <w:szCs w:val="19"/>
                <w:color w:val="auto"/>
              </w:rPr>
            </w:pPr>
          </w:p>
        </w:tc>
      </w:tr>
      <w:tr>
        <w:trPr>
          <w:trHeight w:val="230"/>
        </w:trPr>
        <w:tc>
          <w:tcPr>
            <w:tcW w:w="8000" w:type="dxa"/>
            <w:vAlign w:val="bottom"/>
          </w:tcPr>
          <w:p>
            <w:pPr>
              <w:ind w:left="560"/>
              <w:spacing w:after="0"/>
              <w:rPr>
                <w:sz w:val="20"/>
                <w:szCs w:val="20"/>
                <w:color w:val="auto"/>
              </w:rPr>
            </w:pPr>
            <w:r>
              <w:rPr>
                <w:rFonts w:ascii="Arial" w:cs="Arial" w:eastAsia="Arial" w:hAnsi="Arial"/>
                <w:sz w:val="18"/>
                <w:szCs w:val="18"/>
                <w:color w:val="auto"/>
              </w:rPr>
              <w:t>United States</w:t>
            </w:r>
          </w:p>
        </w:tc>
        <w:tc>
          <w:tcPr>
            <w:tcW w:w="1340" w:type="dxa"/>
            <w:vAlign w:val="bottom"/>
          </w:tcPr>
          <w:p>
            <w:pPr>
              <w:jc w:val="right"/>
              <w:ind w:right="272"/>
              <w:spacing w:after="0"/>
              <w:rPr>
                <w:sz w:val="20"/>
                <w:szCs w:val="20"/>
                <w:color w:val="auto"/>
              </w:rPr>
            </w:pPr>
            <w:r>
              <w:rPr>
                <w:rFonts w:ascii="Arial" w:cs="Arial" w:eastAsia="Arial" w:hAnsi="Arial"/>
                <w:sz w:val="18"/>
                <w:szCs w:val="18"/>
                <w:color w:val="auto"/>
              </w:rPr>
              <w:t>1,623</w:t>
            </w:r>
          </w:p>
        </w:tc>
        <w:tc>
          <w:tcPr>
            <w:tcW w:w="1280" w:type="dxa"/>
            <w:vAlign w:val="bottom"/>
          </w:tcPr>
          <w:p>
            <w:pPr>
              <w:jc w:val="right"/>
              <w:ind w:right="431"/>
              <w:spacing w:after="0"/>
              <w:rPr>
                <w:sz w:val="20"/>
                <w:szCs w:val="20"/>
                <w:color w:val="auto"/>
              </w:rPr>
            </w:pPr>
            <w:r>
              <w:rPr>
                <w:rFonts w:ascii="Arial" w:cs="Arial" w:eastAsia="Arial" w:hAnsi="Arial"/>
                <w:sz w:val="18"/>
                <w:szCs w:val="18"/>
                <w:color w:val="auto"/>
              </w:rPr>
              <w:t>1,549</w:t>
            </w:r>
          </w:p>
        </w:tc>
        <w:tc>
          <w:tcPr>
            <w:tcW w:w="620" w:type="dxa"/>
            <w:vAlign w:val="bottom"/>
          </w:tcPr>
          <w:p>
            <w:pPr>
              <w:jc w:val="right"/>
              <w:spacing w:after="0"/>
              <w:rPr>
                <w:sz w:val="20"/>
                <w:szCs w:val="20"/>
                <w:color w:val="auto"/>
              </w:rPr>
            </w:pPr>
            <w:r>
              <w:rPr>
                <w:rFonts w:ascii="Arial" w:cs="Arial" w:eastAsia="Arial" w:hAnsi="Arial"/>
                <w:sz w:val="18"/>
                <w:szCs w:val="18"/>
                <w:color w:val="auto"/>
              </w:rPr>
              <w:t>1,532</w:t>
            </w:r>
          </w:p>
        </w:tc>
      </w:tr>
      <w:tr>
        <w:trPr>
          <w:trHeight w:val="230"/>
        </w:trPr>
        <w:tc>
          <w:tcPr>
            <w:tcW w:w="8000" w:type="dxa"/>
            <w:vAlign w:val="bottom"/>
          </w:tcPr>
          <w:p>
            <w:pPr>
              <w:ind w:left="560"/>
              <w:spacing w:after="0"/>
              <w:rPr>
                <w:sz w:val="20"/>
                <w:szCs w:val="20"/>
                <w:color w:val="auto"/>
              </w:rPr>
            </w:pPr>
            <w:r>
              <w:rPr>
                <w:rFonts w:ascii="Arial" w:cs="Arial" w:eastAsia="Arial" w:hAnsi="Arial"/>
                <w:sz w:val="18"/>
                <w:szCs w:val="18"/>
                <w:color w:val="auto"/>
              </w:rPr>
              <w:t>Canada</w:t>
            </w:r>
          </w:p>
        </w:tc>
        <w:tc>
          <w:tcPr>
            <w:tcW w:w="1340" w:type="dxa"/>
            <w:vAlign w:val="bottom"/>
          </w:tcPr>
          <w:p>
            <w:pPr>
              <w:jc w:val="right"/>
              <w:ind w:right="272"/>
              <w:spacing w:after="0"/>
              <w:rPr>
                <w:sz w:val="20"/>
                <w:szCs w:val="20"/>
                <w:color w:val="auto"/>
              </w:rPr>
            </w:pPr>
            <w:r>
              <w:rPr>
                <w:rFonts w:ascii="Arial" w:cs="Arial" w:eastAsia="Arial" w:hAnsi="Arial"/>
                <w:sz w:val="18"/>
                <w:szCs w:val="18"/>
                <w:color w:val="auto"/>
              </w:rPr>
              <w:t>379</w:t>
            </w:r>
          </w:p>
        </w:tc>
        <w:tc>
          <w:tcPr>
            <w:tcW w:w="1280" w:type="dxa"/>
            <w:vAlign w:val="bottom"/>
          </w:tcPr>
          <w:p>
            <w:pPr>
              <w:jc w:val="right"/>
              <w:ind w:right="431"/>
              <w:spacing w:after="0"/>
              <w:rPr>
                <w:sz w:val="20"/>
                <w:szCs w:val="20"/>
                <w:color w:val="auto"/>
              </w:rPr>
            </w:pPr>
            <w:r>
              <w:rPr>
                <w:rFonts w:ascii="Arial" w:cs="Arial" w:eastAsia="Arial" w:hAnsi="Arial"/>
                <w:sz w:val="18"/>
                <w:szCs w:val="18"/>
                <w:color w:val="auto"/>
              </w:rPr>
              <w:t>340</w:t>
            </w:r>
          </w:p>
        </w:tc>
        <w:tc>
          <w:tcPr>
            <w:tcW w:w="620" w:type="dxa"/>
            <w:vAlign w:val="bottom"/>
          </w:tcPr>
          <w:p>
            <w:pPr>
              <w:jc w:val="right"/>
              <w:spacing w:after="0"/>
              <w:rPr>
                <w:sz w:val="20"/>
                <w:szCs w:val="20"/>
                <w:color w:val="auto"/>
              </w:rPr>
            </w:pPr>
            <w:r>
              <w:rPr>
                <w:rFonts w:ascii="Arial" w:cs="Arial" w:eastAsia="Arial" w:hAnsi="Arial"/>
                <w:sz w:val="18"/>
                <w:szCs w:val="18"/>
                <w:color w:val="auto"/>
              </w:rPr>
              <w:t>353</w:t>
            </w:r>
          </w:p>
        </w:tc>
      </w:tr>
      <w:tr>
        <w:trPr>
          <w:trHeight w:val="230"/>
        </w:trPr>
        <w:tc>
          <w:tcPr>
            <w:tcW w:w="8000" w:type="dxa"/>
            <w:vAlign w:val="bottom"/>
          </w:tcPr>
          <w:p>
            <w:pPr>
              <w:ind w:left="560"/>
              <w:spacing w:after="0"/>
              <w:rPr>
                <w:sz w:val="20"/>
                <w:szCs w:val="20"/>
                <w:color w:val="auto"/>
              </w:rPr>
            </w:pPr>
            <w:r>
              <w:rPr>
                <w:rFonts w:ascii="Arial" w:cs="Arial" w:eastAsia="Arial" w:hAnsi="Arial"/>
                <w:sz w:val="18"/>
                <w:szCs w:val="18"/>
                <w:color w:val="auto"/>
              </w:rPr>
              <w:t>Europe</w:t>
            </w:r>
          </w:p>
        </w:tc>
        <w:tc>
          <w:tcPr>
            <w:tcW w:w="1340" w:type="dxa"/>
            <w:vAlign w:val="bottom"/>
          </w:tcPr>
          <w:p>
            <w:pPr>
              <w:jc w:val="right"/>
              <w:ind w:right="272"/>
              <w:spacing w:after="0"/>
              <w:rPr>
                <w:sz w:val="20"/>
                <w:szCs w:val="20"/>
                <w:color w:val="auto"/>
              </w:rPr>
            </w:pPr>
            <w:r>
              <w:rPr>
                <w:rFonts w:ascii="Arial" w:cs="Arial" w:eastAsia="Arial" w:hAnsi="Arial"/>
                <w:sz w:val="18"/>
                <w:szCs w:val="18"/>
                <w:color w:val="auto"/>
              </w:rPr>
              <w:t>1,210</w:t>
            </w:r>
          </w:p>
        </w:tc>
        <w:tc>
          <w:tcPr>
            <w:tcW w:w="1280" w:type="dxa"/>
            <w:vAlign w:val="bottom"/>
          </w:tcPr>
          <w:p>
            <w:pPr>
              <w:jc w:val="right"/>
              <w:ind w:right="431"/>
              <w:spacing w:after="0"/>
              <w:rPr>
                <w:sz w:val="20"/>
                <w:szCs w:val="20"/>
                <w:color w:val="auto"/>
              </w:rPr>
            </w:pPr>
            <w:r>
              <w:rPr>
                <w:rFonts w:ascii="Arial" w:cs="Arial" w:eastAsia="Arial" w:hAnsi="Arial"/>
                <w:sz w:val="18"/>
                <w:szCs w:val="18"/>
                <w:color w:val="auto"/>
              </w:rPr>
              <w:t>1,173</w:t>
            </w:r>
          </w:p>
        </w:tc>
        <w:tc>
          <w:tcPr>
            <w:tcW w:w="620" w:type="dxa"/>
            <w:vAlign w:val="bottom"/>
          </w:tcPr>
          <w:p>
            <w:pPr>
              <w:jc w:val="right"/>
              <w:spacing w:after="0"/>
              <w:rPr>
                <w:sz w:val="20"/>
                <w:szCs w:val="20"/>
                <w:color w:val="auto"/>
              </w:rPr>
            </w:pPr>
            <w:r>
              <w:rPr>
                <w:rFonts w:ascii="Arial" w:cs="Arial" w:eastAsia="Arial" w:hAnsi="Arial"/>
                <w:sz w:val="18"/>
                <w:szCs w:val="18"/>
                <w:color w:val="auto"/>
              </w:rPr>
              <w:t>1,317</w:t>
            </w:r>
          </w:p>
        </w:tc>
      </w:tr>
      <w:tr>
        <w:trPr>
          <w:trHeight w:val="229"/>
        </w:trPr>
        <w:tc>
          <w:tcPr>
            <w:tcW w:w="8000" w:type="dxa"/>
            <w:vAlign w:val="bottom"/>
          </w:tcPr>
          <w:p>
            <w:pPr>
              <w:ind w:left="560"/>
              <w:spacing w:after="0"/>
              <w:rPr>
                <w:sz w:val="20"/>
                <w:szCs w:val="20"/>
                <w:color w:val="auto"/>
              </w:rPr>
            </w:pPr>
            <w:r>
              <w:rPr>
                <w:rFonts w:ascii="Arial" w:cs="Arial" w:eastAsia="Arial" w:hAnsi="Arial"/>
                <w:sz w:val="18"/>
                <w:szCs w:val="18"/>
                <w:color w:val="auto"/>
              </w:rPr>
              <w:t>Asia Pacific</w:t>
            </w:r>
          </w:p>
        </w:tc>
        <w:tc>
          <w:tcPr>
            <w:tcW w:w="1340" w:type="dxa"/>
            <w:vAlign w:val="bottom"/>
          </w:tcPr>
          <w:p>
            <w:pPr>
              <w:jc w:val="right"/>
              <w:ind w:right="272"/>
              <w:spacing w:after="0"/>
              <w:rPr>
                <w:sz w:val="20"/>
                <w:szCs w:val="20"/>
                <w:color w:val="auto"/>
              </w:rPr>
            </w:pPr>
            <w:r>
              <w:rPr>
                <w:rFonts w:ascii="Arial" w:cs="Arial" w:eastAsia="Arial" w:hAnsi="Arial"/>
                <w:sz w:val="18"/>
                <w:szCs w:val="18"/>
                <w:color w:val="auto"/>
              </w:rPr>
              <w:t>571</w:t>
            </w:r>
          </w:p>
        </w:tc>
        <w:tc>
          <w:tcPr>
            <w:tcW w:w="1280" w:type="dxa"/>
            <w:vAlign w:val="bottom"/>
          </w:tcPr>
          <w:p>
            <w:pPr>
              <w:jc w:val="right"/>
              <w:ind w:right="431"/>
              <w:spacing w:after="0"/>
              <w:rPr>
                <w:sz w:val="20"/>
                <w:szCs w:val="20"/>
                <w:color w:val="auto"/>
              </w:rPr>
            </w:pPr>
            <w:r>
              <w:rPr>
                <w:rFonts w:ascii="Arial" w:cs="Arial" w:eastAsia="Arial" w:hAnsi="Arial"/>
                <w:sz w:val="18"/>
                <w:szCs w:val="18"/>
                <w:color w:val="auto"/>
              </w:rPr>
              <w:t>553</w:t>
            </w:r>
          </w:p>
        </w:tc>
        <w:tc>
          <w:tcPr>
            <w:tcW w:w="620" w:type="dxa"/>
            <w:vAlign w:val="bottom"/>
          </w:tcPr>
          <w:p>
            <w:pPr>
              <w:jc w:val="right"/>
              <w:spacing w:after="0"/>
              <w:rPr>
                <w:sz w:val="20"/>
                <w:szCs w:val="20"/>
                <w:color w:val="auto"/>
              </w:rPr>
            </w:pPr>
            <w:r>
              <w:rPr>
                <w:rFonts w:ascii="Arial" w:cs="Arial" w:eastAsia="Arial" w:hAnsi="Arial"/>
                <w:sz w:val="18"/>
                <w:szCs w:val="18"/>
                <w:color w:val="auto"/>
              </w:rPr>
              <w:t>598</w:t>
            </w:r>
          </w:p>
        </w:tc>
      </w:tr>
      <w:tr>
        <w:trPr>
          <w:trHeight w:val="230"/>
        </w:trPr>
        <w:tc>
          <w:tcPr>
            <w:tcW w:w="8000" w:type="dxa"/>
            <w:vAlign w:val="bottom"/>
          </w:tcPr>
          <w:p>
            <w:pPr>
              <w:ind w:left="560"/>
              <w:spacing w:after="0"/>
              <w:rPr>
                <w:sz w:val="20"/>
                <w:szCs w:val="20"/>
                <w:color w:val="auto"/>
              </w:rPr>
            </w:pPr>
            <w:r>
              <w:rPr>
                <w:rFonts w:ascii="Arial" w:cs="Arial" w:eastAsia="Arial" w:hAnsi="Arial"/>
                <w:sz w:val="18"/>
                <w:szCs w:val="18"/>
                <w:color w:val="auto"/>
              </w:rPr>
              <w:t>Other</w:t>
            </w:r>
          </w:p>
        </w:tc>
        <w:tc>
          <w:tcPr>
            <w:tcW w:w="134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162</w:t>
            </w:r>
          </w:p>
        </w:tc>
        <w:tc>
          <w:tcPr>
            <w:tcW w:w="128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color w:val="auto"/>
              </w:rPr>
              <w:t>158</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w:t>
            </w:r>
          </w:p>
        </w:tc>
      </w:tr>
      <w:tr>
        <w:trPr>
          <w:trHeight w:val="223"/>
        </w:trPr>
        <w:tc>
          <w:tcPr>
            <w:tcW w:w="8000" w:type="dxa"/>
            <w:vAlign w:val="bottom"/>
          </w:tcPr>
          <w:p>
            <w:pPr>
              <w:ind w:left="220"/>
              <w:spacing w:after="0"/>
              <w:rPr>
                <w:sz w:val="20"/>
                <w:szCs w:val="20"/>
                <w:color w:val="auto"/>
              </w:rPr>
            </w:pPr>
            <w:r>
              <w:rPr>
                <w:rFonts w:ascii="Arial" w:cs="Arial" w:eastAsia="Arial" w:hAnsi="Arial"/>
                <w:sz w:val="18"/>
                <w:szCs w:val="18"/>
                <w:color w:val="auto"/>
              </w:rPr>
              <w:t>Worldwide</w:t>
            </w:r>
          </w:p>
        </w:tc>
        <w:tc>
          <w:tcPr>
            <w:tcW w:w="134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3,945</w:t>
            </w:r>
          </w:p>
        </w:tc>
        <w:tc>
          <w:tcPr>
            <w:tcW w:w="128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color w:val="auto"/>
              </w:rPr>
              <w:t>3,773</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3,981</w:t>
            </w:r>
          </w:p>
        </w:tc>
      </w:tr>
      <w:tr>
        <w:trPr>
          <w:trHeight w:val="479"/>
        </w:trPr>
        <w:tc>
          <w:tcPr>
            <w:tcW w:w="8000" w:type="dxa"/>
            <w:vAlign w:val="bottom"/>
          </w:tcPr>
          <w:p>
            <w:pPr>
              <w:ind w:left="20"/>
              <w:spacing w:after="0"/>
              <w:rPr>
                <w:sz w:val="20"/>
                <w:szCs w:val="20"/>
                <w:color w:val="auto"/>
              </w:rPr>
            </w:pPr>
            <w:r>
              <w:rPr>
                <w:rFonts w:ascii="Arial" w:cs="Arial" w:eastAsia="Arial" w:hAnsi="Arial"/>
                <w:sz w:val="18"/>
                <w:szCs w:val="18"/>
                <w:color w:val="auto"/>
              </w:rPr>
              <w:t xml:space="preserve">Petroleum product sales </w:t>
            </w:r>
            <w:r>
              <w:rPr>
                <w:rFonts w:ascii="Arial" w:cs="Arial" w:eastAsia="Arial" w:hAnsi="Arial"/>
                <w:sz w:val="14"/>
                <w:szCs w:val="14"/>
                <w:i w:val="1"/>
                <w:iCs w:val="1"/>
                <w:color w:val="auto"/>
              </w:rPr>
              <w:t>(2)</w:t>
            </w:r>
          </w:p>
        </w:tc>
        <w:tc>
          <w:tcPr>
            <w:tcW w:w="1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30"/>
        </w:trPr>
        <w:tc>
          <w:tcPr>
            <w:tcW w:w="8000" w:type="dxa"/>
            <w:vAlign w:val="bottom"/>
          </w:tcPr>
          <w:p>
            <w:pPr>
              <w:ind w:left="560"/>
              <w:spacing w:after="0"/>
              <w:rPr>
                <w:sz w:val="20"/>
                <w:szCs w:val="20"/>
                <w:color w:val="auto"/>
              </w:rPr>
            </w:pPr>
            <w:r>
              <w:rPr>
                <w:rFonts w:ascii="Arial" w:cs="Arial" w:eastAsia="Arial" w:hAnsi="Arial"/>
                <w:sz w:val="18"/>
                <w:szCs w:val="18"/>
                <w:color w:val="auto"/>
              </w:rPr>
              <w:t>United States</w:t>
            </w:r>
          </w:p>
        </w:tc>
        <w:tc>
          <w:tcPr>
            <w:tcW w:w="1340" w:type="dxa"/>
            <w:vAlign w:val="bottom"/>
          </w:tcPr>
          <w:p>
            <w:pPr>
              <w:jc w:val="right"/>
              <w:ind w:right="272"/>
              <w:spacing w:after="0"/>
              <w:rPr>
                <w:sz w:val="20"/>
                <w:szCs w:val="20"/>
                <w:color w:val="auto"/>
              </w:rPr>
            </w:pPr>
            <w:r>
              <w:rPr>
                <w:rFonts w:ascii="Arial" w:cs="Arial" w:eastAsia="Arial" w:hAnsi="Arial"/>
                <w:sz w:val="18"/>
                <w:szCs w:val="18"/>
                <w:color w:val="auto"/>
              </w:rPr>
              <w:t>2,257</w:t>
            </w:r>
          </w:p>
        </w:tc>
        <w:tc>
          <w:tcPr>
            <w:tcW w:w="1280" w:type="dxa"/>
            <w:vAlign w:val="bottom"/>
          </w:tcPr>
          <w:p>
            <w:pPr>
              <w:jc w:val="right"/>
              <w:ind w:right="431"/>
              <w:spacing w:after="0"/>
              <w:rPr>
                <w:sz w:val="20"/>
                <w:szCs w:val="20"/>
                <w:color w:val="auto"/>
              </w:rPr>
            </w:pPr>
            <w:r>
              <w:rPr>
                <w:rFonts w:ascii="Arial" w:cs="Arial" w:eastAsia="Arial" w:hAnsi="Arial"/>
                <w:sz w:val="18"/>
                <w:szCs w:val="18"/>
                <w:color w:val="auto"/>
              </w:rPr>
              <w:t>2,154</w:t>
            </w:r>
          </w:p>
        </w:tc>
        <w:tc>
          <w:tcPr>
            <w:tcW w:w="620" w:type="dxa"/>
            <w:vAlign w:val="bottom"/>
          </w:tcPr>
          <w:p>
            <w:pPr>
              <w:jc w:val="right"/>
              <w:spacing w:after="0"/>
              <w:rPr>
                <w:sz w:val="20"/>
                <w:szCs w:val="20"/>
                <w:color w:val="auto"/>
              </w:rPr>
            </w:pPr>
            <w:r>
              <w:rPr>
                <w:rFonts w:ascii="Arial" w:cs="Arial" w:eastAsia="Arial" w:hAnsi="Arial"/>
                <w:sz w:val="18"/>
                <w:szCs w:val="18"/>
                <w:color w:val="auto"/>
              </w:rPr>
              <w:t>2,292</w:t>
            </w:r>
          </w:p>
        </w:tc>
      </w:tr>
      <w:tr>
        <w:trPr>
          <w:trHeight w:val="229"/>
        </w:trPr>
        <w:tc>
          <w:tcPr>
            <w:tcW w:w="8000" w:type="dxa"/>
            <w:vAlign w:val="bottom"/>
          </w:tcPr>
          <w:p>
            <w:pPr>
              <w:ind w:left="560"/>
              <w:spacing w:after="0"/>
              <w:rPr>
                <w:sz w:val="20"/>
                <w:szCs w:val="20"/>
                <w:color w:val="auto"/>
              </w:rPr>
            </w:pPr>
            <w:r>
              <w:rPr>
                <w:rFonts w:ascii="Arial" w:cs="Arial" w:eastAsia="Arial" w:hAnsi="Arial"/>
                <w:sz w:val="18"/>
                <w:szCs w:val="18"/>
                <w:color w:val="auto"/>
              </w:rPr>
              <w:t>Canada</w:t>
            </w:r>
          </w:p>
        </w:tc>
        <w:tc>
          <w:tcPr>
            <w:tcW w:w="1340" w:type="dxa"/>
            <w:vAlign w:val="bottom"/>
          </w:tcPr>
          <w:p>
            <w:pPr>
              <w:jc w:val="right"/>
              <w:ind w:right="272"/>
              <w:spacing w:after="0"/>
              <w:rPr>
                <w:sz w:val="20"/>
                <w:szCs w:val="20"/>
                <w:color w:val="auto"/>
              </w:rPr>
            </w:pPr>
            <w:r>
              <w:rPr>
                <w:rFonts w:ascii="Arial" w:cs="Arial" w:eastAsia="Arial" w:hAnsi="Arial"/>
                <w:sz w:val="18"/>
                <w:szCs w:val="18"/>
                <w:color w:val="auto"/>
              </w:rPr>
              <w:t>448</w:t>
            </w:r>
          </w:p>
        </w:tc>
        <w:tc>
          <w:tcPr>
            <w:tcW w:w="1280" w:type="dxa"/>
            <w:vAlign w:val="bottom"/>
          </w:tcPr>
          <w:p>
            <w:pPr>
              <w:jc w:val="right"/>
              <w:ind w:right="431"/>
              <w:spacing w:after="0"/>
              <w:rPr>
                <w:sz w:val="20"/>
                <w:szCs w:val="20"/>
                <w:color w:val="auto"/>
              </w:rPr>
            </w:pPr>
            <w:r>
              <w:rPr>
                <w:rFonts w:ascii="Arial" w:cs="Arial" w:eastAsia="Arial" w:hAnsi="Arial"/>
                <w:sz w:val="18"/>
                <w:szCs w:val="18"/>
                <w:color w:val="auto"/>
              </w:rPr>
              <w:t>418</w:t>
            </w:r>
          </w:p>
        </w:tc>
        <w:tc>
          <w:tcPr>
            <w:tcW w:w="620" w:type="dxa"/>
            <w:vAlign w:val="bottom"/>
          </w:tcPr>
          <w:p>
            <w:pPr>
              <w:jc w:val="right"/>
              <w:spacing w:after="0"/>
              <w:rPr>
                <w:sz w:val="20"/>
                <w:szCs w:val="20"/>
                <w:color w:val="auto"/>
              </w:rPr>
            </w:pPr>
            <w:r>
              <w:rPr>
                <w:rFonts w:ascii="Arial" w:cs="Arial" w:eastAsia="Arial" w:hAnsi="Arial"/>
                <w:sz w:val="18"/>
                <w:szCs w:val="18"/>
                <w:color w:val="auto"/>
              </w:rPr>
              <w:t>476</w:t>
            </w:r>
          </w:p>
        </w:tc>
      </w:tr>
      <w:tr>
        <w:trPr>
          <w:trHeight w:val="230"/>
        </w:trPr>
        <w:tc>
          <w:tcPr>
            <w:tcW w:w="8000" w:type="dxa"/>
            <w:vAlign w:val="bottom"/>
          </w:tcPr>
          <w:p>
            <w:pPr>
              <w:ind w:left="560"/>
              <w:spacing w:after="0"/>
              <w:rPr>
                <w:sz w:val="20"/>
                <w:szCs w:val="20"/>
                <w:color w:val="auto"/>
              </w:rPr>
            </w:pPr>
            <w:r>
              <w:rPr>
                <w:rFonts w:ascii="Arial" w:cs="Arial" w:eastAsia="Arial" w:hAnsi="Arial"/>
                <w:sz w:val="18"/>
                <w:szCs w:val="18"/>
                <w:color w:val="auto"/>
              </w:rPr>
              <w:t>Europe</w:t>
            </w:r>
          </w:p>
        </w:tc>
        <w:tc>
          <w:tcPr>
            <w:tcW w:w="1340" w:type="dxa"/>
            <w:vAlign w:val="bottom"/>
          </w:tcPr>
          <w:p>
            <w:pPr>
              <w:jc w:val="right"/>
              <w:ind w:right="272"/>
              <w:spacing w:after="0"/>
              <w:rPr>
                <w:sz w:val="20"/>
                <w:szCs w:val="20"/>
                <w:color w:val="auto"/>
              </w:rPr>
            </w:pPr>
            <w:r>
              <w:rPr>
                <w:rFonts w:ascii="Arial" w:cs="Arial" w:eastAsia="Arial" w:hAnsi="Arial"/>
                <w:sz w:val="18"/>
                <w:szCs w:val="18"/>
                <w:color w:val="auto"/>
              </w:rPr>
              <w:t>1,340</w:t>
            </w:r>
          </w:p>
        </w:tc>
        <w:tc>
          <w:tcPr>
            <w:tcW w:w="1280" w:type="dxa"/>
            <w:vAlign w:val="bottom"/>
          </w:tcPr>
          <w:p>
            <w:pPr>
              <w:jc w:val="right"/>
              <w:ind w:right="431"/>
              <w:spacing w:after="0"/>
              <w:rPr>
                <w:sz w:val="20"/>
                <w:szCs w:val="20"/>
                <w:color w:val="auto"/>
              </w:rPr>
            </w:pPr>
            <w:r>
              <w:rPr>
                <w:rFonts w:ascii="Arial" w:cs="Arial" w:eastAsia="Arial" w:hAnsi="Arial"/>
                <w:sz w:val="18"/>
                <w:szCs w:val="18"/>
                <w:color w:val="auto"/>
              </w:rPr>
              <w:t>1,253</w:t>
            </w:r>
          </w:p>
        </w:tc>
        <w:tc>
          <w:tcPr>
            <w:tcW w:w="620" w:type="dxa"/>
            <w:vAlign w:val="bottom"/>
          </w:tcPr>
          <w:p>
            <w:pPr>
              <w:jc w:val="right"/>
              <w:spacing w:after="0"/>
              <w:rPr>
                <w:sz w:val="20"/>
                <w:szCs w:val="20"/>
                <w:color w:val="auto"/>
              </w:rPr>
            </w:pPr>
            <w:r>
              <w:rPr>
                <w:rFonts w:ascii="Arial" w:cs="Arial" w:eastAsia="Arial" w:hAnsi="Arial"/>
                <w:sz w:val="18"/>
                <w:szCs w:val="18"/>
                <w:color w:val="auto"/>
              </w:rPr>
              <w:t>1,479</w:t>
            </w:r>
          </w:p>
        </w:tc>
      </w:tr>
      <w:tr>
        <w:trPr>
          <w:trHeight w:val="230"/>
        </w:trPr>
        <w:tc>
          <w:tcPr>
            <w:tcW w:w="8000" w:type="dxa"/>
            <w:vAlign w:val="bottom"/>
          </w:tcPr>
          <w:p>
            <w:pPr>
              <w:ind w:left="560"/>
              <w:spacing w:after="0"/>
              <w:rPr>
                <w:sz w:val="20"/>
                <w:szCs w:val="20"/>
                <w:color w:val="auto"/>
              </w:rPr>
            </w:pPr>
            <w:r>
              <w:rPr>
                <w:rFonts w:ascii="Arial" w:cs="Arial" w:eastAsia="Arial" w:hAnsi="Arial"/>
                <w:sz w:val="18"/>
                <w:szCs w:val="18"/>
                <w:color w:val="auto"/>
              </w:rPr>
              <w:t>Asia Pacific</w:t>
            </w:r>
          </w:p>
        </w:tc>
        <w:tc>
          <w:tcPr>
            <w:tcW w:w="1340" w:type="dxa"/>
            <w:vAlign w:val="bottom"/>
          </w:tcPr>
          <w:p>
            <w:pPr>
              <w:jc w:val="right"/>
              <w:ind w:right="272"/>
              <w:spacing w:after="0"/>
              <w:rPr>
                <w:sz w:val="20"/>
                <w:szCs w:val="20"/>
                <w:color w:val="auto"/>
              </w:rPr>
            </w:pPr>
            <w:r>
              <w:rPr>
                <w:rFonts w:ascii="Arial" w:cs="Arial" w:eastAsia="Arial" w:hAnsi="Arial"/>
                <w:sz w:val="18"/>
                <w:szCs w:val="18"/>
                <w:color w:val="auto"/>
              </w:rPr>
              <w:t>653</w:t>
            </w:r>
          </w:p>
        </w:tc>
        <w:tc>
          <w:tcPr>
            <w:tcW w:w="1280" w:type="dxa"/>
            <w:vAlign w:val="bottom"/>
          </w:tcPr>
          <w:p>
            <w:pPr>
              <w:jc w:val="right"/>
              <w:ind w:right="431"/>
              <w:spacing w:after="0"/>
              <w:rPr>
                <w:sz w:val="20"/>
                <w:szCs w:val="20"/>
                <w:color w:val="auto"/>
              </w:rPr>
            </w:pPr>
            <w:r>
              <w:rPr>
                <w:rFonts w:ascii="Arial" w:cs="Arial" w:eastAsia="Arial" w:hAnsi="Arial"/>
                <w:sz w:val="18"/>
                <w:szCs w:val="18"/>
                <w:color w:val="auto"/>
              </w:rPr>
              <w:t>651</w:t>
            </w:r>
          </w:p>
        </w:tc>
        <w:tc>
          <w:tcPr>
            <w:tcW w:w="620" w:type="dxa"/>
            <w:vAlign w:val="bottom"/>
          </w:tcPr>
          <w:p>
            <w:pPr>
              <w:jc w:val="right"/>
              <w:spacing w:after="0"/>
              <w:rPr>
                <w:sz w:val="20"/>
                <w:szCs w:val="20"/>
                <w:color w:val="auto"/>
              </w:rPr>
            </w:pPr>
            <w:r>
              <w:rPr>
                <w:rFonts w:ascii="Arial" w:cs="Arial" w:eastAsia="Arial" w:hAnsi="Arial"/>
                <w:sz w:val="18"/>
                <w:szCs w:val="18"/>
                <w:color w:val="auto"/>
              </w:rPr>
              <w:t>738</w:t>
            </w:r>
          </w:p>
        </w:tc>
      </w:tr>
      <w:tr>
        <w:trPr>
          <w:trHeight w:val="230"/>
        </w:trPr>
        <w:tc>
          <w:tcPr>
            <w:tcW w:w="8000" w:type="dxa"/>
            <w:vAlign w:val="bottom"/>
          </w:tcPr>
          <w:p>
            <w:pPr>
              <w:ind w:left="560"/>
              <w:spacing w:after="0"/>
              <w:rPr>
                <w:sz w:val="20"/>
                <w:szCs w:val="20"/>
                <w:color w:val="auto"/>
              </w:rPr>
            </w:pPr>
            <w:r>
              <w:rPr>
                <w:rFonts w:ascii="Arial" w:cs="Arial" w:eastAsia="Arial" w:hAnsi="Arial"/>
                <w:sz w:val="18"/>
                <w:szCs w:val="18"/>
                <w:color w:val="auto"/>
              </w:rPr>
              <w:t>Other</w:t>
            </w:r>
          </w:p>
        </w:tc>
        <w:tc>
          <w:tcPr>
            <w:tcW w:w="134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464</w:t>
            </w:r>
          </w:p>
        </w:tc>
        <w:tc>
          <w:tcPr>
            <w:tcW w:w="128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color w:val="auto"/>
              </w:rPr>
              <w:t>419</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w:t>
            </w:r>
          </w:p>
        </w:tc>
      </w:tr>
      <w:tr>
        <w:trPr>
          <w:trHeight w:val="223"/>
        </w:trPr>
        <w:tc>
          <w:tcPr>
            <w:tcW w:w="8000" w:type="dxa"/>
            <w:vAlign w:val="bottom"/>
          </w:tcPr>
          <w:p>
            <w:pPr>
              <w:ind w:left="220"/>
              <w:spacing w:after="0"/>
              <w:rPr>
                <w:sz w:val="20"/>
                <w:szCs w:val="20"/>
                <w:color w:val="auto"/>
              </w:rPr>
            </w:pPr>
            <w:r>
              <w:rPr>
                <w:rFonts w:ascii="Arial" w:cs="Arial" w:eastAsia="Arial" w:hAnsi="Arial"/>
                <w:sz w:val="18"/>
                <w:szCs w:val="18"/>
                <w:color w:val="auto"/>
              </w:rPr>
              <w:t>Worldwide</w:t>
            </w:r>
          </w:p>
        </w:tc>
        <w:tc>
          <w:tcPr>
            <w:tcW w:w="134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5,162</w:t>
            </w:r>
          </w:p>
        </w:tc>
        <w:tc>
          <w:tcPr>
            <w:tcW w:w="128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color w:val="auto"/>
              </w:rPr>
              <w:t>4,895</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5,452</w:t>
            </w:r>
          </w:p>
        </w:tc>
      </w:tr>
      <w:tr>
        <w:trPr>
          <w:trHeight w:val="222"/>
        </w:trPr>
        <w:tc>
          <w:tcPr>
            <w:tcW w:w="8000" w:type="dxa"/>
            <w:vAlign w:val="bottom"/>
          </w:tcPr>
          <w:p>
            <w:pPr>
              <w:ind w:left="560"/>
              <w:spacing w:after="0"/>
              <w:rPr>
                <w:sz w:val="20"/>
                <w:szCs w:val="20"/>
                <w:color w:val="auto"/>
              </w:rPr>
            </w:pPr>
            <w:r>
              <w:rPr>
                <w:rFonts w:ascii="Arial" w:cs="Arial" w:eastAsia="Arial" w:hAnsi="Arial"/>
                <w:sz w:val="18"/>
                <w:szCs w:val="18"/>
                <w:color w:val="auto"/>
              </w:rPr>
              <w:t>Gasoline, naphthas</w:t>
            </w:r>
          </w:p>
        </w:tc>
        <w:tc>
          <w:tcPr>
            <w:tcW w:w="1340" w:type="dxa"/>
            <w:vAlign w:val="bottom"/>
          </w:tcPr>
          <w:p>
            <w:pPr>
              <w:jc w:val="right"/>
              <w:ind w:right="272"/>
              <w:spacing w:after="0"/>
              <w:rPr>
                <w:sz w:val="20"/>
                <w:szCs w:val="20"/>
                <w:color w:val="auto"/>
              </w:rPr>
            </w:pPr>
            <w:r>
              <w:rPr>
                <w:rFonts w:ascii="Arial" w:cs="Arial" w:eastAsia="Arial" w:hAnsi="Arial"/>
                <w:sz w:val="18"/>
                <w:szCs w:val="18"/>
                <w:color w:val="auto"/>
              </w:rPr>
              <w:t>2,158</w:t>
            </w:r>
          </w:p>
        </w:tc>
        <w:tc>
          <w:tcPr>
            <w:tcW w:w="1280" w:type="dxa"/>
            <w:vAlign w:val="bottom"/>
          </w:tcPr>
          <w:p>
            <w:pPr>
              <w:jc w:val="right"/>
              <w:ind w:right="431"/>
              <w:spacing w:after="0"/>
              <w:rPr>
                <w:sz w:val="20"/>
                <w:szCs w:val="20"/>
                <w:color w:val="auto"/>
              </w:rPr>
            </w:pPr>
            <w:r>
              <w:rPr>
                <w:rFonts w:ascii="Arial" w:cs="Arial" w:eastAsia="Arial" w:hAnsi="Arial"/>
                <w:sz w:val="18"/>
                <w:szCs w:val="18"/>
                <w:color w:val="auto"/>
              </w:rPr>
              <w:t>1,994</w:t>
            </w:r>
          </w:p>
        </w:tc>
        <w:tc>
          <w:tcPr>
            <w:tcW w:w="620" w:type="dxa"/>
            <w:vAlign w:val="bottom"/>
          </w:tcPr>
          <w:p>
            <w:pPr>
              <w:jc w:val="right"/>
              <w:spacing w:after="0"/>
              <w:rPr>
                <w:sz w:val="20"/>
                <w:szCs w:val="20"/>
                <w:color w:val="auto"/>
              </w:rPr>
            </w:pPr>
            <w:r>
              <w:rPr>
                <w:rFonts w:ascii="Arial" w:cs="Arial" w:eastAsia="Arial" w:hAnsi="Arial"/>
                <w:sz w:val="18"/>
                <w:szCs w:val="18"/>
                <w:color w:val="auto"/>
              </w:rPr>
              <w:t>2,220</w:t>
            </w:r>
          </w:p>
        </w:tc>
      </w:tr>
      <w:tr>
        <w:trPr>
          <w:trHeight w:val="230"/>
        </w:trPr>
        <w:tc>
          <w:tcPr>
            <w:tcW w:w="8000" w:type="dxa"/>
            <w:vAlign w:val="bottom"/>
          </w:tcPr>
          <w:p>
            <w:pPr>
              <w:ind w:left="560"/>
              <w:spacing w:after="0"/>
              <w:rPr>
                <w:sz w:val="20"/>
                <w:szCs w:val="20"/>
                <w:color w:val="auto"/>
              </w:rPr>
            </w:pPr>
            <w:r>
              <w:rPr>
                <w:rFonts w:ascii="Arial" w:cs="Arial" w:eastAsia="Arial" w:hAnsi="Arial"/>
                <w:sz w:val="18"/>
                <w:szCs w:val="18"/>
                <w:color w:val="auto"/>
              </w:rPr>
              <w:t>Heating oils, kerosene, diesel oils</w:t>
            </w:r>
          </w:p>
        </w:tc>
        <w:tc>
          <w:tcPr>
            <w:tcW w:w="1340" w:type="dxa"/>
            <w:vAlign w:val="bottom"/>
          </w:tcPr>
          <w:p>
            <w:pPr>
              <w:jc w:val="right"/>
              <w:ind w:right="272"/>
              <w:spacing w:after="0"/>
              <w:rPr>
                <w:sz w:val="20"/>
                <w:szCs w:val="20"/>
                <w:color w:val="auto"/>
              </w:rPr>
            </w:pPr>
            <w:r>
              <w:rPr>
                <w:rFonts w:ascii="Arial" w:cs="Arial" w:eastAsia="Arial" w:hAnsi="Arial"/>
                <w:sz w:val="18"/>
                <w:szCs w:val="18"/>
                <w:color w:val="auto"/>
              </w:rPr>
              <w:t>1,749</w:t>
            </w:r>
          </w:p>
        </w:tc>
        <w:tc>
          <w:tcPr>
            <w:tcW w:w="1280" w:type="dxa"/>
            <w:vAlign w:val="bottom"/>
          </w:tcPr>
          <w:p>
            <w:pPr>
              <w:jc w:val="right"/>
              <w:ind w:right="431"/>
              <w:spacing w:after="0"/>
              <w:rPr>
                <w:sz w:val="20"/>
                <w:szCs w:val="20"/>
                <w:color w:val="auto"/>
              </w:rPr>
            </w:pPr>
            <w:r>
              <w:rPr>
                <w:rFonts w:ascii="Arial" w:cs="Arial" w:eastAsia="Arial" w:hAnsi="Arial"/>
                <w:sz w:val="18"/>
                <w:szCs w:val="18"/>
                <w:color w:val="auto"/>
              </w:rPr>
              <w:t>1,751</w:t>
            </w:r>
          </w:p>
        </w:tc>
        <w:tc>
          <w:tcPr>
            <w:tcW w:w="620" w:type="dxa"/>
            <w:vAlign w:val="bottom"/>
          </w:tcPr>
          <w:p>
            <w:pPr>
              <w:jc w:val="right"/>
              <w:spacing w:after="0"/>
              <w:rPr>
                <w:sz w:val="20"/>
                <w:szCs w:val="20"/>
                <w:color w:val="auto"/>
              </w:rPr>
            </w:pPr>
            <w:r>
              <w:rPr>
                <w:rFonts w:ascii="Arial" w:cs="Arial" w:eastAsia="Arial" w:hAnsi="Arial"/>
                <w:sz w:val="18"/>
                <w:szCs w:val="18"/>
                <w:color w:val="auto"/>
              </w:rPr>
              <w:t>1,867</w:t>
            </w:r>
          </w:p>
        </w:tc>
      </w:tr>
      <w:tr>
        <w:trPr>
          <w:trHeight w:val="230"/>
        </w:trPr>
        <w:tc>
          <w:tcPr>
            <w:tcW w:w="8000" w:type="dxa"/>
            <w:vAlign w:val="bottom"/>
          </w:tcPr>
          <w:p>
            <w:pPr>
              <w:ind w:left="560"/>
              <w:spacing w:after="0"/>
              <w:rPr>
                <w:sz w:val="20"/>
                <w:szCs w:val="20"/>
                <w:color w:val="auto"/>
              </w:rPr>
            </w:pPr>
            <w:r>
              <w:rPr>
                <w:rFonts w:ascii="Arial" w:cs="Arial" w:eastAsia="Arial" w:hAnsi="Arial"/>
                <w:sz w:val="18"/>
                <w:szCs w:val="18"/>
                <w:color w:val="auto"/>
              </w:rPr>
              <w:t>Aviation fuels</w:t>
            </w:r>
          </w:p>
        </w:tc>
        <w:tc>
          <w:tcPr>
            <w:tcW w:w="1340" w:type="dxa"/>
            <w:vAlign w:val="bottom"/>
          </w:tcPr>
          <w:p>
            <w:pPr>
              <w:jc w:val="right"/>
              <w:ind w:right="272"/>
              <w:spacing w:after="0"/>
              <w:rPr>
                <w:sz w:val="20"/>
                <w:szCs w:val="20"/>
                <w:color w:val="auto"/>
              </w:rPr>
            </w:pPr>
            <w:r>
              <w:rPr>
                <w:rFonts w:ascii="Arial" w:cs="Arial" w:eastAsia="Arial" w:hAnsi="Arial"/>
                <w:sz w:val="18"/>
                <w:szCs w:val="18"/>
                <w:color w:val="auto"/>
              </w:rPr>
              <w:t>220</w:t>
            </w:r>
          </w:p>
        </w:tc>
        <w:tc>
          <w:tcPr>
            <w:tcW w:w="1280" w:type="dxa"/>
            <w:vAlign w:val="bottom"/>
          </w:tcPr>
          <w:p>
            <w:pPr>
              <w:jc w:val="right"/>
              <w:ind w:right="431"/>
              <w:spacing w:after="0"/>
              <w:rPr>
                <w:sz w:val="20"/>
                <w:szCs w:val="20"/>
                <w:color w:val="auto"/>
              </w:rPr>
            </w:pPr>
            <w:r>
              <w:rPr>
                <w:rFonts w:ascii="Arial" w:cs="Arial" w:eastAsia="Arial" w:hAnsi="Arial"/>
                <w:sz w:val="18"/>
                <w:szCs w:val="18"/>
                <w:color w:val="auto"/>
              </w:rPr>
              <w:t>213</w:t>
            </w:r>
          </w:p>
        </w:tc>
        <w:tc>
          <w:tcPr>
            <w:tcW w:w="620" w:type="dxa"/>
            <w:vAlign w:val="bottom"/>
          </w:tcPr>
          <w:p>
            <w:pPr>
              <w:jc w:val="right"/>
              <w:spacing w:after="0"/>
              <w:rPr>
                <w:sz w:val="20"/>
                <w:szCs w:val="20"/>
                <w:color w:val="auto"/>
              </w:rPr>
            </w:pPr>
            <w:r>
              <w:rPr>
                <w:rFonts w:ascii="Arial" w:cs="Arial" w:eastAsia="Arial" w:hAnsi="Arial"/>
                <w:sz w:val="18"/>
                <w:szCs w:val="18"/>
                <w:color w:val="auto"/>
              </w:rPr>
              <w:t>406</w:t>
            </w:r>
          </w:p>
        </w:tc>
      </w:tr>
      <w:tr>
        <w:trPr>
          <w:trHeight w:val="229"/>
        </w:trPr>
        <w:tc>
          <w:tcPr>
            <w:tcW w:w="8000" w:type="dxa"/>
            <w:vAlign w:val="bottom"/>
          </w:tcPr>
          <w:p>
            <w:pPr>
              <w:ind w:left="560"/>
              <w:spacing w:after="0"/>
              <w:rPr>
                <w:sz w:val="20"/>
                <w:szCs w:val="20"/>
                <w:color w:val="auto"/>
              </w:rPr>
            </w:pPr>
            <w:r>
              <w:rPr>
                <w:rFonts w:ascii="Arial" w:cs="Arial" w:eastAsia="Arial" w:hAnsi="Arial"/>
                <w:sz w:val="18"/>
                <w:szCs w:val="18"/>
                <w:color w:val="auto"/>
              </w:rPr>
              <w:t>Heavy fuels</w:t>
            </w:r>
          </w:p>
        </w:tc>
        <w:tc>
          <w:tcPr>
            <w:tcW w:w="1340" w:type="dxa"/>
            <w:vAlign w:val="bottom"/>
          </w:tcPr>
          <w:p>
            <w:pPr>
              <w:jc w:val="right"/>
              <w:ind w:right="272"/>
              <w:spacing w:after="0"/>
              <w:rPr>
                <w:sz w:val="20"/>
                <w:szCs w:val="20"/>
                <w:color w:val="auto"/>
              </w:rPr>
            </w:pPr>
            <w:r>
              <w:rPr>
                <w:rFonts w:ascii="Arial" w:cs="Arial" w:eastAsia="Arial" w:hAnsi="Arial"/>
                <w:sz w:val="18"/>
                <w:szCs w:val="18"/>
                <w:color w:val="auto"/>
              </w:rPr>
              <w:t>269</w:t>
            </w:r>
          </w:p>
        </w:tc>
        <w:tc>
          <w:tcPr>
            <w:tcW w:w="1280" w:type="dxa"/>
            <w:vAlign w:val="bottom"/>
          </w:tcPr>
          <w:p>
            <w:pPr>
              <w:jc w:val="right"/>
              <w:ind w:right="431"/>
              <w:spacing w:after="0"/>
              <w:rPr>
                <w:sz w:val="20"/>
                <w:szCs w:val="20"/>
                <w:color w:val="auto"/>
              </w:rPr>
            </w:pPr>
            <w:r>
              <w:rPr>
                <w:rFonts w:ascii="Arial" w:cs="Arial" w:eastAsia="Arial" w:hAnsi="Arial"/>
                <w:sz w:val="18"/>
                <w:szCs w:val="18"/>
                <w:color w:val="auto"/>
              </w:rPr>
              <w:t>249</w:t>
            </w:r>
          </w:p>
        </w:tc>
        <w:tc>
          <w:tcPr>
            <w:tcW w:w="620" w:type="dxa"/>
            <w:vAlign w:val="bottom"/>
          </w:tcPr>
          <w:p>
            <w:pPr>
              <w:jc w:val="right"/>
              <w:spacing w:after="0"/>
              <w:rPr>
                <w:sz w:val="20"/>
                <w:szCs w:val="20"/>
                <w:color w:val="auto"/>
              </w:rPr>
            </w:pPr>
            <w:r>
              <w:rPr>
                <w:rFonts w:ascii="Arial" w:cs="Arial" w:eastAsia="Arial" w:hAnsi="Arial"/>
                <w:sz w:val="18"/>
                <w:szCs w:val="18"/>
                <w:color w:val="auto"/>
              </w:rPr>
              <w:t>270</w:t>
            </w:r>
          </w:p>
        </w:tc>
      </w:tr>
      <w:tr>
        <w:trPr>
          <w:trHeight w:val="230"/>
        </w:trPr>
        <w:tc>
          <w:tcPr>
            <w:tcW w:w="8000" w:type="dxa"/>
            <w:vAlign w:val="bottom"/>
          </w:tcPr>
          <w:p>
            <w:pPr>
              <w:ind w:left="560"/>
              <w:spacing w:after="0"/>
              <w:rPr>
                <w:sz w:val="20"/>
                <w:szCs w:val="20"/>
                <w:color w:val="auto"/>
              </w:rPr>
            </w:pPr>
            <w:r>
              <w:rPr>
                <w:rFonts w:ascii="Arial" w:cs="Arial" w:eastAsia="Arial" w:hAnsi="Arial"/>
                <w:sz w:val="18"/>
                <w:szCs w:val="18"/>
                <w:color w:val="auto"/>
              </w:rPr>
              <w:t>Specialty petroleum products</w:t>
            </w:r>
          </w:p>
        </w:tc>
        <w:tc>
          <w:tcPr>
            <w:tcW w:w="134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766</w:t>
            </w:r>
          </w:p>
        </w:tc>
        <w:tc>
          <w:tcPr>
            <w:tcW w:w="128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color w:val="auto"/>
              </w:rPr>
              <w:t>688</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w:t>
            </w:r>
          </w:p>
        </w:tc>
      </w:tr>
      <w:tr>
        <w:trPr>
          <w:trHeight w:val="223"/>
        </w:trPr>
        <w:tc>
          <w:tcPr>
            <w:tcW w:w="8000" w:type="dxa"/>
            <w:vAlign w:val="bottom"/>
          </w:tcPr>
          <w:p>
            <w:pPr>
              <w:ind w:left="220"/>
              <w:spacing w:after="0"/>
              <w:rPr>
                <w:sz w:val="20"/>
                <w:szCs w:val="20"/>
                <w:color w:val="auto"/>
              </w:rPr>
            </w:pPr>
            <w:r>
              <w:rPr>
                <w:rFonts w:ascii="Arial" w:cs="Arial" w:eastAsia="Arial" w:hAnsi="Arial"/>
                <w:sz w:val="18"/>
                <w:szCs w:val="18"/>
                <w:color w:val="auto"/>
              </w:rPr>
              <w:t>Worldwide</w:t>
            </w:r>
          </w:p>
        </w:tc>
        <w:tc>
          <w:tcPr>
            <w:tcW w:w="134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5,162</w:t>
            </w:r>
          </w:p>
        </w:tc>
        <w:tc>
          <w:tcPr>
            <w:tcW w:w="128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color w:val="auto"/>
              </w:rPr>
              <w:t>4,895</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5,452</w:t>
            </w:r>
          </w:p>
        </w:tc>
      </w:tr>
    </w:tbl>
    <w:p>
      <w:pPr>
        <w:spacing w:after="0" w:line="256" w:lineRule="exact"/>
        <w:rPr>
          <w:sz w:val="20"/>
          <w:szCs w:val="20"/>
          <w:color w:val="auto"/>
        </w:rPr>
      </w:pPr>
    </w:p>
    <w:p>
      <w:pPr>
        <w:ind w:left="80"/>
        <w:spacing w:after="0"/>
        <w:rPr>
          <w:sz w:val="20"/>
          <w:szCs w:val="20"/>
          <w:color w:val="auto"/>
        </w:rPr>
      </w:pPr>
      <w:r>
        <w:rPr>
          <w:rFonts w:ascii="Arial" w:cs="Arial" w:eastAsia="Arial" w:hAnsi="Arial"/>
          <w:sz w:val="18"/>
          <w:szCs w:val="18"/>
          <w:i w:val="1"/>
          <w:iCs w:val="1"/>
          <w:color w:val="auto"/>
        </w:rPr>
        <w:t>(2) Data reported net of purchases/sales contracts with the same counterparty.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54" w:name="page55"/>
    <w:bookmarkEnd w:id="54"/>
    <w:p>
      <w:pPr>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Chemical</w:t>
      </w:r>
    </w:p>
    <w:p>
      <w:pPr>
        <w:spacing w:after="0" w:line="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ExxonMobil is a leading global manufacturer and marketer of petrochemicals that support modern living. ExxonMobil helps meet society’s evolving needs by providing a wide range of innovative, valuable product solutions in an efficient and responsible manner. This is enabled by ExxonMobil’s proprietary technology combined with industry-leading scale and integration. These competitive advantages are underpinned by operational excellence, advantaged investments, and cost discipline.</w:t>
      </w:r>
    </w:p>
    <w:p>
      <w:pPr>
        <w:spacing w:after="0" w:line="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2021, while many markets continued to be negatively impacted by COVID-19, demand for chemical products remained resilient in several key segments including food packaging, hygiene and medical. Overall chemical industry margins improved compared to 2020 due to continued strong packaging demand and industry supply disruptions. We were uniquely positioned to capture value from the market in 2021 due to our integration, enabling nimble feed and product optimization, and our advantaged global supply and logistics. These, along with our outstanding reliability performance and continued structural cost savings, delivered record annual earnings.</w:t>
      </w:r>
    </w:p>
    <w:p>
      <w:pPr>
        <w:spacing w:after="0" w:line="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Worldwide demand for chemicals is expected to grow faster than the economy as a whole, driven by global population growth, an expanding middle class, and improving living standards. ExxonMobil’s integration with refining, together with our high-value performance products and unique project execution capability, enhances our ability to generate returns on investments across a range of market environments. In 2021, ExxonMobil completed construction of our joint venture ethane cracker and associated derivative units near Corpus Christi, Texas. The project started up in late 2021 below budget and ahead of schedule. With improving market conditions, we also restarted other U.S. Gulf Coast growth projects, including projects in Baytown, Texas and Baton Rouge, Louisiana that will support the growing demand for high-value chemicals products.</w:t>
      </w: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Recent Events</w:t>
      </w:r>
    </w:p>
    <w:p>
      <w:pPr>
        <w:spacing w:after="0" w:line="10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China investment</w:t>
      </w:r>
      <w:r>
        <w:rPr>
          <w:rFonts w:ascii="Arial" w:cs="Arial" w:eastAsia="Arial" w:hAnsi="Arial"/>
          <w:sz w:val="18"/>
          <w:szCs w:val="18"/>
          <w:color w:val="auto"/>
        </w:rPr>
        <w:t>: ExxonMobil reached final investment decision to proceed with a multi-billion dollar chemical complex in the Dayawan Petrochemical</w:t>
      </w:r>
      <w:r>
        <w:rPr>
          <w:rFonts w:ascii="Arial" w:cs="Arial" w:eastAsia="Arial" w:hAnsi="Arial"/>
          <w:sz w:val="18"/>
          <w:szCs w:val="18"/>
          <w:b w:val="1"/>
          <w:bCs w:val="1"/>
          <w:color w:val="auto"/>
        </w:rPr>
        <w:t xml:space="preserve"> </w:t>
      </w:r>
      <w:r>
        <w:rPr>
          <w:rFonts w:ascii="Arial" w:cs="Arial" w:eastAsia="Arial" w:hAnsi="Arial"/>
          <w:sz w:val="18"/>
          <w:szCs w:val="18"/>
          <w:color w:val="auto"/>
        </w:rPr>
        <w:t>Industrial Park in Huizhou, Guangdong Province in China. The facility will help meet expected demand growth for performance chemical products in China.</w:t>
      </w:r>
    </w:p>
    <w:p>
      <w:pPr>
        <w:spacing w:after="0" w:line="5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Advanced recycling</w:t>
      </w:r>
      <w:r>
        <w:rPr>
          <w:rFonts w:ascii="Arial" w:cs="Arial" w:eastAsia="Arial" w:hAnsi="Arial"/>
          <w:sz w:val="18"/>
          <w:szCs w:val="18"/>
          <w:color w:val="auto"/>
        </w:rPr>
        <w:t>: The Corporation is progressing construction of one of North America’s largest plastic waste advanced recycling facilities in</w:t>
      </w:r>
      <w:r>
        <w:rPr>
          <w:rFonts w:ascii="Arial" w:cs="Arial" w:eastAsia="Arial" w:hAnsi="Arial"/>
          <w:sz w:val="18"/>
          <w:szCs w:val="18"/>
          <w:b w:val="1"/>
          <w:bCs w:val="1"/>
          <w:color w:val="auto"/>
        </w:rPr>
        <w:t xml:space="preserve"> </w:t>
      </w:r>
      <w:r>
        <w:rPr>
          <w:rFonts w:ascii="Arial" w:cs="Arial" w:eastAsia="Arial" w:hAnsi="Arial"/>
          <w:sz w:val="18"/>
          <w:szCs w:val="18"/>
          <w:color w:val="auto"/>
        </w:rPr>
        <w:t>Baytown, Texas, which is expected to start operations in 2022. In addition, plans are underway for up to 500,000 metric tons annually of advanced recycling capacity to be added across multiple sites by 2026. These investments enabled commercial volumes of certified circular polymers to be made available to the market in 2021.</w:t>
      </w:r>
    </w:p>
    <w:p>
      <w:pPr>
        <w:spacing w:after="0" w:line="4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Materia acquisition</w:t>
      </w:r>
      <w:r>
        <w:rPr>
          <w:rFonts w:ascii="Arial" w:cs="Arial" w:eastAsia="Arial" w:hAnsi="Arial"/>
          <w:sz w:val="18"/>
          <w:szCs w:val="18"/>
          <w:color w:val="auto"/>
        </w:rPr>
        <w:t>: ExxonMobil acquired Materia, Inc., a technology company that has pioneered the development of a Nobel prize-winning technology</w:t>
      </w:r>
      <w:r>
        <w:rPr>
          <w:rFonts w:ascii="Arial" w:cs="Arial" w:eastAsia="Arial" w:hAnsi="Arial"/>
          <w:sz w:val="18"/>
          <w:szCs w:val="18"/>
          <w:b w:val="1"/>
          <w:bCs w:val="1"/>
          <w:color w:val="auto"/>
        </w:rPr>
        <w:t xml:space="preserve"> </w:t>
      </w:r>
      <w:r>
        <w:rPr>
          <w:rFonts w:ascii="Arial" w:cs="Arial" w:eastAsia="Arial" w:hAnsi="Arial"/>
          <w:sz w:val="18"/>
          <w:szCs w:val="18"/>
          <w:color w:val="auto"/>
        </w:rPr>
        <w:t>for manufacturing a new class of materials. The innovative materials can be used in a number of applications, including wind turbine blades, electric vehicle parts, sustainable construction, and anticorrosive coatings.</w:t>
      </w:r>
    </w:p>
    <w:p>
      <w:pPr>
        <w:spacing w:after="0" w:line="5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Santoprene divestment</w:t>
      </w:r>
      <w:r>
        <w:rPr>
          <w:rFonts w:ascii="Arial" w:cs="Arial" w:eastAsia="Arial" w:hAnsi="Arial"/>
          <w:sz w:val="18"/>
          <w:szCs w:val="18"/>
          <w:color w:val="auto"/>
        </w:rPr>
        <w:t>: ExxonMobil Chemical Company sold its global</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Santoprene</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to Celanese. The sale included two manufacturing sites, one</w:t>
      </w:r>
      <w:r>
        <w:rPr>
          <w:rFonts w:ascii="Arial" w:cs="Arial" w:eastAsia="Arial" w:hAnsi="Arial"/>
          <w:sz w:val="18"/>
          <w:szCs w:val="18"/>
          <w:b w:val="1"/>
          <w:bCs w:val="1"/>
          <w:color w:val="auto"/>
        </w:rPr>
        <w:t xml:space="preserve"> </w:t>
      </w:r>
      <w:r>
        <w:rPr>
          <w:rFonts w:ascii="Arial" w:cs="Arial" w:eastAsia="Arial" w:hAnsi="Arial"/>
          <w:sz w:val="18"/>
          <w:szCs w:val="18"/>
          <w:color w:val="auto"/>
        </w:rPr>
        <w:t>in the United States and one in the United Kingdom.</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Chemical Financial Results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1480" w:type="dxa"/>
            <w:vAlign w:val="bottom"/>
          </w:tcPr>
          <w:p>
            <w:pPr>
              <w:jc w:val="right"/>
              <w:ind w:right="353"/>
              <w:spacing w:after="0"/>
              <w:rPr>
                <w:sz w:val="20"/>
                <w:szCs w:val="20"/>
                <w:color w:val="auto"/>
              </w:rPr>
            </w:pPr>
            <w:r>
              <w:rPr>
                <w:rFonts w:ascii="Arial" w:cs="Arial" w:eastAsia="Arial" w:hAnsi="Arial"/>
                <w:sz w:val="14"/>
                <w:szCs w:val="14"/>
                <w:b w:val="1"/>
                <w:bCs w:val="1"/>
                <w:color w:val="auto"/>
              </w:rPr>
              <w:t>2020</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r>
      <w:tr>
        <w:trPr>
          <w:trHeight w:val="39"/>
        </w:trPr>
        <w:tc>
          <w:tcPr>
            <w:tcW w:w="8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r>
      <w:tr>
        <w:trPr>
          <w:trHeight w:val="184"/>
        </w:trPr>
        <w:tc>
          <w:tcPr>
            <w:tcW w:w="8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80" w:type="dxa"/>
            <w:vAlign w:val="bottom"/>
          </w:tcPr>
          <w:p>
            <w:pPr>
              <w:jc w:val="right"/>
              <w:ind w:right="213"/>
              <w:spacing w:after="0"/>
              <w:rPr>
                <w:sz w:val="20"/>
                <w:szCs w:val="20"/>
                <w:color w:val="auto"/>
              </w:rPr>
            </w:pPr>
            <w:r>
              <w:rPr>
                <w:rFonts w:ascii="Arial" w:cs="Arial" w:eastAsia="Arial" w:hAnsi="Arial"/>
                <w:sz w:val="14"/>
                <w:szCs w:val="14"/>
                <w:i w:val="1"/>
                <w:iCs w:val="1"/>
                <w:color w:val="auto"/>
                <w:w w:val="99"/>
              </w:rPr>
              <w:t>(millions of dollars)</w:t>
            </w:r>
          </w:p>
        </w:tc>
        <w:tc>
          <w:tcPr>
            <w:tcW w:w="640" w:type="dxa"/>
            <w:vAlign w:val="bottom"/>
          </w:tcPr>
          <w:p>
            <w:pPr>
              <w:spacing w:after="0"/>
              <w:rPr>
                <w:sz w:val="16"/>
                <w:szCs w:val="16"/>
                <w:color w:val="auto"/>
              </w:rPr>
            </w:pPr>
          </w:p>
        </w:tc>
      </w:tr>
      <w:tr>
        <w:trPr>
          <w:trHeight w:val="268"/>
        </w:trPr>
        <w:tc>
          <w:tcPr>
            <w:tcW w:w="8180" w:type="dxa"/>
            <w:vAlign w:val="bottom"/>
          </w:tcPr>
          <w:p>
            <w:pPr>
              <w:ind w:left="20"/>
              <w:spacing w:after="0"/>
              <w:rPr>
                <w:sz w:val="20"/>
                <w:szCs w:val="20"/>
                <w:color w:val="auto"/>
              </w:rPr>
            </w:pPr>
            <w:r>
              <w:rPr>
                <w:rFonts w:ascii="Arial" w:cs="Arial" w:eastAsia="Arial" w:hAnsi="Arial"/>
                <w:sz w:val="18"/>
                <w:szCs w:val="18"/>
                <w:color w:val="auto"/>
              </w:rPr>
              <w:t>Earnings (loss) (U.S. GAAP)</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230"/>
        </w:trPr>
        <w:tc>
          <w:tcPr>
            <w:tcW w:w="8180" w:type="dxa"/>
            <w:vAlign w:val="bottom"/>
          </w:tcPr>
          <w:p>
            <w:pPr>
              <w:ind w:left="440"/>
              <w:spacing w:after="0"/>
              <w:rPr>
                <w:sz w:val="20"/>
                <w:szCs w:val="20"/>
                <w:color w:val="auto"/>
              </w:rPr>
            </w:pPr>
            <w:r>
              <w:rPr>
                <w:rFonts w:ascii="Arial" w:cs="Arial" w:eastAsia="Arial" w:hAnsi="Arial"/>
                <w:sz w:val="18"/>
                <w:szCs w:val="18"/>
                <w:color w:val="auto"/>
              </w:rPr>
              <w:t>United States</w:t>
            </w:r>
          </w:p>
        </w:tc>
        <w:tc>
          <w:tcPr>
            <w:tcW w:w="940" w:type="dxa"/>
            <w:vAlign w:val="bottom"/>
          </w:tcPr>
          <w:p>
            <w:pPr>
              <w:jc w:val="right"/>
              <w:spacing w:after="0"/>
              <w:rPr>
                <w:sz w:val="20"/>
                <w:szCs w:val="20"/>
                <w:color w:val="auto"/>
              </w:rPr>
            </w:pPr>
            <w:r>
              <w:rPr>
                <w:rFonts w:ascii="Arial" w:cs="Arial" w:eastAsia="Arial" w:hAnsi="Arial"/>
                <w:sz w:val="18"/>
                <w:szCs w:val="18"/>
                <w:color w:val="auto"/>
              </w:rPr>
              <w:t>4,502</w:t>
            </w:r>
          </w:p>
        </w:tc>
        <w:tc>
          <w:tcPr>
            <w:tcW w:w="1480" w:type="dxa"/>
            <w:vAlign w:val="bottom"/>
          </w:tcPr>
          <w:p>
            <w:pPr>
              <w:jc w:val="right"/>
              <w:ind w:right="393"/>
              <w:spacing w:after="0"/>
              <w:rPr>
                <w:sz w:val="20"/>
                <w:szCs w:val="20"/>
                <w:color w:val="auto"/>
              </w:rPr>
            </w:pPr>
            <w:r>
              <w:rPr>
                <w:rFonts w:ascii="Arial" w:cs="Arial" w:eastAsia="Arial" w:hAnsi="Arial"/>
                <w:sz w:val="18"/>
                <w:szCs w:val="18"/>
                <w:color w:val="auto"/>
              </w:rPr>
              <w:t>1,277</w:t>
            </w:r>
          </w:p>
        </w:tc>
        <w:tc>
          <w:tcPr>
            <w:tcW w:w="640" w:type="dxa"/>
            <w:vAlign w:val="bottom"/>
          </w:tcPr>
          <w:p>
            <w:pPr>
              <w:jc w:val="right"/>
              <w:spacing w:after="0"/>
              <w:rPr>
                <w:sz w:val="20"/>
                <w:szCs w:val="20"/>
                <w:color w:val="auto"/>
              </w:rPr>
            </w:pPr>
            <w:r>
              <w:rPr>
                <w:rFonts w:ascii="Arial" w:cs="Arial" w:eastAsia="Arial" w:hAnsi="Arial"/>
                <w:sz w:val="18"/>
                <w:szCs w:val="18"/>
                <w:color w:val="auto"/>
              </w:rPr>
              <w:t>206</w:t>
            </w:r>
          </w:p>
        </w:tc>
      </w:tr>
      <w:tr>
        <w:trPr>
          <w:trHeight w:val="230"/>
        </w:trPr>
        <w:tc>
          <w:tcPr>
            <w:tcW w:w="8180" w:type="dxa"/>
            <w:vAlign w:val="bottom"/>
          </w:tcPr>
          <w:p>
            <w:pPr>
              <w:ind w:left="440"/>
              <w:spacing w:after="0"/>
              <w:rPr>
                <w:sz w:val="20"/>
                <w:szCs w:val="20"/>
                <w:color w:val="auto"/>
              </w:rPr>
            </w:pPr>
            <w:r>
              <w:rPr>
                <w:rFonts w:ascii="Arial" w:cs="Arial" w:eastAsia="Arial" w:hAnsi="Arial"/>
                <w:sz w:val="18"/>
                <w:szCs w:val="18"/>
                <w:color w:val="auto"/>
              </w:rPr>
              <w:t>Non-U.S.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3,294</w:t>
            </w:r>
          </w:p>
        </w:tc>
        <w:tc>
          <w:tcPr>
            <w:tcW w:w="1480" w:type="dxa"/>
            <w:vAlign w:val="bottom"/>
            <w:tcBorders>
              <w:bottom w:val="single" w:sz="8" w:color="auto"/>
            </w:tcBorders>
          </w:tcPr>
          <w:p>
            <w:pPr>
              <w:jc w:val="right"/>
              <w:ind w:right="393"/>
              <w:spacing w:after="0"/>
              <w:rPr>
                <w:sz w:val="20"/>
                <w:szCs w:val="20"/>
                <w:color w:val="auto"/>
              </w:rPr>
            </w:pPr>
            <w:r>
              <w:rPr>
                <w:rFonts w:ascii="Arial" w:cs="Arial" w:eastAsia="Arial" w:hAnsi="Arial"/>
                <w:sz w:val="18"/>
                <w:szCs w:val="18"/>
                <w:color w:val="auto"/>
              </w:rPr>
              <w:t>686</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w:t>
            </w:r>
          </w:p>
        </w:tc>
      </w:tr>
      <w:tr>
        <w:trPr>
          <w:trHeight w:val="223"/>
        </w:trPr>
        <w:tc>
          <w:tcPr>
            <w:tcW w:w="8180" w:type="dxa"/>
            <w:vAlign w:val="bottom"/>
          </w:tcPr>
          <w:p>
            <w:pPr>
              <w:ind w:left="840"/>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7,796</w:t>
            </w:r>
          </w:p>
        </w:tc>
        <w:tc>
          <w:tcPr>
            <w:tcW w:w="1480" w:type="dxa"/>
            <w:vAlign w:val="bottom"/>
            <w:tcBorders>
              <w:bottom w:val="single" w:sz="8" w:color="auto"/>
            </w:tcBorders>
          </w:tcPr>
          <w:p>
            <w:pPr>
              <w:jc w:val="right"/>
              <w:ind w:right="393"/>
              <w:spacing w:after="0"/>
              <w:rPr>
                <w:sz w:val="20"/>
                <w:szCs w:val="20"/>
                <w:color w:val="auto"/>
              </w:rPr>
            </w:pPr>
            <w:r>
              <w:rPr>
                <w:rFonts w:ascii="Arial" w:cs="Arial" w:eastAsia="Arial" w:hAnsi="Arial"/>
                <w:sz w:val="18"/>
                <w:szCs w:val="18"/>
                <w:color w:val="auto"/>
              </w:rPr>
              <w:t>1,963</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w:t>
            </w:r>
          </w:p>
        </w:tc>
      </w:tr>
      <w:tr>
        <w:trPr>
          <w:trHeight w:val="209"/>
        </w:trPr>
        <w:tc>
          <w:tcPr>
            <w:tcW w:w="8180" w:type="dxa"/>
            <w:vAlign w:val="bottom"/>
          </w:tcPr>
          <w:p>
            <w:pPr>
              <w:ind w:left="20"/>
              <w:spacing w:after="0"/>
              <w:rPr>
                <w:sz w:val="20"/>
                <w:szCs w:val="20"/>
                <w:color w:val="auto"/>
              </w:rPr>
            </w:pPr>
            <w:r>
              <w:rPr>
                <w:rFonts w:ascii="Arial" w:cs="Arial" w:eastAsia="Arial" w:hAnsi="Arial"/>
                <w:sz w:val="18"/>
                <w:szCs w:val="18"/>
                <w:color w:val="auto"/>
              </w:rPr>
              <w:t xml:space="preserve">Identified Items </w:t>
            </w:r>
            <w:r>
              <w:rPr>
                <w:rFonts w:ascii="Arial" w:cs="Arial" w:eastAsia="Arial" w:hAnsi="Arial"/>
                <w:sz w:val="14"/>
                <w:szCs w:val="14"/>
                <w:i w:val="1"/>
                <w:iCs w:val="1"/>
                <w:color w:val="auto"/>
              </w:rPr>
              <w:t>(1)</w:t>
            </w:r>
          </w:p>
        </w:tc>
        <w:tc>
          <w:tcPr>
            <w:tcW w:w="9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30"/>
        </w:trPr>
        <w:tc>
          <w:tcPr>
            <w:tcW w:w="8180" w:type="dxa"/>
            <w:vAlign w:val="bottom"/>
          </w:tcPr>
          <w:p>
            <w:pPr>
              <w:ind w:left="440"/>
              <w:spacing w:after="0"/>
              <w:rPr>
                <w:sz w:val="20"/>
                <w:szCs w:val="20"/>
                <w:color w:val="auto"/>
              </w:rPr>
            </w:pPr>
            <w:r>
              <w:rPr>
                <w:rFonts w:ascii="Arial" w:cs="Arial" w:eastAsia="Arial" w:hAnsi="Arial"/>
                <w:sz w:val="18"/>
                <w:szCs w:val="18"/>
                <w:color w:val="auto"/>
              </w:rPr>
              <w:t>United States</w:t>
            </w:r>
          </w:p>
        </w:tc>
        <w:tc>
          <w:tcPr>
            <w:tcW w:w="940" w:type="dxa"/>
            <w:vAlign w:val="bottom"/>
          </w:tcPr>
          <w:p>
            <w:pPr>
              <w:jc w:val="right"/>
              <w:spacing w:after="0"/>
              <w:rPr>
                <w:sz w:val="20"/>
                <w:szCs w:val="20"/>
                <w:color w:val="auto"/>
              </w:rPr>
            </w:pPr>
            <w:r>
              <w:rPr>
                <w:rFonts w:ascii="Arial" w:cs="Arial" w:eastAsia="Arial" w:hAnsi="Arial"/>
                <w:sz w:val="18"/>
                <w:szCs w:val="18"/>
                <w:color w:val="auto"/>
              </w:rPr>
              <w:t>494</w:t>
            </w:r>
          </w:p>
        </w:tc>
        <w:tc>
          <w:tcPr>
            <w:tcW w:w="1480" w:type="dxa"/>
            <w:vAlign w:val="bottom"/>
          </w:tcPr>
          <w:p>
            <w:pPr>
              <w:jc w:val="right"/>
              <w:ind w:right="353"/>
              <w:spacing w:after="0"/>
              <w:rPr>
                <w:sz w:val="20"/>
                <w:szCs w:val="20"/>
                <w:color w:val="auto"/>
              </w:rPr>
            </w:pPr>
            <w:r>
              <w:rPr>
                <w:rFonts w:ascii="Arial" w:cs="Arial" w:eastAsia="Arial" w:hAnsi="Arial"/>
                <w:sz w:val="18"/>
                <w:szCs w:val="18"/>
                <w:color w:val="auto"/>
              </w:rPr>
              <w:t>(90)</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180" w:type="dxa"/>
            <w:vAlign w:val="bottom"/>
          </w:tcPr>
          <w:p>
            <w:pPr>
              <w:ind w:left="440"/>
              <w:spacing w:after="0"/>
              <w:rPr>
                <w:sz w:val="20"/>
                <w:szCs w:val="20"/>
                <w:color w:val="auto"/>
              </w:rPr>
            </w:pPr>
            <w:r>
              <w:rPr>
                <w:rFonts w:ascii="Arial" w:cs="Arial" w:eastAsia="Arial" w:hAnsi="Arial"/>
                <w:sz w:val="18"/>
                <w:szCs w:val="18"/>
                <w:color w:val="auto"/>
              </w:rPr>
              <w:t>Non-U.S.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1480" w:type="dxa"/>
            <w:vAlign w:val="bottom"/>
            <w:tcBorders>
              <w:bottom w:val="single" w:sz="8" w:color="auto"/>
            </w:tcBorders>
          </w:tcPr>
          <w:p>
            <w:pPr>
              <w:jc w:val="right"/>
              <w:ind w:right="353"/>
              <w:spacing w:after="0"/>
              <w:rPr>
                <w:sz w:val="20"/>
                <w:szCs w:val="20"/>
                <w:color w:val="auto"/>
              </w:rPr>
            </w:pPr>
            <w:r>
              <w:rPr>
                <w:rFonts w:ascii="Arial" w:cs="Arial" w:eastAsia="Arial" w:hAnsi="Arial"/>
                <w:sz w:val="18"/>
                <w:szCs w:val="18"/>
                <w:color w:val="auto"/>
              </w:rPr>
              <w:t>(24)</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8180" w:type="dxa"/>
            <w:vAlign w:val="bottom"/>
          </w:tcPr>
          <w:p>
            <w:pPr>
              <w:ind w:left="840"/>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w:t>
            </w:r>
          </w:p>
        </w:tc>
        <w:tc>
          <w:tcPr>
            <w:tcW w:w="1480" w:type="dxa"/>
            <w:vAlign w:val="bottom"/>
            <w:tcBorders>
              <w:bottom w:val="single" w:sz="8" w:color="auto"/>
            </w:tcBorders>
          </w:tcPr>
          <w:p>
            <w:pPr>
              <w:jc w:val="right"/>
              <w:ind w:right="353"/>
              <w:spacing w:after="0"/>
              <w:rPr>
                <w:sz w:val="20"/>
                <w:szCs w:val="20"/>
                <w:color w:val="auto"/>
              </w:rPr>
            </w:pPr>
            <w:r>
              <w:rPr>
                <w:rFonts w:ascii="Arial" w:cs="Arial" w:eastAsia="Arial" w:hAnsi="Arial"/>
                <w:sz w:val="18"/>
                <w:szCs w:val="18"/>
                <w:color w:val="auto"/>
              </w:rPr>
              <w:t>(114)</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09"/>
        </w:trPr>
        <w:tc>
          <w:tcPr>
            <w:tcW w:w="8180" w:type="dxa"/>
            <w:vAlign w:val="bottom"/>
          </w:tcPr>
          <w:p>
            <w:pPr>
              <w:ind w:left="20"/>
              <w:spacing w:after="0"/>
              <w:rPr>
                <w:sz w:val="20"/>
                <w:szCs w:val="20"/>
                <w:color w:val="auto"/>
              </w:rPr>
            </w:pPr>
            <w:r>
              <w:rPr>
                <w:rFonts w:ascii="Arial" w:cs="Arial" w:eastAsia="Arial" w:hAnsi="Arial"/>
                <w:sz w:val="18"/>
                <w:szCs w:val="18"/>
                <w:color w:val="auto"/>
              </w:rPr>
              <w:t xml:space="preserve">Earnings (loss) excluding Identified Items </w:t>
            </w:r>
            <w:r>
              <w:rPr>
                <w:rFonts w:ascii="Arial" w:cs="Arial" w:eastAsia="Arial" w:hAnsi="Arial"/>
                <w:sz w:val="14"/>
                <w:szCs w:val="14"/>
                <w:i w:val="1"/>
                <w:iCs w:val="1"/>
                <w:color w:val="auto"/>
              </w:rPr>
              <w:t>(1)</w:t>
            </w:r>
          </w:p>
        </w:tc>
        <w:tc>
          <w:tcPr>
            <w:tcW w:w="9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30"/>
        </w:trPr>
        <w:tc>
          <w:tcPr>
            <w:tcW w:w="8180" w:type="dxa"/>
            <w:vAlign w:val="bottom"/>
          </w:tcPr>
          <w:p>
            <w:pPr>
              <w:ind w:left="440"/>
              <w:spacing w:after="0"/>
              <w:rPr>
                <w:sz w:val="20"/>
                <w:szCs w:val="20"/>
                <w:color w:val="auto"/>
              </w:rPr>
            </w:pPr>
            <w:r>
              <w:rPr>
                <w:rFonts w:ascii="Arial" w:cs="Arial" w:eastAsia="Arial" w:hAnsi="Arial"/>
                <w:sz w:val="18"/>
                <w:szCs w:val="18"/>
                <w:color w:val="auto"/>
              </w:rPr>
              <w:t>United States</w:t>
            </w:r>
          </w:p>
        </w:tc>
        <w:tc>
          <w:tcPr>
            <w:tcW w:w="940" w:type="dxa"/>
            <w:vAlign w:val="bottom"/>
          </w:tcPr>
          <w:p>
            <w:pPr>
              <w:jc w:val="right"/>
              <w:spacing w:after="0"/>
              <w:rPr>
                <w:sz w:val="20"/>
                <w:szCs w:val="20"/>
                <w:color w:val="auto"/>
              </w:rPr>
            </w:pPr>
            <w:r>
              <w:rPr>
                <w:rFonts w:ascii="Arial" w:cs="Arial" w:eastAsia="Arial" w:hAnsi="Arial"/>
                <w:sz w:val="18"/>
                <w:szCs w:val="18"/>
                <w:color w:val="auto"/>
              </w:rPr>
              <w:t>4,008</w:t>
            </w:r>
          </w:p>
        </w:tc>
        <w:tc>
          <w:tcPr>
            <w:tcW w:w="1480" w:type="dxa"/>
            <w:vAlign w:val="bottom"/>
          </w:tcPr>
          <w:p>
            <w:pPr>
              <w:jc w:val="right"/>
              <w:ind w:right="393"/>
              <w:spacing w:after="0"/>
              <w:rPr>
                <w:sz w:val="20"/>
                <w:szCs w:val="20"/>
                <w:color w:val="auto"/>
              </w:rPr>
            </w:pPr>
            <w:r>
              <w:rPr>
                <w:rFonts w:ascii="Arial" w:cs="Arial" w:eastAsia="Arial" w:hAnsi="Arial"/>
                <w:sz w:val="18"/>
                <w:szCs w:val="18"/>
                <w:color w:val="auto"/>
              </w:rPr>
              <w:t>1,367</w:t>
            </w:r>
          </w:p>
        </w:tc>
        <w:tc>
          <w:tcPr>
            <w:tcW w:w="640" w:type="dxa"/>
            <w:vAlign w:val="bottom"/>
          </w:tcPr>
          <w:p>
            <w:pPr>
              <w:jc w:val="right"/>
              <w:spacing w:after="0"/>
              <w:rPr>
                <w:sz w:val="20"/>
                <w:szCs w:val="20"/>
                <w:color w:val="auto"/>
              </w:rPr>
            </w:pPr>
            <w:r>
              <w:rPr>
                <w:rFonts w:ascii="Arial" w:cs="Arial" w:eastAsia="Arial" w:hAnsi="Arial"/>
                <w:sz w:val="18"/>
                <w:szCs w:val="18"/>
                <w:color w:val="auto"/>
              </w:rPr>
              <w:t>206</w:t>
            </w:r>
          </w:p>
        </w:tc>
      </w:tr>
      <w:tr>
        <w:trPr>
          <w:trHeight w:val="230"/>
        </w:trPr>
        <w:tc>
          <w:tcPr>
            <w:tcW w:w="8180" w:type="dxa"/>
            <w:vAlign w:val="bottom"/>
          </w:tcPr>
          <w:p>
            <w:pPr>
              <w:ind w:left="440"/>
              <w:spacing w:after="0"/>
              <w:rPr>
                <w:sz w:val="20"/>
                <w:szCs w:val="20"/>
                <w:color w:val="auto"/>
              </w:rPr>
            </w:pPr>
            <w:r>
              <w:rPr>
                <w:rFonts w:ascii="Arial" w:cs="Arial" w:eastAsia="Arial" w:hAnsi="Arial"/>
                <w:sz w:val="18"/>
                <w:szCs w:val="18"/>
                <w:color w:val="auto"/>
              </w:rPr>
              <w:t>Non-U.S.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3,158</w:t>
            </w:r>
          </w:p>
        </w:tc>
        <w:tc>
          <w:tcPr>
            <w:tcW w:w="1480" w:type="dxa"/>
            <w:vAlign w:val="bottom"/>
            <w:tcBorders>
              <w:bottom w:val="single" w:sz="8" w:color="auto"/>
            </w:tcBorders>
          </w:tcPr>
          <w:p>
            <w:pPr>
              <w:jc w:val="right"/>
              <w:ind w:right="393"/>
              <w:spacing w:after="0"/>
              <w:rPr>
                <w:sz w:val="20"/>
                <w:szCs w:val="20"/>
                <w:color w:val="auto"/>
              </w:rPr>
            </w:pPr>
            <w:r>
              <w:rPr>
                <w:rFonts w:ascii="Arial" w:cs="Arial" w:eastAsia="Arial" w:hAnsi="Arial"/>
                <w:sz w:val="18"/>
                <w:szCs w:val="18"/>
                <w:color w:val="auto"/>
              </w:rPr>
              <w:t>710</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w:t>
            </w:r>
          </w:p>
        </w:tc>
      </w:tr>
      <w:tr>
        <w:trPr>
          <w:trHeight w:val="223"/>
        </w:trPr>
        <w:tc>
          <w:tcPr>
            <w:tcW w:w="8180" w:type="dxa"/>
            <w:vAlign w:val="bottom"/>
          </w:tcPr>
          <w:p>
            <w:pPr>
              <w:ind w:left="840"/>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7,166</w:t>
            </w:r>
          </w:p>
        </w:tc>
        <w:tc>
          <w:tcPr>
            <w:tcW w:w="1480" w:type="dxa"/>
            <w:vAlign w:val="bottom"/>
            <w:tcBorders>
              <w:bottom w:val="single" w:sz="8" w:color="auto"/>
            </w:tcBorders>
          </w:tcPr>
          <w:p>
            <w:pPr>
              <w:jc w:val="right"/>
              <w:ind w:right="393"/>
              <w:spacing w:after="0"/>
              <w:rPr>
                <w:sz w:val="20"/>
                <w:szCs w:val="20"/>
                <w:color w:val="auto"/>
              </w:rPr>
            </w:pPr>
            <w:r>
              <w:rPr>
                <w:rFonts w:ascii="Arial" w:cs="Arial" w:eastAsia="Arial" w:hAnsi="Arial"/>
                <w:sz w:val="18"/>
                <w:szCs w:val="18"/>
                <w:color w:val="auto"/>
              </w:rPr>
              <w:t>2,077</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w:t>
            </w: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 Refer to Frequently Used Terms for definition of Identified Items and earnings (loss) excluding Identified Items.</w:t>
      </w:r>
    </w:p>
    <w:p>
      <w:pPr>
        <w:sectPr>
          <w:pgSz w:w="11900" w:h="16838" w:orient="portrait"/>
          <w:cols w:equalWidth="0" w:num="1">
            <w:col w:w="11240"/>
          </w:cols>
          <w:pgMar w:left="320" w:top="26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type w:val="continuous"/>
        </w:sectPr>
      </w:pPr>
    </w:p>
    <w:bookmarkStart w:id="55" w:name="page56"/>
    <w:bookmarkEnd w:id="55"/>
    <w:p>
      <w:pPr>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Chemical Earnings Factor Analysis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(millions of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4286250" cy="17145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286250" cy="171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color w:val="auto"/>
        </w:rPr>
        <w:t>Margins – Stronger margins increased earnings by $4,480 million driven by resilient demand and industry supply constraints.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Volume – Higher volumes increased earnings by $250 million on record production supported by exceptional reliability.</w:t>
      </w:r>
    </w:p>
    <w:p>
      <w:pPr>
        <w:spacing w:after="0" w:line="6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Other – All other items increased earnings by $360 million primarily as a result of favorable foreign exchange, lower expenses, and favorable LIFO impacts.</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Identified Items </w:t>
      </w:r>
      <w:r>
        <w:rPr>
          <w:rFonts w:ascii="Arial" w:cs="Arial" w:eastAsia="Arial" w:hAnsi="Arial"/>
          <w:sz w:val="13"/>
          <w:szCs w:val="13"/>
          <w:i w:val="1"/>
          <w:iCs w:val="1"/>
          <w:color w:val="auto"/>
        </w:rPr>
        <w:t>(1)</w:t>
      </w:r>
      <w:r>
        <w:rPr>
          <w:rFonts w:ascii="Arial" w:cs="Arial" w:eastAsia="Arial" w:hAnsi="Arial"/>
          <w:sz w:val="17"/>
          <w:szCs w:val="17"/>
          <w:color w:val="auto"/>
        </w:rPr>
        <w:t xml:space="preserve"> – 2020 $(114) million loss primarily as a result of impairments; 2021 $630 million gain as a result of the </w:t>
      </w:r>
      <w:r>
        <w:rPr>
          <w:rFonts w:ascii="Arial" w:cs="Arial" w:eastAsia="Arial" w:hAnsi="Arial"/>
          <w:sz w:val="17"/>
          <w:szCs w:val="17"/>
          <w:i w:val="1"/>
          <w:iCs w:val="1"/>
          <w:color w:val="auto"/>
        </w:rPr>
        <w:t>Santoprene</w:t>
      </w:r>
      <w:r>
        <w:rPr>
          <w:rFonts w:ascii="Arial" w:cs="Arial" w:eastAsia="Arial" w:hAnsi="Arial"/>
          <w:sz w:val="17"/>
          <w:szCs w:val="17"/>
          <w:color w:val="auto"/>
        </w:rPr>
        <w:t xml:space="preserve"> divestment.</w:t>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Chemical Earnings Factor Analysis</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(millions of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4286250" cy="17145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286250" cy="171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Margins – Stronger margins increased earnings by $930 million.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Volume – Lower volumes decreased earnings by $150 million.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Other – All other items increased earnings by $710 million primarily as a result of lower expenses.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Identified Items </w:t>
      </w:r>
      <w:r>
        <w:rPr>
          <w:rFonts w:ascii="Arial" w:cs="Arial" w:eastAsia="Arial" w:hAnsi="Arial"/>
          <w:sz w:val="14"/>
          <w:szCs w:val="14"/>
          <w:i w:val="1"/>
          <w:iCs w:val="1"/>
          <w:color w:val="auto"/>
        </w:rPr>
        <w:t>(1)</w:t>
      </w:r>
      <w:r>
        <w:rPr>
          <w:rFonts w:ascii="Arial" w:cs="Arial" w:eastAsia="Arial" w:hAnsi="Arial"/>
          <w:sz w:val="18"/>
          <w:szCs w:val="18"/>
          <w:color w:val="auto"/>
        </w:rPr>
        <w:t xml:space="preserve"> – 2020 $(114) million loss primarily as a result of impairments.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 Refer to Frequently Used Terms for definition of Identified Items and earnings (loss) excluding Identified Items.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Chemical Operational Results</w:t>
      </w:r>
    </w:p>
    <w:p>
      <w:pPr>
        <w:spacing w:after="0" w:line="221" w:lineRule="exact"/>
        <w:rPr>
          <w:sz w:val="20"/>
          <w:szCs w:val="20"/>
          <w:color w:val="auto"/>
        </w:rPr>
      </w:pPr>
    </w:p>
    <w:p>
      <w:pPr>
        <w:ind w:left="8700"/>
        <w:spacing w:after="0"/>
        <w:tabs>
          <w:tab w:leader="none" w:pos="9800" w:val="left"/>
          <w:tab w:leader="none" w:pos="1092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r>
        <w:rPr>
          <w:sz w:val="20"/>
          <w:szCs w:val="20"/>
          <w:color w:val="auto"/>
        </w:rPr>
        <w:tab/>
      </w:r>
      <w:r>
        <w:rPr>
          <w:rFonts w:ascii="Arial" w:cs="Arial" w:eastAsia="Arial" w:hAnsi="Arial"/>
          <w:sz w:val="12"/>
          <w:szCs w:val="12"/>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p>
      <w:pPr>
        <w:spacing w:after="0" w:line="50"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Chemical prime product sales </w:t>
      </w:r>
      <w:r>
        <w:rPr>
          <w:rFonts w:ascii="Arial" w:cs="Arial" w:eastAsia="Arial" w:hAnsi="Arial"/>
          <w:sz w:val="12"/>
          <w:szCs w:val="12"/>
          <w:i w:val="1"/>
          <w:iCs w:val="1"/>
          <w:color w:val="auto"/>
        </w:rPr>
        <w:t>(2)</w:t>
      </w:r>
    </w:p>
    <w:p>
      <w:pPr>
        <w:spacing w:after="0" w:line="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United States</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Non-U.S.</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Worldwide</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2520" w:type="dxa"/>
            <w:vAlign w:val="bottom"/>
            <w:gridSpan w:val="2"/>
          </w:tcPr>
          <w:p>
            <w:pPr>
              <w:jc w:val="right"/>
              <w:ind w:right="50"/>
              <w:spacing w:after="0"/>
              <w:rPr>
                <w:sz w:val="20"/>
                <w:szCs w:val="20"/>
                <w:color w:val="auto"/>
              </w:rPr>
            </w:pPr>
            <w:r>
              <w:rPr>
                <w:rFonts w:ascii="Arial" w:cs="Arial" w:eastAsia="Arial" w:hAnsi="Arial"/>
                <w:sz w:val="14"/>
                <w:szCs w:val="14"/>
                <w:i w:val="1"/>
                <w:iCs w:val="1"/>
                <w:color w:val="auto"/>
              </w:rPr>
              <w:t>(thousands of metric tons)</w:t>
            </w:r>
          </w:p>
        </w:tc>
        <w:tc>
          <w:tcPr>
            <w:tcW w:w="720" w:type="dxa"/>
            <w:vAlign w:val="bottom"/>
          </w:tcPr>
          <w:p>
            <w:pPr>
              <w:spacing w:after="0"/>
              <w:rPr>
                <w:sz w:val="15"/>
                <w:szCs w:val="15"/>
                <w:color w:val="auto"/>
              </w:rPr>
            </w:pPr>
          </w:p>
        </w:tc>
      </w:tr>
      <w:tr>
        <w:trPr>
          <w:trHeight w:val="268"/>
        </w:trPr>
        <w:tc>
          <w:tcPr>
            <w:tcW w:w="1260" w:type="dxa"/>
            <w:vAlign w:val="bottom"/>
          </w:tcPr>
          <w:p>
            <w:pPr>
              <w:jc w:val="right"/>
              <w:ind w:right="195"/>
              <w:spacing w:after="0"/>
              <w:rPr>
                <w:sz w:val="20"/>
                <w:szCs w:val="20"/>
                <w:color w:val="auto"/>
              </w:rPr>
            </w:pPr>
            <w:r>
              <w:rPr>
                <w:rFonts w:ascii="Arial" w:cs="Arial" w:eastAsia="Arial" w:hAnsi="Arial"/>
                <w:sz w:val="18"/>
                <w:szCs w:val="18"/>
                <w:color w:val="auto"/>
              </w:rPr>
              <w:t>9,724</w:t>
            </w:r>
          </w:p>
        </w:tc>
        <w:tc>
          <w:tcPr>
            <w:tcW w:w="1260" w:type="dxa"/>
            <w:vAlign w:val="bottom"/>
          </w:tcPr>
          <w:p>
            <w:pPr>
              <w:jc w:val="right"/>
              <w:ind w:right="330"/>
              <w:spacing w:after="0"/>
              <w:rPr>
                <w:sz w:val="20"/>
                <w:szCs w:val="20"/>
                <w:color w:val="auto"/>
              </w:rPr>
            </w:pPr>
            <w:r>
              <w:rPr>
                <w:rFonts w:ascii="Arial" w:cs="Arial" w:eastAsia="Arial" w:hAnsi="Arial"/>
                <w:sz w:val="18"/>
                <w:szCs w:val="18"/>
                <w:color w:val="auto"/>
              </w:rPr>
              <w:t>9,010</w:t>
            </w:r>
          </w:p>
        </w:tc>
        <w:tc>
          <w:tcPr>
            <w:tcW w:w="720" w:type="dxa"/>
            <w:vAlign w:val="bottom"/>
          </w:tcPr>
          <w:p>
            <w:pPr>
              <w:jc w:val="right"/>
              <w:spacing w:after="0"/>
              <w:rPr>
                <w:sz w:val="20"/>
                <w:szCs w:val="20"/>
                <w:color w:val="auto"/>
              </w:rPr>
            </w:pPr>
            <w:r>
              <w:rPr>
                <w:rFonts w:ascii="Arial" w:cs="Arial" w:eastAsia="Arial" w:hAnsi="Arial"/>
                <w:sz w:val="18"/>
                <w:szCs w:val="18"/>
                <w:color w:val="auto"/>
              </w:rPr>
              <w:t>9,127</w:t>
            </w:r>
          </w:p>
        </w:tc>
      </w:tr>
      <w:tr>
        <w:trPr>
          <w:trHeight w:val="230"/>
        </w:trPr>
        <w:tc>
          <w:tcPr>
            <w:tcW w:w="1260" w:type="dxa"/>
            <w:vAlign w:val="bottom"/>
            <w:tcBorders>
              <w:bottom w:val="single" w:sz="8" w:color="auto"/>
            </w:tcBorders>
          </w:tcPr>
          <w:p>
            <w:pPr>
              <w:jc w:val="right"/>
              <w:ind w:right="195"/>
              <w:spacing w:after="0"/>
              <w:rPr>
                <w:sz w:val="20"/>
                <w:szCs w:val="20"/>
                <w:color w:val="auto"/>
              </w:rPr>
            </w:pPr>
            <w:r>
              <w:rPr>
                <w:rFonts w:ascii="Arial" w:cs="Arial" w:eastAsia="Arial" w:hAnsi="Arial"/>
                <w:sz w:val="18"/>
                <w:szCs w:val="18"/>
                <w:color w:val="auto"/>
              </w:rPr>
              <w:t>16,608</w:t>
            </w:r>
          </w:p>
        </w:tc>
        <w:tc>
          <w:tcPr>
            <w:tcW w:w="12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16,439</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17,389</w:t>
            </w:r>
          </w:p>
        </w:tc>
      </w:tr>
      <w:tr>
        <w:trPr>
          <w:trHeight w:val="223"/>
        </w:trPr>
        <w:tc>
          <w:tcPr>
            <w:tcW w:w="1260" w:type="dxa"/>
            <w:vAlign w:val="bottom"/>
            <w:tcBorders>
              <w:bottom w:val="single" w:sz="8" w:color="auto"/>
            </w:tcBorders>
          </w:tcPr>
          <w:p>
            <w:pPr>
              <w:jc w:val="right"/>
              <w:ind w:right="255"/>
              <w:spacing w:after="0"/>
              <w:rPr>
                <w:sz w:val="20"/>
                <w:szCs w:val="20"/>
                <w:color w:val="auto"/>
              </w:rPr>
            </w:pPr>
            <w:r>
              <w:rPr>
                <w:rFonts w:ascii="Arial" w:cs="Arial" w:eastAsia="Arial" w:hAnsi="Arial"/>
                <w:sz w:val="18"/>
                <w:szCs w:val="18"/>
                <w:color w:val="auto"/>
              </w:rPr>
              <w:t>26,332</w:t>
            </w:r>
          </w:p>
        </w:tc>
        <w:tc>
          <w:tcPr>
            <w:tcW w:w="12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25,449</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26,516</w:t>
            </w:r>
          </w:p>
        </w:tc>
      </w:tr>
    </w:tbl>
    <w:p>
      <w:pPr>
        <w:spacing w:after="0" w:line="200" w:lineRule="exact"/>
        <w:rPr>
          <w:sz w:val="20"/>
          <w:szCs w:val="20"/>
          <w:color w:val="auto"/>
        </w:rPr>
      </w:pPr>
    </w:p>
    <w:p>
      <w:pPr>
        <w:sectPr>
          <w:pgSz w:w="11900" w:h="16838" w:orient="portrait"/>
          <w:cols w:equalWidth="0" w:num="2">
            <w:col w:w="7280" w:space="720"/>
            <w:col w:w="3240"/>
          </w:cols>
          <w:pgMar w:left="320" w:top="266" w:right="339" w:bottom="1440" w:gutter="0" w:footer="0" w:header="0"/>
          <w:type w:val="continuous"/>
        </w:sectPr>
      </w:pPr>
    </w:p>
    <w:p>
      <w:pPr>
        <w:spacing w:after="0" w:line="56"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auto"/>
        </w:rPr>
        <w:t>(2) Data reported net of purchases/sales contracts with the same counterparty.</w:t>
      </w:r>
    </w:p>
    <w:p>
      <w:pPr>
        <w:sectPr>
          <w:pgSz w:w="11900" w:h="16838" w:orient="portrait"/>
          <w:cols w:equalWidth="0" w:num="1">
            <w:col w:w="11240"/>
          </w:cols>
          <w:pgMar w:left="320" w:top="26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type w:val="continuous"/>
        </w:sectPr>
      </w:pPr>
    </w:p>
    <w:bookmarkStart w:id="56" w:name="page57"/>
    <w:bookmarkEnd w:id="56"/>
    <w:p>
      <w:pPr>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Financing</w:t>
      </w:r>
    </w:p>
    <w:p>
      <w:pPr>
        <w:spacing w:after="0" w:line="54"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Corporate and Financing is comprised of corporate activities that support the Corporation’s operating segments and ExxonMobil’s Low Carbon Solutions business. Corporate activities include general administrative support functions, financing and insurance activities. Low Carbon Solutions activities are included in Corporate and Financing as the business continues to mature through commercialization and deployment of technology.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Financing Financial Results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136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2020</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r>
      <w:tr>
        <w:trPr>
          <w:trHeight w:val="190"/>
        </w:trPr>
        <w:tc>
          <w:tcPr>
            <w:tcW w:w="8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360" w:type="dxa"/>
            <w:vAlign w:val="bottom"/>
          </w:tcPr>
          <w:p>
            <w:pPr>
              <w:jc w:val="right"/>
              <w:ind w:right="97"/>
              <w:spacing w:after="0"/>
              <w:rPr>
                <w:sz w:val="20"/>
                <w:szCs w:val="20"/>
                <w:color w:val="auto"/>
              </w:rPr>
            </w:pPr>
            <w:r>
              <w:rPr>
                <w:rFonts w:ascii="Arial" w:cs="Arial" w:eastAsia="Arial" w:hAnsi="Arial"/>
                <w:sz w:val="14"/>
                <w:szCs w:val="14"/>
                <w:i w:val="1"/>
                <w:iCs w:val="1"/>
                <w:color w:val="auto"/>
                <w:w w:val="99"/>
              </w:rPr>
              <w:t>(millions of dollars)</w:t>
            </w:r>
          </w:p>
        </w:tc>
        <w:tc>
          <w:tcPr>
            <w:tcW w:w="760" w:type="dxa"/>
            <w:vAlign w:val="bottom"/>
          </w:tcPr>
          <w:p>
            <w:pPr>
              <w:spacing w:after="0"/>
              <w:rPr>
                <w:sz w:val="16"/>
                <w:szCs w:val="16"/>
                <w:color w:val="auto"/>
              </w:rPr>
            </w:pPr>
          </w:p>
        </w:tc>
      </w:tr>
      <w:tr>
        <w:trPr>
          <w:trHeight w:val="268"/>
        </w:trPr>
        <w:tc>
          <w:tcPr>
            <w:tcW w:w="8180" w:type="dxa"/>
            <w:vAlign w:val="bottom"/>
          </w:tcPr>
          <w:p>
            <w:pPr>
              <w:ind w:left="20"/>
              <w:spacing w:after="0"/>
              <w:rPr>
                <w:sz w:val="20"/>
                <w:szCs w:val="20"/>
                <w:color w:val="auto"/>
              </w:rPr>
            </w:pPr>
            <w:r>
              <w:rPr>
                <w:rFonts w:ascii="Arial" w:cs="Arial" w:eastAsia="Arial" w:hAnsi="Arial"/>
                <w:sz w:val="18"/>
                <w:szCs w:val="18"/>
                <w:color w:val="auto"/>
              </w:rPr>
              <w:t>Earnings (loss) (U.S. GAAP)</w:t>
            </w:r>
          </w:p>
        </w:tc>
        <w:tc>
          <w:tcPr>
            <w:tcW w:w="940" w:type="dxa"/>
            <w:vAlign w:val="bottom"/>
          </w:tcPr>
          <w:p>
            <w:pPr>
              <w:jc w:val="right"/>
              <w:spacing w:after="0"/>
              <w:rPr>
                <w:sz w:val="20"/>
                <w:szCs w:val="20"/>
                <w:color w:val="auto"/>
              </w:rPr>
            </w:pPr>
            <w:r>
              <w:rPr>
                <w:rFonts w:ascii="Arial" w:cs="Arial" w:eastAsia="Arial" w:hAnsi="Arial"/>
                <w:sz w:val="18"/>
                <w:szCs w:val="18"/>
                <w:color w:val="auto"/>
              </w:rPr>
              <w:t>(2,636)</w:t>
            </w:r>
          </w:p>
        </w:tc>
        <w:tc>
          <w:tcPr>
            <w:tcW w:w="1360" w:type="dxa"/>
            <w:vAlign w:val="bottom"/>
          </w:tcPr>
          <w:p>
            <w:pPr>
              <w:jc w:val="right"/>
              <w:ind w:right="237"/>
              <w:spacing w:after="0"/>
              <w:rPr>
                <w:sz w:val="20"/>
                <w:szCs w:val="20"/>
                <w:color w:val="auto"/>
              </w:rPr>
            </w:pPr>
            <w:r>
              <w:rPr>
                <w:rFonts w:ascii="Arial" w:cs="Arial" w:eastAsia="Arial" w:hAnsi="Arial"/>
                <w:sz w:val="18"/>
                <w:szCs w:val="18"/>
                <w:color w:val="auto"/>
              </w:rPr>
              <w:t>(3,296)</w:t>
            </w:r>
          </w:p>
        </w:tc>
        <w:tc>
          <w:tcPr>
            <w:tcW w:w="760" w:type="dxa"/>
            <w:vAlign w:val="bottom"/>
          </w:tcPr>
          <w:p>
            <w:pPr>
              <w:jc w:val="right"/>
              <w:spacing w:after="0"/>
              <w:rPr>
                <w:sz w:val="20"/>
                <w:szCs w:val="20"/>
                <w:color w:val="auto"/>
              </w:rPr>
            </w:pPr>
            <w:r>
              <w:rPr>
                <w:rFonts w:ascii="Arial" w:cs="Arial" w:eastAsia="Arial" w:hAnsi="Arial"/>
                <w:sz w:val="18"/>
                <w:szCs w:val="18"/>
                <w:color w:val="auto"/>
              </w:rPr>
              <w:t>(3,017)</w:t>
            </w: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 xml:space="preserve">Identified Items </w:t>
            </w:r>
            <w:r>
              <w:rPr>
                <w:rFonts w:ascii="Arial" w:cs="Arial" w:eastAsia="Arial" w:hAnsi="Arial"/>
                <w:sz w:val="14"/>
                <w:szCs w:val="14"/>
                <w:i w:val="1"/>
                <w:iCs w:val="1"/>
                <w:color w:val="auto"/>
              </w:rPr>
              <w:t>(1)</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360" w:type="dxa"/>
            <w:vAlign w:val="bottom"/>
            <w:tcBorders>
              <w:bottom w:val="single" w:sz="8" w:color="auto"/>
            </w:tcBorders>
          </w:tcPr>
          <w:p>
            <w:pPr>
              <w:jc w:val="right"/>
              <w:ind w:right="237"/>
              <w:spacing w:after="0"/>
              <w:rPr>
                <w:sz w:val="20"/>
                <w:szCs w:val="20"/>
                <w:color w:val="auto"/>
              </w:rPr>
            </w:pPr>
            <w:r>
              <w:rPr>
                <w:rFonts w:ascii="Arial" w:cs="Arial" w:eastAsia="Arial" w:hAnsi="Arial"/>
                <w:sz w:val="18"/>
                <w:szCs w:val="18"/>
                <w:color w:val="auto"/>
              </w:rPr>
              <w:t>(361)</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w:t>
            </w:r>
          </w:p>
        </w:tc>
      </w:tr>
      <w:tr>
        <w:trPr>
          <w:trHeight w:val="223"/>
        </w:trPr>
        <w:tc>
          <w:tcPr>
            <w:tcW w:w="8180" w:type="dxa"/>
            <w:vAlign w:val="bottom"/>
          </w:tcPr>
          <w:p>
            <w:pPr>
              <w:ind w:left="20"/>
              <w:spacing w:after="0"/>
              <w:rPr>
                <w:sz w:val="20"/>
                <w:szCs w:val="20"/>
                <w:color w:val="auto"/>
              </w:rPr>
            </w:pPr>
            <w:r>
              <w:rPr>
                <w:rFonts w:ascii="Arial" w:cs="Arial" w:eastAsia="Arial" w:hAnsi="Arial"/>
                <w:sz w:val="18"/>
                <w:szCs w:val="18"/>
                <w:color w:val="auto"/>
              </w:rPr>
              <w:t xml:space="preserve">Earnings (loss) excluding Identified Items </w:t>
            </w:r>
            <w:r>
              <w:rPr>
                <w:rFonts w:ascii="Arial" w:cs="Arial" w:eastAsia="Arial" w:hAnsi="Arial"/>
                <w:sz w:val="14"/>
                <w:szCs w:val="14"/>
                <w:i w:val="1"/>
                <w:iCs w:val="1"/>
                <w:color w:val="auto"/>
              </w:rPr>
              <w:t>(1)</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(2,572)</w:t>
            </w:r>
          </w:p>
        </w:tc>
        <w:tc>
          <w:tcPr>
            <w:tcW w:w="1360" w:type="dxa"/>
            <w:vAlign w:val="bottom"/>
            <w:tcBorders>
              <w:bottom w:val="single" w:sz="8" w:color="auto"/>
            </w:tcBorders>
          </w:tcPr>
          <w:p>
            <w:pPr>
              <w:jc w:val="right"/>
              <w:ind w:right="237"/>
              <w:spacing w:after="0"/>
              <w:rPr>
                <w:sz w:val="20"/>
                <w:szCs w:val="20"/>
                <w:color w:val="auto"/>
              </w:rPr>
            </w:pPr>
            <w:r>
              <w:rPr>
                <w:rFonts w:ascii="Arial" w:cs="Arial" w:eastAsia="Arial" w:hAnsi="Arial"/>
                <w:sz w:val="18"/>
                <w:szCs w:val="18"/>
                <w:color w:val="auto"/>
              </w:rPr>
              <w:t>(2,935)</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(3,325)</w:t>
            </w:r>
          </w:p>
        </w:tc>
      </w:tr>
    </w:tbl>
    <w:p>
      <w:pPr>
        <w:spacing w:after="0" w:line="94"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(1) Refer to Frequently Used Terms for definition of Identified Items and earnings (loss) excluding Identified Items.</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w:t>
      </w:r>
    </w:p>
    <w:p>
      <w:pPr>
        <w:spacing w:after="0" w:line="1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Corporate and Financing expenses were $2,636 million in 2021 compared to $3,296 million in 2020, with the decrease mainly due to the absence of prior year severance costs and lower financing costs.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w:t>
      </w:r>
    </w:p>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Corporate and Financing expenses were $3,296 million in 2020 compared to $3,017 million in 2019, with the increase mainly due to higher financing costs and employee severance costs, partly offset by lower corporate costs.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57" w:name="page58"/>
    <w:bookmarkEnd w:id="57"/>
    <w:p>
      <w:pPr>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LIQUIDITY AND CAPITAL RESOURCES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Sources and Uses of Cash</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1320" w:type="dxa"/>
            <w:vAlign w:val="bottom"/>
          </w:tcPr>
          <w:p>
            <w:pPr>
              <w:jc w:val="right"/>
              <w:ind w:right="196"/>
              <w:spacing w:after="0"/>
              <w:rPr>
                <w:sz w:val="20"/>
                <w:szCs w:val="20"/>
                <w:color w:val="auto"/>
              </w:rPr>
            </w:pPr>
            <w:r>
              <w:rPr>
                <w:rFonts w:ascii="Arial" w:cs="Arial" w:eastAsia="Arial" w:hAnsi="Arial"/>
                <w:sz w:val="14"/>
                <w:szCs w:val="14"/>
                <w:b w:val="1"/>
                <w:bCs w:val="1"/>
                <w:color w:val="auto"/>
              </w:rPr>
              <w:t>2020</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r>
      <w:tr>
        <w:trPr>
          <w:trHeight w:val="39"/>
        </w:trPr>
        <w:tc>
          <w:tcPr>
            <w:tcW w:w="8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211"/>
        </w:trPr>
        <w:tc>
          <w:tcPr>
            <w:tcW w:w="8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20" w:type="dxa"/>
            <w:vAlign w:val="bottom"/>
          </w:tcPr>
          <w:p>
            <w:pPr>
              <w:jc w:val="right"/>
              <w:ind w:right="56"/>
              <w:spacing w:after="0"/>
              <w:rPr>
                <w:sz w:val="20"/>
                <w:szCs w:val="20"/>
                <w:color w:val="auto"/>
              </w:rPr>
            </w:pPr>
            <w:r>
              <w:rPr>
                <w:rFonts w:ascii="Arial" w:cs="Arial" w:eastAsia="Arial" w:hAnsi="Arial"/>
                <w:sz w:val="14"/>
                <w:szCs w:val="14"/>
                <w:i w:val="1"/>
                <w:iCs w:val="1"/>
                <w:color w:val="auto"/>
                <w:w w:val="99"/>
              </w:rPr>
              <w:t>(millions of dollars)</w:t>
            </w:r>
          </w:p>
        </w:tc>
        <w:tc>
          <w:tcPr>
            <w:tcW w:w="800" w:type="dxa"/>
            <w:vAlign w:val="bottom"/>
          </w:tcPr>
          <w:p>
            <w:pPr>
              <w:spacing w:after="0"/>
              <w:rPr>
                <w:sz w:val="18"/>
                <w:szCs w:val="18"/>
                <w:color w:val="auto"/>
              </w:rPr>
            </w:pPr>
          </w:p>
        </w:tc>
      </w:tr>
      <w:tr>
        <w:trPr>
          <w:trHeight w:val="241"/>
        </w:trPr>
        <w:tc>
          <w:tcPr>
            <w:tcW w:w="8180" w:type="dxa"/>
            <w:vAlign w:val="bottom"/>
          </w:tcPr>
          <w:p>
            <w:pPr>
              <w:ind w:left="20"/>
              <w:spacing w:after="0"/>
              <w:rPr>
                <w:sz w:val="20"/>
                <w:szCs w:val="20"/>
                <w:color w:val="auto"/>
              </w:rPr>
            </w:pPr>
            <w:r>
              <w:rPr>
                <w:rFonts w:ascii="Arial" w:cs="Arial" w:eastAsia="Arial" w:hAnsi="Arial"/>
                <w:sz w:val="18"/>
                <w:szCs w:val="18"/>
                <w:color w:val="auto"/>
              </w:rPr>
              <w:t>Net cash provided by/(used in)</w:t>
            </w:r>
          </w:p>
        </w:tc>
        <w:tc>
          <w:tcPr>
            <w:tcW w:w="9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29"/>
        </w:trPr>
        <w:tc>
          <w:tcPr>
            <w:tcW w:w="8180" w:type="dxa"/>
            <w:vAlign w:val="bottom"/>
          </w:tcPr>
          <w:p>
            <w:pPr>
              <w:ind w:left="680"/>
              <w:spacing w:after="0"/>
              <w:rPr>
                <w:sz w:val="20"/>
                <w:szCs w:val="20"/>
                <w:color w:val="auto"/>
              </w:rPr>
            </w:pPr>
            <w:r>
              <w:rPr>
                <w:rFonts w:ascii="Arial" w:cs="Arial" w:eastAsia="Arial" w:hAnsi="Arial"/>
                <w:sz w:val="18"/>
                <w:szCs w:val="18"/>
                <w:color w:val="auto"/>
              </w:rPr>
              <w:t>Operating activities</w:t>
            </w:r>
          </w:p>
        </w:tc>
        <w:tc>
          <w:tcPr>
            <w:tcW w:w="940" w:type="dxa"/>
            <w:vAlign w:val="bottom"/>
          </w:tcPr>
          <w:p>
            <w:pPr>
              <w:jc w:val="right"/>
              <w:spacing w:after="0"/>
              <w:rPr>
                <w:sz w:val="20"/>
                <w:szCs w:val="20"/>
                <w:color w:val="auto"/>
              </w:rPr>
            </w:pPr>
            <w:r>
              <w:rPr>
                <w:rFonts w:ascii="Arial" w:cs="Arial" w:eastAsia="Arial" w:hAnsi="Arial"/>
                <w:sz w:val="18"/>
                <w:szCs w:val="18"/>
                <w:color w:val="auto"/>
              </w:rPr>
              <w:t>48,129</w:t>
            </w:r>
          </w:p>
        </w:tc>
        <w:tc>
          <w:tcPr>
            <w:tcW w:w="1320" w:type="dxa"/>
            <w:vAlign w:val="bottom"/>
          </w:tcPr>
          <w:p>
            <w:pPr>
              <w:jc w:val="right"/>
              <w:ind w:right="236"/>
              <w:spacing w:after="0"/>
              <w:rPr>
                <w:sz w:val="20"/>
                <w:szCs w:val="20"/>
                <w:color w:val="auto"/>
              </w:rPr>
            </w:pPr>
            <w:r>
              <w:rPr>
                <w:rFonts w:ascii="Arial" w:cs="Arial" w:eastAsia="Arial" w:hAnsi="Arial"/>
                <w:sz w:val="18"/>
                <w:szCs w:val="18"/>
                <w:color w:val="auto"/>
              </w:rPr>
              <w:t>14,668</w:t>
            </w:r>
          </w:p>
        </w:tc>
        <w:tc>
          <w:tcPr>
            <w:tcW w:w="800" w:type="dxa"/>
            <w:vAlign w:val="bottom"/>
          </w:tcPr>
          <w:p>
            <w:pPr>
              <w:jc w:val="right"/>
              <w:spacing w:after="0"/>
              <w:rPr>
                <w:sz w:val="20"/>
                <w:szCs w:val="20"/>
                <w:color w:val="auto"/>
              </w:rPr>
            </w:pPr>
            <w:r>
              <w:rPr>
                <w:rFonts w:ascii="Arial" w:cs="Arial" w:eastAsia="Arial" w:hAnsi="Arial"/>
                <w:sz w:val="18"/>
                <w:szCs w:val="18"/>
                <w:color w:val="auto"/>
              </w:rPr>
              <w:t>29,716</w:t>
            </w:r>
          </w:p>
        </w:tc>
      </w:tr>
      <w:tr>
        <w:trPr>
          <w:trHeight w:val="230"/>
        </w:trPr>
        <w:tc>
          <w:tcPr>
            <w:tcW w:w="8180" w:type="dxa"/>
            <w:vAlign w:val="bottom"/>
          </w:tcPr>
          <w:p>
            <w:pPr>
              <w:ind w:left="680"/>
              <w:spacing w:after="0"/>
              <w:rPr>
                <w:sz w:val="20"/>
                <w:szCs w:val="20"/>
                <w:color w:val="auto"/>
              </w:rPr>
            </w:pPr>
            <w:r>
              <w:rPr>
                <w:rFonts w:ascii="Arial" w:cs="Arial" w:eastAsia="Arial" w:hAnsi="Arial"/>
                <w:sz w:val="18"/>
                <w:szCs w:val="18"/>
                <w:color w:val="auto"/>
              </w:rPr>
              <w:t>Investing activities</w:t>
            </w:r>
          </w:p>
        </w:tc>
        <w:tc>
          <w:tcPr>
            <w:tcW w:w="940" w:type="dxa"/>
            <w:vAlign w:val="bottom"/>
          </w:tcPr>
          <w:p>
            <w:pPr>
              <w:jc w:val="right"/>
              <w:spacing w:after="0"/>
              <w:rPr>
                <w:sz w:val="20"/>
                <w:szCs w:val="20"/>
                <w:color w:val="auto"/>
              </w:rPr>
            </w:pPr>
            <w:r>
              <w:rPr>
                <w:rFonts w:ascii="Arial" w:cs="Arial" w:eastAsia="Arial" w:hAnsi="Arial"/>
                <w:sz w:val="18"/>
                <w:szCs w:val="18"/>
                <w:color w:val="auto"/>
              </w:rPr>
              <w:t>(10,235)</w:t>
            </w:r>
          </w:p>
        </w:tc>
        <w:tc>
          <w:tcPr>
            <w:tcW w:w="1320" w:type="dxa"/>
            <w:vAlign w:val="bottom"/>
          </w:tcPr>
          <w:p>
            <w:pPr>
              <w:jc w:val="right"/>
              <w:ind w:right="196"/>
              <w:spacing w:after="0"/>
              <w:rPr>
                <w:sz w:val="20"/>
                <w:szCs w:val="20"/>
                <w:color w:val="auto"/>
              </w:rPr>
            </w:pPr>
            <w:r>
              <w:rPr>
                <w:rFonts w:ascii="Arial" w:cs="Arial" w:eastAsia="Arial" w:hAnsi="Arial"/>
                <w:sz w:val="18"/>
                <w:szCs w:val="18"/>
                <w:color w:val="auto"/>
              </w:rPr>
              <w:t>(18,459)</w:t>
            </w:r>
          </w:p>
        </w:tc>
        <w:tc>
          <w:tcPr>
            <w:tcW w:w="800" w:type="dxa"/>
            <w:vAlign w:val="bottom"/>
          </w:tcPr>
          <w:p>
            <w:pPr>
              <w:jc w:val="right"/>
              <w:spacing w:after="0"/>
              <w:rPr>
                <w:sz w:val="20"/>
                <w:szCs w:val="20"/>
                <w:color w:val="auto"/>
              </w:rPr>
            </w:pPr>
            <w:r>
              <w:rPr>
                <w:rFonts w:ascii="Arial" w:cs="Arial" w:eastAsia="Arial" w:hAnsi="Arial"/>
                <w:sz w:val="18"/>
                <w:szCs w:val="18"/>
                <w:color w:val="auto"/>
              </w:rPr>
              <w:t>(23,084)</w:t>
            </w:r>
          </w:p>
        </w:tc>
      </w:tr>
      <w:tr>
        <w:trPr>
          <w:trHeight w:val="229"/>
        </w:trPr>
        <w:tc>
          <w:tcPr>
            <w:tcW w:w="8180" w:type="dxa"/>
            <w:vAlign w:val="bottom"/>
          </w:tcPr>
          <w:p>
            <w:pPr>
              <w:ind w:left="680"/>
              <w:spacing w:after="0"/>
              <w:rPr>
                <w:sz w:val="20"/>
                <w:szCs w:val="20"/>
                <w:color w:val="auto"/>
              </w:rPr>
            </w:pPr>
            <w:r>
              <w:rPr>
                <w:rFonts w:ascii="Arial" w:cs="Arial" w:eastAsia="Arial" w:hAnsi="Arial"/>
                <w:sz w:val="18"/>
                <w:szCs w:val="18"/>
                <w:color w:val="auto"/>
              </w:rPr>
              <w:t>Financing activities</w:t>
            </w:r>
          </w:p>
        </w:tc>
        <w:tc>
          <w:tcPr>
            <w:tcW w:w="940" w:type="dxa"/>
            <w:vAlign w:val="bottom"/>
          </w:tcPr>
          <w:p>
            <w:pPr>
              <w:jc w:val="right"/>
              <w:spacing w:after="0"/>
              <w:rPr>
                <w:sz w:val="20"/>
                <w:szCs w:val="20"/>
                <w:color w:val="auto"/>
              </w:rPr>
            </w:pPr>
            <w:r>
              <w:rPr>
                <w:rFonts w:ascii="Arial" w:cs="Arial" w:eastAsia="Arial" w:hAnsi="Arial"/>
                <w:sz w:val="18"/>
                <w:szCs w:val="18"/>
                <w:color w:val="auto"/>
              </w:rPr>
              <w:t>(35,423)</w:t>
            </w:r>
          </w:p>
        </w:tc>
        <w:tc>
          <w:tcPr>
            <w:tcW w:w="1320" w:type="dxa"/>
            <w:vAlign w:val="bottom"/>
          </w:tcPr>
          <w:p>
            <w:pPr>
              <w:jc w:val="right"/>
              <w:ind w:right="236"/>
              <w:spacing w:after="0"/>
              <w:rPr>
                <w:sz w:val="20"/>
                <w:szCs w:val="20"/>
                <w:color w:val="auto"/>
              </w:rPr>
            </w:pPr>
            <w:r>
              <w:rPr>
                <w:rFonts w:ascii="Arial" w:cs="Arial" w:eastAsia="Arial" w:hAnsi="Arial"/>
                <w:sz w:val="18"/>
                <w:szCs w:val="18"/>
                <w:color w:val="auto"/>
              </w:rPr>
              <w:t>5,285</w:t>
            </w:r>
          </w:p>
        </w:tc>
        <w:tc>
          <w:tcPr>
            <w:tcW w:w="800" w:type="dxa"/>
            <w:vAlign w:val="bottom"/>
          </w:tcPr>
          <w:p>
            <w:pPr>
              <w:jc w:val="right"/>
              <w:spacing w:after="0"/>
              <w:rPr>
                <w:sz w:val="20"/>
                <w:szCs w:val="20"/>
                <w:color w:val="auto"/>
              </w:rPr>
            </w:pPr>
            <w:r>
              <w:rPr>
                <w:rFonts w:ascii="Arial" w:cs="Arial" w:eastAsia="Arial" w:hAnsi="Arial"/>
                <w:sz w:val="18"/>
                <w:szCs w:val="18"/>
                <w:color w:val="auto"/>
              </w:rPr>
              <w:t>(6,618)</w:t>
            </w: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Effect of exchange rate changes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320" w:type="dxa"/>
            <w:vAlign w:val="bottom"/>
            <w:tcBorders>
              <w:bottom w:val="single" w:sz="8" w:color="auto"/>
            </w:tcBorders>
          </w:tcPr>
          <w:p>
            <w:pPr>
              <w:jc w:val="right"/>
              <w:ind w:right="196"/>
              <w:spacing w:after="0"/>
              <w:rPr>
                <w:sz w:val="20"/>
                <w:szCs w:val="20"/>
                <w:color w:val="auto"/>
              </w:rPr>
            </w:pPr>
            <w:r>
              <w:rPr>
                <w:rFonts w:ascii="Arial" w:cs="Arial" w:eastAsia="Arial" w:hAnsi="Arial"/>
                <w:sz w:val="18"/>
                <w:szCs w:val="18"/>
                <w:color w:val="auto"/>
              </w:rPr>
              <w:t>(219)</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r>
      <w:tr>
        <w:trPr>
          <w:trHeight w:val="223"/>
        </w:trPr>
        <w:tc>
          <w:tcPr>
            <w:tcW w:w="8180" w:type="dxa"/>
            <w:vAlign w:val="bottom"/>
          </w:tcPr>
          <w:p>
            <w:pPr>
              <w:ind w:left="20"/>
              <w:spacing w:after="0"/>
              <w:rPr>
                <w:sz w:val="20"/>
                <w:szCs w:val="20"/>
                <w:color w:val="auto"/>
              </w:rPr>
            </w:pPr>
            <w:r>
              <w:rPr>
                <w:rFonts w:ascii="Arial" w:cs="Arial" w:eastAsia="Arial" w:hAnsi="Arial"/>
                <w:sz w:val="18"/>
                <w:szCs w:val="18"/>
                <w:color w:val="auto"/>
              </w:rPr>
              <w:t>Increase/(decrease) in cash and cash equivalents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2,438</w:t>
            </w:r>
          </w:p>
        </w:tc>
        <w:tc>
          <w:tcPr>
            <w:tcW w:w="1320" w:type="dxa"/>
            <w:vAlign w:val="bottom"/>
            <w:tcBorders>
              <w:bottom w:val="single" w:sz="8" w:color="auto"/>
            </w:tcBorders>
          </w:tcPr>
          <w:p>
            <w:pPr>
              <w:jc w:val="right"/>
              <w:ind w:right="236"/>
              <w:spacing w:after="0"/>
              <w:rPr>
                <w:sz w:val="20"/>
                <w:szCs w:val="20"/>
                <w:color w:val="auto"/>
              </w:rPr>
            </w:pPr>
            <w:r>
              <w:rPr>
                <w:rFonts w:ascii="Arial" w:cs="Arial" w:eastAsia="Arial" w:hAnsi="Arial"/>
                <w:sz w:val="18"/>
                <w:szCs w:val="18"/>
                <w:color w:val="auto"/>
              </w:rPr>
              <w:t>1,275</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r>
      <w:tr>
        <w:trPr>
          <w:trHeight w:val="468"/>
        </w:trPr>
        <w:tc>
          <w:tcPr>
            <w:tcW w:w="8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20" w:type="dxa"/>
            <w:vAlign w:val="bottom"/>
          </w:tcPr>
          <w:p>
            <w:pPr>
              <w:jc w:val="right"/>
              <w:ind w:right="196"/>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Pr>
          <w:p>
            <w:pPr>
              <w:spacing w:after="0"/>
              <w:rPr>
                <w:sz w:val="24"/>
                <w:szCs w:val="24"/>
                <w:color w:val="auto"/>
              </w:rPr>
            </w:pPr>
          </w:p>
        </w:tc>
      </w:tr>
      <w:tr>
        <w:trPr>
          <w:trHeight w:val="242"/>
        </w:trPr>
        <w:tc>
          <w:tcPr>
            <w:tcW w:w="8180" w:type="dxa"/>
            <w:vAlign w:val="bottom"/>
          </w:tcPr>
          <w:p>
            <w:pPr>
              <w:ind w:left="20"/>
              <w:spacing w:after="0"/>
              <w:rPr>
                <w:sz w:val="20"/>
                <w:szCs w:val="20"/>
                <w:color w:val="auto"/>
              </w:rPr>
            </w:pPr>
            <w:r>
              <w:rPr>
                <w:rFonts w:ascii="Arial" w:cs="Arial" w:eastAsia="Arial" w:hAnsi="Arial"/>
                <w:sz w:val="18"/>
                <w:szCs w:val="18"/>
                <w:color w:val="auto"/>
              </w:rPr>
              <w:t>Total cash and cash equivalents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6,802</w:t>
            </w:r>
          </w:p>
        </w:tc>
        <w:tc>
          <w:tcPr>
            <w:tcW w:w="1320" w:type="dxa"/>
            <w:vAlign w:val="bottom"/>
            <w:tcBorders>
              <w:bottom w:val="single" w:sz="8" w:color="auto"/>
            </w:tcBorders>
          </w:tcPr>
          <w:p>
            <w:pPr>
              <w:jc w:val="right"/>
              <w:ind w:right="236"/>
              <w:spacing w:after="0"/>
              <w:rPr>
                <w:sz w:val="20"/>
                <w:szCs w:val="20"/>
                <w:color w:val="auto"/>
              </w:rPr>
            </w:pPr>
            <w:r>
              <w:rPr>
                <w:rFonts w:ascii="Arial" w:cs="Arial" w:eastAsia="Arial" w:hAnsi="Arial"/>
                <w:sz w:val="18"/>
                <w:szCs w:val="18"/>
                <w:color w:val="auto"/>
              </w:rPr>
              <w:t>4,364</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3,089</w:t>
            </w:r>
          </w:p>
        </w:tc>
      </w:tr>
    </w:tbl>
    <w:p>
      <w:pPr>
        <w:spacing w:after="0" w:line="3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Total cash and cash equivalents were $6.8 billion at the end of 2021, up $2.4 billion from the prior year. The major sources of funds in 2021 were net income including noncontrolling interests of $23.6 billion, the adjustment for the noncash provision of $20.6 billion for depreciation and depletion, contributions from operational working capital of $4.2 billion, proceeds from asset sales of $3.2 billion, and other investing activities of $1.5 billion. The major uses of funds included a debt reduction of $19.7 billion, spending for additions to property, plant and equipment of $12.1 billion, dividends to shareholders of $14.9 billion, and additional investments and advances of $2.8 billion.</w:t>
      </w:r>
    </w:p>
    <w:p>
      <w:pPr>
        <w:spacing w:after="0" w:line="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Total cash and cash equivalents were $4.4 billion at the end of 2020, up $1.3 billion from the prior year. The major sources of funds in 2020 were the adjustment for the noncash provision of $46.0 billion, a net debt increase of $20.1 billion, proceeds from asset sales of $1.0 billion, and other investing activities of $2.7 billion. The major uses of funds included a net loss including noncontrolling interests of $23.3 billion, spending for additions to property, plant and equipment of $17.3 billion, dividends to shareholders of $14.9 billion, and additional investments and advances of $4.9 billion.</w:t>
      </w:r>
    </w:p>
    <w:p>
      <w:pPr>
        <w:spacing w:after="0" w:line="5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Corporation has access to significant capacity of long-term and short-term liquidity. In addition to cash balances, commercial paper continues to provide short-term liquidity, and is reflected in “Notes and loans payable” on the Consolidated Balance Sheet with changes in outstanding commercial paper between periods included in the Consolidated Statement of Cash Flows. The Corporation took steps to strengthen its balance sheet in 2021, reducing debt by nearly $20 billion and ending the year with $47.7 billion in total debt. On December 31, 2021, the Corporation had undrawn short-term committed lines of credit of $10.7 billion and undrawn long-term lines of credit of $0.6 billion.</w:t>
      </w:r>
    </w:p>
    <w:p>
      <w:pPr>
        <w:spacing w:after="0" w:line="4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To support cash flows in future periods, the Corporation will need to continually find or acquire and develop new fields, and continue to develop and apply new technologies and recovery processes to existing fields, in order to maintain or increase production. After a period of production at plateau rates, it is the nature of oil and gas fields to eventually produce at declining rates for the remainder of their economic life. Decline rates can vary widely by individual field due to a number of factors, including, but not limited to, the type of reservoir, fluid properties, recovery mechanisms, work activity, and age of the field. In particular, the Corporation’s key tight-oil plays have higher initial decline rates which tend to moderate over time. Furthermore, the Corporation’s net interest in production for individual fields can vary with price and the impact of fiscal and commercial terms.</w:t>
      </w:r>
    </w:p>
    <w:p>
      <w:pPr>
        <w:spacing w:after="0" w:line="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Corporation has long been successful at mitigating the effects of natural field decline through disciplined investments in quality opportunities and project execution. The Corporation anticipates several projects will come online over the next few years providing additional production capacity. However, actual volumes will vary from year to year due to the timing of individual project start-ups; operational outages; reservoir performance; performance of enhanced oil recovery projects; regulatory changes; the impact of fiscal and commercial terms; asset sales; weather events; price effects on production sharing contracts; and changes in the amount and timing of investments that may vary depending on the oil and gas price environment. The Corporation’s cash flows are also highly dependent on crude oil and natural gas prices. Please refer to Item 1A. Risk Factors for a more complete discussion of risks.</w:t>
      </w:r>
    </w:p>
    <w:p>
      <w:pPr>
        <w:spacing w:after="0" w:line="73"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Corporation’s financial strength enables it to make large, long-term capital expenditures. Capital and exploration expenditures in 2021 were $16.6 billion, reflecting the Corporation’s continued active investment program. The Corporation plans to invest in the range of $21 billion to $24 billion in 2022.</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58" w:name="page59"/>
    <w:bookmarkEnd w:id="58"/>
    <w:p>
      <w:pPr>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Actual spending could vary depending on the progress of individual projects and property acquisitions. The Corporation has a large and diverse portfolio of development projects and exploration opportunities, which helps mitigate the overall political and technical risks of the Corporation’s Upstream segment and associated cash flow. Further, due to its financial strength and diverse portfolio of opportunities, the risk associated with failure or delay of any single project would not have a significant impact on the Corporation’s liquidity or ability to generate sufficient cash flows for operations and its fixed commitments.</w:t>
      </w:r>
    </w:p>
    <w:p>
      <w:pPr>
        <w:spacing w:after="0" w:line="5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Corporation, as part of its ongoing asset management program, continues to evaluate its mix of assets for potential upgrade. Because of the ongoing nature of this program, dispositions will continue to be made from time to time which will result in either gains or losses. In light of commodity price volatility, and depending on the pace of demand recovery, the Corporation's planned divestment program could be adversely affected by fewer financially suitable buyers. This could result in a slowing of the pace of divestments, certain assets being sold at a price below current book value, or impairment charges if the likelihood of divesting certain assets increases. Additionally, the Corporation continues to evaluate opportunities to enhance its business portfolio through acquisitions of assets or companies, and enters into such transactions from time to time. Key criteria for evaluating acquisitions include potential for future growth and attractive current valuations. Acquisitions may be made with cash, shares of the Corporation’s common stock, or both.</w:t>
      </w:r>
    </w:p>
    <w:p>
      <w:pPr>
        <w:spacing w:after="0" w:line="4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ExxonMobil closely monitors the potential impact of Interbank Offered Rate (IBOR) reform, including LIBOR, under a number of scenarios and has taken steps to mitigate the potential impact. Accordingly, ExxonMobil does not believe this event represents a material risk to the Corporation’s consolidated results of operations or financial condition.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from Operating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w:t>
      </w:r>
    </w:p>
    <w:p>
      <w:pPr>
        <w:spacing w:after="0" w:line="10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Cash provided by operating activities totaled $48.1 billion in 2021, $33.5 billion higher than 2020. The major source of funds was net income including noncontrolling interests of $23.6 billion, an increase of $46.8 billion. The noncash provision for depreciation and depletion was $20.6 billion, down $25.4 billion from the prior year. The adjustment for the net gain on asset sales was $1.2 billion, an increase of $1.2 billion. The adjustment for dividends received less than equity in current earnings of equity companies was a reduction of $0.7 billion, compared to an increase of $1.0 billion in 2020. Changes in operational working capital, excluding cash and debt, increased cash in 2021 by $4.2 billion.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w:t>
      </w:r>
    </w:p>
    <w:p>
      <w:pPr>
        <w:spacing w:after="0" w:line="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Cash provided by operating activities totaled $14.7 billion in 2020, $15.0 billion lower than 2019. Net income (loss) including noncontrolling interests was a loss of $23.3 billion, a decrease of $38.0 billion. The noncash provision for depreciation and depletion was $46.0 billion, up $27.0 billion from the prior year, mainly due to asset impairments. The noncash provision for deferred income tax benefits was $8.9 billion and also included impacts from asset impairments. The adjustment for the net loss on asset sales was $4 million, a decrease of $1.7 billion. The adjustment for dividends received less than equity in current earnings of equity companies was an increase of $1.0 billion, compared to a reduction of $0.9 billion in 2019. Changes in operational working capital, excluding cash and debt, decreased cash in 2020 by $1.7 billion.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from Investing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w:t>
      </w:r>
    </w:p>
    <w:p>
      <w:pPr>
        <w:spacing w:after="0" w:line="1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used in investing activities netted to $10.2 billion in 2021, $8.2 billion lower than 2020. Spending for property, plant and equipment of $12.1 billion decreased $5.2 billion from 2020. Proceeds from asset sales and returns of investments of $3.2 billion compared to $1.0 billion in 2020. Additional investments and advances were $2.0 billion lower in 2021, while proceeds from other investing activities including collection of advances decreased by $1.2 billion.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w:t>
      </w:r>
    </w:p>
    <w:p>
      <w:pPr>
        <w:spacing w:after="0" w:line="1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used in investing activities netted to $18.5 billion in 2020, $4.6 billion lower than 2019. Spending for property, plant and equipment of $17.3 billion decreased $7.1 billion from 2019. Proceeds from asset sales and returns of investments of $1.0 billion compared to $3.7 billion in 2019. Additional investments and advances were $1.0 billion higher in 2020, while proceeds from other investing activities including collection of advances increased by $1.2 billion.</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59" w:name="page60"/>
    <w:bookmarkEnd w:id="59"/>
    <w:p>
      <w:pPr>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from Financing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w:t>
      </w:r>
    </w:p>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used in financing activities was $35.4 billion in 2021, $40.7 billion higher than 2020. Dividend payments on common shares increased to $3.49 per share from $3.48 per share and totaled $14.9 billion. During 2021, the Corporation utilized cash to reduce debt by $19.7 billion.</w:t>
      </w:r>
    </w:p>
    <w:p>
      <w:pPr>
        <w:spacing w:after="0" w:line="4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ExxonMobil share of equity increased $11.4 billion to $168.6 billion. The addition to equity for earnings was $23.0 billion. This was offset by reductions for distributions to ExxonMobil shareholders of $14.9 billion, all in the form of dividends. Foreign exchange translation effects of $0.9 billion for the stronger U.S. dollar reduced equity and a $3.8 billion change in the funded status of the postretirement benefits reserves increased equity.</w:t>
      </w:r>
    </w:p>
    <w:p>
      <w:pPr>
        <w:spacing w:after="0" w:line="4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During 2021, Exxon Mobil Corporation suspended its share repurchase program used to offset shares or units settled in shares issued in conjunction with the company’s benefit plans and programs. In 2022, the Corporation initiated a share repurchase program of up to $10 billion over 12 to 24 months.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w:t>
      </w:r>
    </w:p>
    <w:p>
      <w:pPr>
        <w:spacing w:after="0" w:line="9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Cash flow from financing activities was $5.3 billion in 2020, $11.9 billion higher than 2019. Dividend payments on common shares increased to $3.48 per share from $3.43 per share and totaled $14.9 billion. During 2020, the Corporation issued $23.2 billion of long-term debt. Total debt increased $20.7 billion to $67.6 billion at year-end.</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ExxonMobil share of equity decreased $34.5 billion to $157.2 billion. The reduction to equity for losses was $22.4 billion and the reduction for distributions to ExxonMobil shareholders of $14.9 billion, all in the form of dividends. Foreign exchange translation effects of $1.8 billion for the weaker U.S. dollar and a $1.0 billion change in the funded status of the postretirement benefits reserves increased equity.</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2020, Exxon Mobil Corporation acquired 8 million shares of its common stock for the treasury. Purchases were made to offset shares or units settled in shares issued in conjunction with the company’s benefit plans and programs. Shares outstanding decreased from 4,234 million to 4,233 million at the end of 2020.</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Corporation has contractual obligations involving commitments to third parties that impact its liquidity and capital resource needs. These contractual obligations are primarily for leases, debt, asset retirement obligations, pension and other postretirement benefits, take-or-pay and unconditional purchase obligations, and firm capital commitments. See Notes 9, 11, 14 and 17 for information related to asset retirement obligations, leases, long-term debt and pensions, respectively.</w:t>
      </w:r>
    </w:p>
    <w:p>
      <w:pPr>
        <w:spacing w:after="0" w:line="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the Corporation also enters into commodity purchase obligations (volumetric commitments but no fixed or minimum price) which are resold shortly after purchase, either in an active, highly liquid market or under long-term, unconditional sales contracts with similar pricing terms. Examples include long-term, noncancelable LNG and natural gas purchase commitments and commitments to purchase refinery products at market prices. These commitments are not meaningful in assessing liquidity and cash flow, because the purchases will be offset in the same periods by cash received from the related sales transactions.</w:t>
      </w:r>
    </w:p>
    <w:p>
      <w:pPr>
        <w:spacing w:after="0" w:line="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Take-or-pay obligations are noncancelable, long-term commitments for goods and services. Unconditional purchase obligations are those long-term commitments that are noncancelable or cancelable only under certain conditions, and that third parties have used to secure financing for the facilities that will provide the contracted goods or services. These obligations mainly pertain to pipeline, manufacturing supply and terminal agreements. The total obligation at year-end 2021 for take-or-pay and unconditional purchase obligations was $30,031 million. Cash payments expected in 2022 and 2023 are $4,004 million and $3,560 million, respectively.</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60" w:name="page61"/>
    <w:bookmarkEnd w:id="60"/>
    <w:p>
      <w:pPr>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w:t>
      </w:r>
    </w:p>
    <w:p>
      <w:pPr>
        <w:spacing w:after="0" w:line="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Corporation and certain of its consolidated subsidiaries were contingently liable at December 31, 2021 for guarantees relating to notes, loans and performance under contracts (Note 16). Where guarantees for environmental remediation and other similar matters do not include a stated cap, the amounts reflect management’s estimate of the maximum potential exposure. These guarantees are not reasonably likely to have a material effect on the Corporation’s financial condition, changes in financial condition, revenues or expenses, results of operations, liquidity, capital expenditures or capital resources.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Strength</w:t>
      </w:r>
    </w:p>
    <w:p>
      <w:pPr>
        <w:spacing w:after="0" w:line="10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December 31, 2021, the Corporation had total unused short-term committed lines of credit of $10.7 billion (Note 6) and total unused long-term committed lines of credit of $0.6 billion (Note 14). The table below shows the Corporation’s consolidated debt to capital ratios.</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40" w:type="dxa"/>
            <w:vAlign w:val="bottom"/>
          </w:tcPr>
          <w:p>
            <w:pPr>
              <w:spacing w:after="0"/>
              <w:rPr>
                <w:sz w:val="16"/>
                <w:szCs w:val="16"/>
                <w:color w:val="auto"/>
              </w:rPr>
            </w:pPr>
          </w:p>
        </w:tc>
        <w:tc>
          <w:tcPr>
            <w:tcW w:w="4100" w:type="dxa"/>
            <w:vAlign w:val="bottom"/>
          </w:tcPr>
          <w:p>
            <w:pPr>
              <w:jc w:val="right"/>
              <w:ind w:right="216"/>
              <w:spacing w:after="0"/>
              <w:rPr>
                <w:sz w:val="20"/>
                <w:szCs w:val="20"/>
                <w:color w:val="auto"/>
              </w:rPr>
            </w:pPr>
            <w:r>
              <w:rPr>
                <w:rFonts w:ascii="Arial" w:cs="Arial" w:eastAsia="Arial" w:hAnsi="Arial"/>
                <w:sz w:val="14"/>
                <w:szCs w:val="14"/>
                <w:b w:val="1"/>
                <w:bCs w:val="1"/>
                <w:color w:val="auto"/>
              </w:rPr>
              <w:t>2021</w:t>
            </w:r>
          </w:p>
        </w:tc>
        <w:tc>
          <w:tcPr>
            <w:tcW w:w="960" w:type="dxa"/>
            <w:vAlign w:val="bottom"/>
          </w:tcPr>
          <w:p>
            <w:pPr>
              <w:jc w:val="right"/>
              <w:ind w:right="236"/>
              <w:spacing w:after="0"/>
              <w:rPr>
                <w:sz w:val="20"/>
                <w:szCs w:val="20"/>
                <w:color w:val="auto"/>
              </w:rPr>
            </w:pPr>
            <w:r>
              <w:rPr>
                <w:rFonts w:ascii="Arial" w:cs="Arial" w:eastAsia="Arial" w:hAnsi="Arial"/>
                <w:sz w:val="14"/>
                <w:szCs w:val="14"/>
                <w:b w:val="1"/>
                <w:bCs w:val="1"/>
                <w:color w:val="auto"/>
              </w:rPr>
              <w:t>2020</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r>
      <w:tr>
        <w:trPr>
          <w:trHeight w:val="39"/>
        </w:trPr>
        <w:tc>
          <w:tcPr>
            <w:tcW w:w="5540" w:type="dxa"/>
            <w:vAlign w:val="bottom"/>
            <w:tcBorders>
              <w:bottom w:val="single" w:sz="8" w:color="auto"/>
            </w:tcBorders>
          </w:tcPr>
          <w:p>
            <w:pPr>
              <w:spacing w:after="0"/>
              <w:rPr>
                <w:sz w:val="3"/>
                <w:szCs w:val="3"/>
                <w:color w:val="auto"/>
              </w:rPr>
            </w:pPr>
          </w:p>
        </w:tc>
        <w:tc>
          <w:tcPr>
            <w:tcW w:w="41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r>
      <w:tr>
        <w:trPr>
          <w:trHeight w:val="222"/>
        </w:trPr>
        <w:tc>
          <w:tcPr>
            <w:tcW w:w="5540" w:type="dxa"/>
            <w:vAlign w:val="bottom"/>
          </w:tcPr>
          <w:p>
            <w:pPr>
              <w:ind w:left="20"/>
              <w:spacing w:after="0"/>
              <w:rPr>
                <w:sz w:val="20"/>
                <w:szCs w:val="20"/>
                <w:color w:val="auto"/>
              </w:rPr>
            </w:pPr>
            <w:r>
              <w:rPr>
                <w:rFonts w:ascii="Arial" w:cs="Arial" w:eastAsia="Arial" w:hAnsi="Arial"/>
                <w:sz w:val="18"/>
                <w:szCs w:val="18"/>
                <w:color w:val="auto"/>
              </w:rPr>
              <w:t>Debt to capital (percent)</w:t>
            </w:r>
          </w:p>
        </w:tc>
        <w:tc>
          <w:tcPr>
            <w:tcW w:w="4100" w:type="dxa"/>
            <w:vAlign w:val="bottom"/>
          </w:tcPr>
          <w:p>
            <w:pPr>
              <w:jc w:val="right"/>
              <w:ind w:right="216"/>
              <w:spacing w:after="0"/>
              <w:rPr>
                <w:sz w:val="20"/>
                <w:szCs w:val="20"/>
                <w:color w:val="auto"/>
              </w:rPr>
            </w:pPr>
            <w:r>
              <w:rPr>
                <w:rFonts w:ascii="Arial" w:cs="Arial" w:eastAsia="Arial" w:hAnsi="Arial"/>
                <w:sz w:val="18"/>
                <w:szCs w:val="18"/>
                <w:color w:val="auto"/>
              </w:rPr>
              <w:t>21.4</w:t>
            </w:r>
          </w:p>
        </w:tc>
        <w:tc>
          <w:tcPr>
            <w:tcW w:w="960" w:type="dxa"/>
            <w:vAlign w:val="bottom"/>
          </w:tcPr>
          <w:p>
            <w:pPr>
              <w:jc w:val="right"/>
              <w:ind w:right="236"/>
              <w:spacing w:after="0"/>
              <w:rPr>
                <w:sz w:val="20"/>
                <w:szCs w:val="20"/>
                <w:color w:val="auto"/>
              </w:rPr>
            </w:pPr>
            <w:r>
              <w:rPr>
                <w:rFonts w:ascii="Arial" w:cs="Arial" w:eastAsia="Arial" w:hAnsi="Arial"/>
                <w:sz w:val="18"/>
                <w:szCs w:val="18"/>
                <w:color w:val="auto"/>
              </w:rPr>
              <w:t>29.2</w:t>
            </w:r>
          </w:p>
        </w:tc>
        <w:tc>
          <w:tcPr>
            <w:tcW w:w="640" w:type="dxa"/>
            <w:vAlign w:val="bottom"/>
          </w:tcPr>
          <w:p>
            <w:pPr>
              <w:jc w:val="right"/>
              <w:spacing w:after="0"/>
              <w:rPr>
                <w:sz w:val="20"/>
                <w:szCs w:val="20"/>
                <w:color w:val="auto"/>
              </w:rPr>
            </w:pPr>
            <w:r>
              <w:rPr>
                <w:rFonts w:ascii="Arial" w:cs="Arial" w:eastAsia="Arial" w:hAnsi="Arial"/>
                <w:sz w:val="18"/>
                <w:szCs w:val="18"/>
                <w:color w:val="auto"/>
              </w:rPr>
              <w:t>19.1</w:t>
            </w:r>
          </w:p>
        </w:tc>
      </w:tr>
      <w:tr>
        <w:trPr>
          <w:trHeight w:val="230"/>
        </w:trPr>
        <w:tc>
          <w:tcPr>
            <w:tcW w:w="5540" w:type="dxa"/>
            <w:vAlign w:val="bottom"/>
          </w:tcPr>
          <w:p>
            <w:pPr>
              <w:ind w:left="20"/>
              <w:spacing w:after="0"/>
              <w:rPr>
                <w:sz w:val="20"/>
                <w:szCs w:val="20"/>
                <w:color w:val="auto"/>
              </w:rPr>
            </w:pPr>
            <w:r>
              <w:rPr>
                <w:rFonts w:ascii="Arial" w:cs="Arial" w:eastAsia="Arial" w:hAnsi="Arial"/>
                <w:sz w:val="18"/>
                <w:szCs w:val="18"/>
                <w:color w:val="auto"/>
              </w:rPr>
              <w:t>Net debt to capital (percent)</w:t>
            </w:r>
          </w:p>
        </w:tc>
        <w:tc>
          <w:tcPr>
            <w:tcW w:w="4100" w:type="dxa"/>
            <w:vAlign w:val="bottom"/>
          </w:tcPr>
          <w:p>
            <w:pPr>
              <w:jc w:val="right"/>
              <w:ind w:right="216"/>
              <w:spacing w:after="0"/>
              <w:rPr>
                <w:sz w:val="20"/>
                <w:szCs w:val="20"/>
                <w:color w:val="auto"/>
              </w:rPr>
            </w:pPr>
            <w:r>
              <w:rPr>
                <w:rFonts w:ascii="Arial" w:cs="Arial" w:eastAsia="Arial" w:hAnsi="Arial"/>
                <w:sz w:val="18"/>
                <w:szCs w:val="18"/>
                <w:color w:val="auto"/>
              </w:rPr>
              <w:t>18.9</w:t>
            </w:r>
          </w:p>
        </w:tc>
        <w:tc>
          <w:tcPr>
            <w:tcW w:w="960" w:type="dxa"/>
            <w:vAlign w:val="bottom"/>
          </w:tcPr>
          <w:p>
            <w:pPr>
              <w:jc w:val="right"/>
              <w:ind w:right="236"/>
              <w:spacing w:after="0"/>
              <w:rPr>
                <w:sz w:val="20"/>
                <w:szCs w:val="20"/>
                <w:color w:val="auto"/>
              </w:rPr>
            </w:pPr>
            <w:r>
              <w:rPr>
                <w:rFonts w:ascii="Arial" w:cs="Arial" w:eastAsia="Arial" w:hAnsi="Arial"/>
                <w:sz w:val="18"/>
                <w:szCs w:val="18"/>
                <w:color w:val="auto"/>
              </w:rPr>
              <w:t>27.8</w:t>
            </w:r>
          </w:p>
        </w:tc>
        <w:tc>
          <w:tcPr>
            <w:tcW w:w="640" w:type="dxa"/>
            <w:vAlign w:val="bottom"/>
          </w:tcPr>
          <w:p>
            <w:pPr>
              <w:jc w:val="right"/>
              <w:spacing w:after="0"/>
              <w:rPr>
                <w:sz w:val="20"/>
                <w:szCs w:val="20"/>
                <w:color w:val="auto"/>
              </w:rPr>
            </w:pPr>
            <w:r>
              <w:rPr>
                <w:rFonts w:ascii="Arial" w:cs="Arial" w:eastAsia="Arial" w:hAnsi="Arial"/>
                <w:sz w:val="18"/>
                <w:szCs w:val="18"/>
                <w:color w:val="auto"/>
              </w:rPr>
              <w:t>18.1</w:t>
            </w:r>
          </w:p>
        </w:tc>
      </w:tr>
    </w:tbl>
    <w:p>
      <w:pPr>
        <w:spacing w:after="0" w:line="29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Management views the Corporation’s financial strength to be a competitive advantage of strategic importance. The Corporation’s financial position gives it the opportunity to access the world’s capital markets across a range of market conditions, and enables the Corporation to take on large, long-term capital commitments in the pursuit of maximizing shareholder value.</w:t>
      </w:r>
    </w:p>
    <w:p>
      <w:pPr>
        <w:spacing w:after="0" w:line="21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Industry conditions in 2020 led to lower realized prices for the Corporation’s products which resulted in substantially lower earnings and operating cash flow in comparison to 2019. The Corporation took steps to strengthen its liquidity in 2020, including issuing $23.2 billion of long-term debt and implementing significant capital and operating cost reductions. The Corporation ended 2020 with $67.6 billion in total debt.</w:t>
      </w:r>
    </w:p>
    <w:p>
      <w:pPr>
        <w:spacing w:after="0" w:line="19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Stronger prices and margins improved the Corporation's financial results in 2021. The Corporation reduced debt by $19.9 billion and ended the year with $47.7 billion in total debt.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and Other Contingencies</w:t>
      </w:r>
    </w:p>
    <w:p>
      <w:pPr>
        <w:spacing w:after="0" w:line="10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discussed in Note 16, a variety of claims have been made against ExxonMobil and certain of its consolidated subsidiaries in a number of pending lawsuits. Based on a consideration of all relevant facts and circumstances, the Corporation does not believe the ultimate outcome of any currently pending lawsuit against ExxonMobil will have a material adverse effect upon the Corporation’s operations, financial condition, or financial statements taken as a whole. There are no events or uncertainties beyond those already included in reported financial information that would indicate a material change in future operating results or financial condition. Refer to Note 16 for additional information on legal proceedings and other contingencies.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AND EXPLORATION EXPENDITURES</w:t>
      </w:r>
    </w:p>
    <w:p>
      <w:pPr>
        <w:spacing w:after="0" w:line="10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Capital and exploration expenditures (Capex) represents the combined total of additions at cost to property, plant and equipment, and exploration expenses on a before-tax basis from the Consolidated Statement of Income. ExxonMobil’s Capex includes its share of similar costs for equity companies. Capex excludes assets acquired in nonmonetary exchanges, the value of ExxonMobil shares used to acquire assets, and depreciation on the cost of exploration support equipment and facilities recorded to property, plant and equipment when acquired. While ExxonMobil’s management is responsible for all investments and elements of net income, particular focus is placed on managing the controllable aspects of this group of expenditures.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20" w:type="dxa"/>
            <w:vAlign w:val="bottom"/>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1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20" w:type="dxa"/>
            <w:vAlign w:val="bottom"/>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960" w:type="dxa"/>
            <w:vAlign w:val="bottom"/>
          </w:tcPr>
          <w:p>
            <w:pPr>
              <w:spacing w:after="0"/>
              <w:rPr>
                <w:sz w:val="16"/>
                <w:szCs w:val="16"/>
                <w:color w:val="auto"/>
              </w:rPr>
            </w:pPr>
          </w:p>
        </w:tc>
      </w:tr>
      <w:tr>
        <w:trPr>
          <w:trHeight w:val="39"/>
        </w:trPr>
        <w:tc>
          <w:tcPr>
            <w:tcW w:w="4440" w:type="dxa"/>
            <w:vAlign w:val="bottom"/>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184"/>
        </w:trPr>
        <w:tc>
          <w:tcPr>
            <w:tcW w:w="4440" w:type="dxa"/>
            <w:vAlign w:val="bottom"/>
          </w:tcPr>
          <w:p>
            <w:pPr>
              <w:spacing w:after="0"/>
              <w:rPr>
                <w:sz w:val="16"/>
                <w:szCs w:val="16"/>
                <w:color w:val="auto"/>
              </w:rPr>
            </w:pPr>
          </w:p>
        </w:tc>
        <w:tc>
          <w:tcPr>
            <w:tcW w:w="1180" w:type="dxa"/>
            <w:vAlign w:val="bottom"/>
          </w:tcPr>
          <w:p>
            <w:pPr>
              <w:jc w:val="right"/>
              <w:ind w:right="433"/>
              <w:spacing w:after="0"/>
              <w:rPr>
                <w:sz w:val="20"/>
                <w:szCs w:val="20"/>
                <w:color w:val="auto"/>
              </w:rPr>
            </w:pPr>
            <w:r>
              <w:rPr>
                <w:rFonts w:ascii="Arial" w:cs="Arial" w:eastAsia="Arial" w:hAnsi="Arial"/>
                <w:sz w:val="14"/>
                <w:szCs w:val="14"/>
                <w:b w:val="1"/>
                <w:bCs w:val="1"/>
                <w:color w:val="auto"/>
              </w:rPr>
              <w:t>U.S.</w:t>
            </w:r>
          </w:p>
        </w:tc>
        <w:tc>
          <w:tcPr>
            <w:tcW w:w="1220" w:type="dxa"/>
            <w:vAlign w:val="bottom"/>
          </w:tcPr>
          <w:p>
            <w:pPr>
              <w:jc w:val="right"/>
              <w:ind w:right="355"/>
              <w:spacing w:after="0"/>
              <w:rPr>
                <w:sz w:val="20"/>
                <w:szCs w:val="20"/>
                <w:color w:val="auto"/>
              </w:rPr>
            </w:pPr>
            <w:r>
              <w:rPr>
                <w:rFonts w:ascii="Arial" w:cs="Arial" w:eastAsia="Arial" w:hAnsi="Arial"/>
                <w:sz w:val="14"/>
                <w:szCs w:val="14"/>
                <w:b w:val="1"/>
                <w:bCs w:val="1"/>
                <w:color w:val="auto"/>
              </w:rPr>
              <w:t>Non-U.S.</w:t>
            </w:r>
          </w:p>
        </w:tc>
        <w:tc>
          <w:tcPr>
            <w:tcW w:w="1160" w:type="dxa"/>
            <w:vAlign w:val="bottom"/>
          </w:tcPr>
          <w:p>
            <w:pPr>
              <w:jc w:val="right"/>
              <w:ind w:right="495"/>
              <w:spacing w:after="0"/>
              <w:rPr>
                <w:sz w:val="20"/>
                <w:szCs w:val="20"/>
                <w:color w:val="auto"/>
              </w:rPr>
            </w:pPr>
            <w:r>
              <w:rPr>
                <w:rFonts w:ascii="Arial" w:cs="Arial" w:eastAsia="Arial" w:hAnsi="Arial"/>
                <w:sz w:val="14"/>
                <w:szCs w:val="14"/>
                <w:b w:val="1"/>
                <w:bCs w:val="1"/>
                <w:color w:val="auto"/>
              </w:rPr>
              <w:t>Total</w:t>
            </w:r>
          </w:p>
        </w:tc>
        <w:tc>
          <w:tcPr>
            <w:tcW w:w="1060" w:type="dxa"/>
            <w:vAlign w:val="bottom"/>
          </w:tcPr>
          <w:p>
            <w:pPr>
              <w:jc w:val="right"/>
              <w:ind w:right="433"/>
              <w:spacing w:after="0"/>
              <w:rPr>
                <w:sz w:val="20"/>
                <w:szCs w:val="20"/>
                <w:color w:val="auto"/>
              </w:rPr>
            </w:pPr>
            <w:r>
              <w:rPr>
                <w:rFonts w:ascii="Arial" w:cs="Arial" w:eastAsia="Arial" w:hAnsi="Arial"/>
                <w:sz w:val="14"/>
                <w:szCs w:val="14"/>
                <w:b w:val="1"/>
                <w:bCs w:val="1"/>
                <w:color w:val="auto"/>
              </w:rPr>
              <w:t>U.S.</w:t>
            </w:r>
          </w:p>
        </w:tc>
        <w:tc>
          <w:tcPr>
            <w:tcW w:w="1220" w:type="dxa"/>
            <w:vAlign w:val="bottom"/>
          </w:tcPr>
          <w:p>
            <w:pPr>
              <w:jc w:val="right"/>
              <w:ind w:right="355"/>
              <w:spacing w:after="0"/>
              <w:rPr>
                <w:sz w:val="20"/>
                <w:szCs w:val="20"/>
                <w:color w:val="auto"/>
              </w:rPr>
            </w:pPr>
            <w:r>
              <w:rPr>
                <w:rFonts w:ascii="Arial" w:cs="Arial" w:eastAsia="Arial" w:hAnsi="Arial"/>
                <w:sz w:val="14"/>
                <w:szCs w:val="14"/>
                <w:b w:val="1"/>
                <w:bCs w:val="1"/>
                <w:color w:val="auto"/>
              </w:rPr>
              <w:t>Non-U.S.</w:t>
            </w:r>
          </w:p>
        </w:tc>
        <w:tc>
          <w:tcPr>
            <w:tcW w:w="960" w:type="dxa"/>
            <w:vAlign w:val="bottom"/>
          </w:tcPr>
          <w:p>
            <w:pPr>
              <w:jc w:val="right"/>
              <w:ind w:right="273"/>
              <w:spacing w:after="0"/>
              <w:rPr>
                <w:sz w:val="20"/>
                <w:szCs w:val="20"/>
                <w:color w:val="auto"/>
              </w:rPr>
            </w:pPr>
            <w:r>
              <w:rPr>
                <w:rFonts w:ascii="Arial" w:cs="Arial" w:eastAsia="Arial" w:hAnsi="Arial"/>
                <w:sz w:val="14"/>
                <w:szCs w:val="14"/>
                <w:b w:val="1"/>
                <w:bCs w:val="1"/>
                <w:color w:val="auto"/>
              </w:rPr>
              <w:t>Total</w:t>
            </w:r>
          </w:p>
        </w:tc>
      </w:tr>
      <w:tr>
        <w:trPr>
          <w:trHeight w:val="25"/>
        </w:trPr>
        <w:tc>
          <w:tcPr>
            <w:tcW w:w="44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4"/>
        </w:trPr>
        <w:tc>
          <w:tcPr>
            <w:tcW w:w="44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20" w:type="dxa"/>
            <w:vAlign w:val="bottom"/>
            <w:gridSpan w:val="2"/>
          </w:tcPr>
          <w:p>
            <w:pPr>
              <w:jc w:val="right"/>
              <w:ind w:right="553"/>
              <w:spacing w:after="0"/>
              <w:rPr>
                <w:sz w:val="20"/>
                <w:szCs w:val="20"/>
                <w:color w:val="auto"/>
              </w:rPr>
            </w:pPr>
            <w:r>
              <w:rPr>
                <w:rFonts w:ascii="Arial" w:cs="Arial" w:eastAsia="Arial" w:hAnsi="Arial"/>
                <w:sz w:val="14"/>
                <w:szCs w:val="14"/>
                <w:i w:val="1"/>
                <w:iCs w:val="1"/>
                <w:color w:val="auto"/>
              </w:rPr>
              <w:t>(millions of dollars)</w:t>
            </w:r>
          </w:p>
        </w:tc>
        <w:tc>
          <w:tcPr>
            <w:tcW w:w="12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68"/>
        </w:trPr>
        <w:tc>
          <w:tcPr>
            <w:tcW w:w="4440" w:type="dxa"/>
            <w:vAlign w:val="bottom"/>
          </w:tcPr>
          <w:p>
            <w:pPr>
              <w:ind w:left="20"/>
              <w:spacing w:after="0"/>
              <w:rPr>
                <w:sz w:val="20"/>
                <w:szCs w:val="20"/>
                <w:color w:val="auto"/>
              </w:rPr>
            </w:pPr>
            <w:r>
              <w:rPr>
                <w:rFonts w:ascii="Arial" w:cs="Arial" w:eastAsia="Arial" w:hAnsi="Arial"/>
                <w:sz w:val="18"/>
                <w:szCs w:val="18"/>
                <w:color w:val="auto"/>
              </w:rPr>
              <w:t xml:space="preserve">Upstream </w:t>
            </w:r>
            <w:r>
              <w:rPr>
                <w:rFonts w:ascii="Arial" w:cs="Arial" w:eastAsia="Arial" w:hAnsi="Arial"/>
                <w:sz w:val="14"/>
                <w:szCs w:val="14"/>
                <w:i w:val="1"/>
                <w:iCs w:val="1"/>
                <w:color w:val="auto"/>
              </w:rPr>
              <w:t>(1)</w:t>
            </w: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4,018</w:t>
            </w:r>
          </w:p>
        </w:tc>
        <w:tc>
          <w:tcPr>
            <w:tcW w:w="1220" w:type="dxa"/>
            <w:vAlign w:val="bottom"/>
          </w:tcPr>
          <w:p>
            <w:pPr>
              <w:jc w:val="right"/>
              <w:ind w:right="195"/>
              <w:spacing w:after="0"/>
              <w:rPr>
                <w:sz w:val="20"/>
                <w:szCs w:val="20"/>
                <w:color w:val="auto"/>
              </w:rPr>
            </w:pPr>
            <w:r>
              <w:rPr>
                <w:rFonts w:ascii="Arial" w:cs="Arial" w:eastAsia="Arial" w:hAnsi="Arial"/>
                <w:sz w:val="18"/>
                <w:szCs w:val="18"/>
                <w:color w:val="auto"/>
              </w:rPr>
              <w:t>8,236</w:t>
            </w:r>
          </w:p>
        </w:tc>
        <w:tc>
          <w:tcPr>
            <w:tcW w:w="1160" w:type="dxa"/>
            <w:vAlign w:val="bottom"/>
          </w:tcPr>
          <w:p>
            <w:pPr>
              <w:jc w:val="right"/>
              <w:ind w:right="195"/>
              <w:spacing w:after="0"/>
              <w:rPr>
                <w:sz w:val="20"/>
                <w:szCs w:val="20"/>
                <w:color w:val="auto"/>
              </w:rPr>
            </w:pPr>
            <w:r>
              <w:rPr>
                <w:rFonts w:ascii="Arial" w:cs="Arial" w:eastAsia="Arial" w:hAnsi="Arial"/>
                <w:sz w:val="18"/>
                <w:szCs w:val="18"/>
                <w:color w:val="auto"/>
              </w:rPr>
              <w:t>12,254</w:t>
            </w:r>
          </w:p>
        </w:tc>
        <w:tc>
          <w:tcPr>
            <w:tcW w:w="1060" w:type="dxa"/>
            <w:vAlign w:val="bottom"/>
          </w:tcPr>
          <w:p>
            <w:pPr>
              <w:jc w:val="right"/>
              <w:ind w:right="113"/>
              <w:spacing w:after="0"/>
              <w:rPr>
                <w:sz w:val="20"/>
                <w:szCs w:val="20"/>
                <w:color w:val="auto"/>
              </w:rPr>
            </w:pPr>
            <w:r>
              <w:rPr>
                <w:rFonts w:ascii="Arial" w:cs="Arial" w:eastAsia="Arial" w:hAnsi="Arial"/>
                <w:sz w:val="18"/>
                <w:szCs w:val="18"/>
                <w:color w:val="auto"/>
              </w:rPr>
              <w:t>6,817</w:t>
            </w:r>
          </w:p>
        </w:tc>
        <w:tc>
          <w:tcPr>
            <w:tcW w:w="1220" w:type="dxa"/>
            <w:vAlign w:val="bottom"/>
          </w:tcPr>
          <w:p>
            <w:pPr>
              <w:jc w:val="right"/>
              <w:ind w:right="195"/>
              <w:spacing w:after="0"/>
              <w:rPr>
                <w:sz w:val="20"/>
                <w:szCs w:val="20"/>
                <w:color w:val="auto"/>
              </w:rPr>
            </w:pPr>
            <w:r>
              <w:rPr>
                <w:rFonts w:ascii="Arial" w:cs="Arial" w:eastAsia="Arial" w:hAnsi="Arial"/>
                <w:sz w:val="18"/>
                <w:szCs w:val="18"/>
                <w:color w:val="auto"/>
              </w:rPr>
              <w:t>7,614</w:t>
            </w:r>
          </w:p>
        </w:tc>
        <w:tc>
          <w:tcPr>
            <w:tcW w:w="960" w:type="dxa"/>
            <w:vAlign w:val="bottom"/>
          </w:tcPr>
          <w:p>
            <w:pPr>
              <w:jc w:val="right"/>
              <w:spacing w:after="0"/>
              <w:rPr>
                <w:sz w:val="20"/>
                <w:szCs w:val="20"/>
                <w:color w:val="auto"/>
              </w:rPr>
            </w:pPr>
            <w:r>
              <w:rPr>
                <w:rFonts w:ascii="Arial" w:cs="Arial" w:eastAsia="Arial" w:hAnsi="Arial"/>
                <w:sz w:val="18"/>
                <w:szCs w:val="18"/>
                <w:color w:val="auto"/>
              </w:rPr>
              <w:t>14,431</w:t>
            </w:r>
          </w:p>
        </w:tc>
      </w:tr>
      <w:tr>
        <w:trPr>
          <w:trHeight w:val="229"/>
        </w:trPr>
        <w:tc>
          <w:tcPr>
            <w:tcW w:w="4440" w:type="dxa"/>
            <w:vAlign w:val="bottom"/>
          </w:tcPr>
          <w:p>
            <w:pPr>
              <w:ind w:left="20"/>
              <w:spacing w:after="0"/>
              <w:rPr>
                <w:sz w:val="20"/>
                <w:szCs w:val="20"/>
                <w:color w:val="auto"/>
              </w:rPr>
            </w:pPr>
            <w:r>
              <w:rPr>
                <w:rFonts w:ascii="Arial" w:cs="Arial" w:eastAsia="Arial" w:hAnsi="Arial"/>
                <w:sz w:val="18"/>
                <w:szCs w:val="18"/>
                <w:color w:val="auto"/>
              </w:rPr>
              <w:t>Downstream</w:t>
            </w: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1,000</w:t>
            </w:r>
          </w:p>
        </w:tc>
        <w:tc>
          <w:tcPr>
            <w:tcW w:w="1220" w:type="dxa"/>
            <w:vAlign w:val="bottom"/>
          </w:tcPr>
          <w:p>
            <w:pPr>
              <w:jc w:val="right"/>
              <w:ind w:right="195"/>
              <w:spacing w:after="0"/>
              <w:rPr>
                <w:sz w:val="20"/>
                <w:szCs w:val="20"/>
                <w:color w:val="auto"/>
              </w:rPr>
            </w:pPr>
            <w:r>
              <w:rPr>
                <w:rFonts w:ascii="Arial" w:cs="Arial" w:eastAsia="Arial" w:hAnsi="Arial"/>
                <w:sz w:val="18"/>
                <w:szCs w:val="18"/>
                <w:color w:val="auto"/>
              </w:rPr>
              <w:t>1,095</w:t>
            </w:r>
          </w:p>
        </w:tc>
        <w:tc>
          <w:tcPr>
            <w:tcW w:w="1160" w:type="dxa"/>
            <w:vAlign w:val="bottom"/>
          </w:tcPr>
          <w:p>
            <w:pPr>
              <w:jc w:val="right"/>
              <w:ind w:right="195"/>
              <w:spacing w:after="0"/>
              <w:rPr>
                <w:sz w:val="20"/>
                <w:szCs w:val="20"/>
                <w:color w:val="auto"/>
              </w:rPr>
            </w:pPr>
            <w:r>
              <w:rPr>
                <w:rFonts w:ascii="Arial" w:cs="Arial" w:eastAsia="Arial" w:hAnsi="Arial"/>
                <w:sz w:val="18"/>
                <w:szCs w:val="18"/>
                <w:color w:val="auto"/>
              </w:rPr>
              <w:t>2,095</w:t>
            </w:r>
          </w:p>
        </w:tc>
        <w:tc>
          <w:tcPr>
            <w:tcW w:w="1060" w:type="dxa"/>
            <w:vAlign w:val="bottom"/>
          </w:tcPr>
          <w:p>
            <w:pPr>
              <w:jc w:val="right"/>
              <w:ind w:right="113"/>
              <w:spacing w:after="0"/>
              <w:rPr>
                <w:sz w:val="20"/>
                <w:szCs w:val="20"/>
                <w:color w:val="auto"/>
              </w:rPr>
            </w:pPr>
            <w:r>
              <w:rPr>
                <w:rFonts w:ascii="Arial" w:cs="Arial" w:eastAsia="Arial" w:hAnsi="Arial"/>
                <w:sz w:val="18"/>
                <w:szCs w:val="18"/>
                <w:color w:val="auto"/>
              </w:rPr>
              <w:t>2,344</w:t>
            </w:r>
          </w:p>
        </w:tc>
        <w:tc>
          <w:tcPr>
            <w:tcW w:w="1220" w:type="dxa"/>
            <w:vAlign w:val="bottom"/>
          </w:tcPr>
          <w:p>
            <w:pPr>
              <w:jc w:val="right"/>
              <w:ind w:right="195"/>
              <w:spacing w:after="0"/>
              <w:rPr>
                <w:sz w:val="20"/>
                <w:szCs w:val="20"/>
                <w:color w:val="auto"/>
              </w:rPr>
            </w:pPr>
            <w:r>
              <w:rPr>
                <w:rFonts w:ascii="Arial" w:cs="Arial" w:eastAsia="Arial" w:hAnsi="Arial"/>
                <w:sz w:val="18"/>
                <w:szCs w:val="18"/>
                <w:color w:val="auto"/>
              </w:rPr>
              <w:t>1,877</w:t>
            </w:r>
          </w:p>
        </w:tc>
        <w:tc>
          <w:tcPr>
            <w:tcW w:w="960" w:type="dxa"/>
            <w:vAlign w:val="bottom"/>
          </w:tcPr>
          <w:p>
            <w:pPr>
              <w:jc w:val="right"/>
              <w:spacing w:after="0"/>
              <w:rPr>
                <w:sz w:val="20"/>
                <w:szCs w:val="20"/>
                <w:color w:val="auto"/>
              </w:rPr>
            </w:pPr>
            <w:r>
              <w:rPr>
                <w:rFonts w:ascii="Arial" w:cs="Arial" w:eastAsia="Arial" w:hAnsi="Arial"/>
                <w:sz w:val="18"/>
                <w:szCs w:val="18"/>
                <w:color w:val="auto"/>
              </w:rPr>
              <w:t>4,221</w:t>
            </w:r>
          </w:p>
        </w:tc>
      </w:tr>
      <w:tr>
        <w:trPr>
          <w:trHeight w:val="229"/>
        </w:trPr>
        <w:tc>
          <w:tcPr>
            <w:tcW w:w="4440" w:type="dxa"/>
            <w:vAlign w:val="bottom"/>
          </w:tcPr>
          <w:p>
            <w:pPr>
              <w:ind w:left="20"/>
              <w:spacing w:after="0"/>
              <w:rPr>
                <w:sz w:val="20"/>
                <w:szCs w:val="20"/>
                <w:color w:val="auto"/>
              </w:rPr>
            </w:pPr>
            <w:r>
              <w:rPr>
                <w:rFonts w:ascii="Arial" w:cs="Arial" w:eastAsia="Arial" w:hAnsi="Arial"/>
                <w:sz w:val="18"/>
                <w:szCs w:val="18"/>
                <w:color w:val="auto"/>
              </w:rPr>
              <w:t>Chemical</w:t>
            </w: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1,367</w:t>
            </w:r>
          </w:p>
        </w:tc>
        <w:tc>
          <w:tcPr>
            <w:tcW w:w="1220" w:type="dxa"/>
            <w:vAlign w:val="bottom"/>
          </w:tcPr>
          <w:p>
            <w:pPr>
              <w:jc w:val="right"/>
              <w:ind w:right="195"/>
              <w:spacing w:after="0"/>
              <w:rPr>
                <w:sz w:val="20"/>
                <w:szCs w:val="20"/>
                <w:color w:val="auto"/>
              </w:rPr>
            </w:pPr>
            <w:r>
              <w:rPr>
                <w:rFonts w:ascii="Arial" w:cs="Arial" w:eastAsia="Arial" w:hAnsi="Arial"/>
                <w:sz w:val="18"/>
                <w:szCs w:val="18"/>
                <w:color w:val="auto"/>
              </w:rPr>
              <w:t>876</w:t>
            </w:r>
          </w:p>
        </w:tc>
        <w:tc>
          <w:tcPr>
            <w:tcW w:w="1160" w:type="dxa"/>
            <w:vAlign w:val="bottom"/>
          </w:tcPr>
          <w:p>
            <w:pPr>
              <w:jc w:val="right"/>
              <w:ind w:right="195"/>
              <w:spacing w:after="0"/>
              <w:rPr>
                <w:sz w:val="20"/>
                <w:szCs w:val="20"/>
                <w:color w:val="auto"/>
              </w:rPr>
            </w:pPr>
            <w:r>
              <w:rPr>
                <w:rFonts w:ascii="Arial" w:cs="Arial" w:eastAsia="Arial" w:hAnsi="Arial"/>
                <w:sz w:val="18"/>
                <w:szCs w:val="18"/>
                <w:color w:val="auto"/>
              </w:rPr>
              <w:t>2,243</w:t>
            </w:r>
          </w:p>
        </w:tc>
        <w:tc>
          <w:tcPr>
            <w:tcW w:w="1060" w:type="dxa"/>
            <w:vAlign w:val="bottom"/>
          </w:tcPr>
          <w:p>
            <w:pPr>
              <w:jc w:val="right"/>
              <w:ind w:right="113"/>
              <w:spacing w:after="0"/>
              <w:rPr>
                <w:sz w:val="20"/>
                <w:szCs w:val="20"/>
                <w:color w:val="auto"/>
              </w:rPr>
            </w:pPr>
            <w:r>
              <w:rPr>
                <w:rFonts w:ascii="Arial" w:cs="Arial" w:eastAsia="Arial" w:hAnsi="Arial"/>
                <w:sz w:val="18"/>
                <w:szCs w:val="18"/>
                <w:color w:val="auto"/>
              </w:rPr>
              <w:t>2,002</w:t>
            </w:r>
          </w:p>
        </w:tc>
        <w:tc>
          <w:tcPr>
            <w:tcW w:w="1220" w:type="dxa"/>
            <w:vAlign w:val="bottom"/>
          </w:tcPr>
          <w:p>
            <w:pPr>
              <w:jc w:val="right"/>
              <w:ind w:right="195"/>
              <w:spacing w:after="0"/>
              <w:rPr>
                <w:sz w:val="20"/>
                <w:szCs w:val="20"/>
                <w:color w:val="auto"/>
              </w:rPr>
            </w:pPr>
            <w:r>
              <w:rPr>
                <w:rFonts w:ascii="Arial" w:cs="Arial" w:eastAsia="Arial" w:hAnsi="Arial"/>
                <w:sz w:val="18"/>
                <w:szCs w:val="18"/>
                <w:color w:val="auto"/>
              </w:rPr>
              <w:t>714</w:t>
            </w:r>
          </w:p>
        </w:tc>
        <w:tc>
          <w:tcPr>
            <w:tcW w:w="960" w:type="dxa"/>
            <w:vAlign w:val="bottom"/>
          </w:tcPr>
          <w:p>
            <w:pPr>
              <w:jc w:val="right"/>
              <w:spacing w:after="0"/>
              <w:rPr>
                <w:sz w:val="20"/>
                <w:szCs w:val="20"/>
                <w:color w:val="auto"/>
              </w:rPr>
            </w:pPr>
            <w:r>
              <w:rPr>
                <w:rFonts w:ascii="Arial" w:cs="Arial" w:eastAsia="Arial" w:hAnsi="Arial"/>
                <w:sz w:val="18"/>
                <w:szCs w:val="18"/>
                <w:color w:val="auto"/>
              </w:rPr>
              <w:t>2,716</w:t>
            </w:r>
          </w:p>
        </w:tc>
      </w:tr>
      <w:tr>
        <w:trPr>
          <w:trHeight w:val="230"/>
        </w:trPr>
        <w:tc>
          <w:tcPr>
            <w:tcW w:w="4440" w:type="dxa"/>
            <w:vAlign w:val="bottom"/>
          </w:tcPr>
          <w:p>
            <w:pPr>
              <w:ind w:left="20"/>
              <w:spacing w:after="0"/>
              <w:rPr>
                <w:sz w:val="20"/>
                <w:szCs w:val="20"/>
                <w:color w:val="auto"/>
              </w:rPr>
            </w:pPr>
            <w:r>
              <w:rPr>
                <w:rFonts w:ascii="Arial" w:cs="Arial" w:eastAsia="Arial" w:hAnsi="Arial"/>
                <w:sz w:val="18"/>
                <w:szCs w:val="18"/>
                <w:color w:val="auto"/>
              </w:rPr>
              <w:t>Other</w:t>
            </w:r>
          </w:p>
        </w:tc>
        <w:tc>
          <w:tcPr>
            <w:tcW w:w="118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3</w:t>
            </w:r>
          </w:p>
        </w:tc>
        <w:tc>
          <w:tcPr>
            <w:tcW w:w="1220" w:type="dxa"/>
            <w:vAlign w:val="bottom"/>
            <w:tcBorders>
              <w:bottom w:val="single" w:sz="8" w:color="auto"/>
            </w:tcBorders>
          </w:tcPr>
          <w:p>
            <w:pPr>
              <w:jc w:val="right"/>
              <w:ind w:right="195"/>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95"/>
              <w:spacing w:after="0"/>
              <w:rPr>
                <w:sz w:val="20"/>
                <w:szCs w:val="20"/>
                <w:color w:val="auto"/>
              </w:rPr>
            </w:pPr>
            <w:r>
              <w:rPr>
                <w:rFonts w:ascii="Arial" w:cs="Arial" w:eastAsia="Arial" w:hAnsi="Arial"/>
                <w:sz w:val="18"/>
                <w:szCs w:val="18"/>
                <w:color w:val="auto"/>
              </w:rPr>
              <w:t>3</w:t>
            </w:r>
          </w:p>
        </w:tc>
        <w:tc>
          <w:tcPr>
            <w:tcW w:w="106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6</w:t>
            </w:r>
          </w:p>
        </w:tc>
        <w:tc>
          <w:tcPr>
            <w:tcW w:w="1220" w:type="dxa"/>
            <w:vAlign w:val="bottom"/>
            <w:tcBorders>
              <w:bottom w:val="single" w:sz="8" w:color="auto"/>
            </w:tcBorders>
          </w:tcPr>
          <w:p>
            <w:pPr>
              <w:jc w:val="right"/>
              <w:ind w:right="195"/>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4440" w:type="dxa"/>
            <w:vAlign w:val="bottom"/>
          </w:tcPr>
          <w:p>
            <w:pPr>
              <w:ind w:left="220"/>
              <w:spacing w:after="0"/>
              <w:rPr>
                <w:sz w:val="20"/>
                <w:szCs w:val="20"/>
                <w:color w:val="auto"/>
              </w:rPr>
            </w:pPr>
            <w:r>
              <w:rPr>
                <w:rFonts w:ascii="Arial" w:cs="Arial" w:eastAsia="Arial" w:hAnsi="Arial"/>
                <w:sz w:val="18"/>
                <w:szCs w:val="18"/>
                <w:color w:val="auto"/>
              </w:rPr>
              <w:t>Total</w:t>
            </w:r>
          </w:p>
        </w:tc>
        <w:tc>
          <w:tcPr>
            <w:tcW w:w="118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6,388</w:t>
            </w:r>
          </w:p>
        </w:tc>
        <w:tc>
          <w:tcPr>
            <w:tcW w:w="1220" w:type="dxa"/>
            <w:vAlign w:val="bottom"/>
            <w:tcBorders>
              <w:bottom w:val="single" w:sz="8" w:color="auto"/>
            </w:tcBorders>
          </w:tcPr>
          <w:p>
            <w:pPr>
              <w:jc w:val="right"/>
              <w:ind w:right="195"/>
              <w:spacing w:after="0"/>
              <w:rPr>
                <w:sz w:val="20"/>
                <w:szCs w:val="20"/>
                <w:color w:val="auto"/>
              </w:rPr>
            </w:pPr>
            <w:r>
              <w:rPr>
                <w:rFonts w:ascii="Arial" w:cs="Arial" w:eastAsia="Arial" w:hAnsi="Arial"/>
                <w:sz w:val="18"/>
                <w:szCs w:val="18"/>
                <w:color w:val="auto"/>
              </w:rPr>
              <w:t>10,207</w:t>
            </w:r>
          </w:p>
        </w:tc>
        <w:tc>
          <w:tcPr>
            <w:tcW w:w="1160" w:type="dxa"/>
            <w:vAlign w:val="bottom"/>
            <w:tcBorders>
              <w:bottom w:val="single" w:sz="8" w:color="auto"/>
            </w:tcBorders>
          </w:tcPr>
          <w:p>
            <w:pPr>
              <w:jc w:val="right"/>
              <w:ind w:right="195"/>
              <w:spacing w:after="0"/>
              <w:rPr>
                <w:sz w:val="20"/>
                <w:szCs w:val="20"/>
                <w:color w:val="auto"/>
              </w:rPr>
            </w:pPr>
            <w:r>
              <w:rPr>
                <w:rFonts w:ascii="Arial" w:cs="Arial" w:eastAsia="Arial" w:hAnsi="Arial"/>
                <w:sz w:val="18"/>
                <w:szCs w:val="18"/>
                <w:color w:val="auto"/>
              </w:rPr>
              <w:t>16,595</w:t>
            </w:r>
          </w:p>
        </w:tc>
        <w:tc>
          <w:tcPr>
            <w:tcW w:w="106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11,169</w:t>
            </w:r>
          </w:p>
        </w:tc>
        <w:tc>
          <w:tcPr>
            <w:tcW w:w="1220" w:type="dxa"/>
            <w:vAlign w:val="bottom"/>
            <w:tcBorders>
              <w:bottom w:val="single" w:sz="8" w:color="auto"/>
            </w:tcBorders>
          </w:tcPr>
          <w:p>
            <w:pPr>
              <w:jc w:val="right"/>
              <w:ind w:right="195"/>
              <w:spacing w:after="0"/>
              <w:rPr>
                <w:sz w:val="20"/>
                <w:szCs w:val="20"/>
                <w:color w:val="auto"/>
              </w:rPr>
            </w:pPr>
            <w:r>
              <w:rPr>
                <w:rFonts w:ascii="Arial" w:cs="Arial" w:eastAsia="Arial" w:hAnsi="Arial"/>
                <w:sz w:val="18"/>
                <w:szCs w:val="18"/>
                <w:color w:val="auto"/>
              </w:rPr>
              <w:t>10,205</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21,374</w:t>
            </w: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 Exploration expenses included.</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61" w:name="page62"/>
    <w:bookmarkEnd w:id="61"/>
    <w:p>
      <w:pPr>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Capex in 2021 was $16.6 billion, as the Corporation continued to pursue opportunities to find and produce new supplies of oil and natural gas to meet global demand for energy. The Corporation plans to invest in the range of $21 billion to $24 billion in 2022. Included in the 2022 capital spend range is $8.3 billion of firm capital commitments. An additional $10.7 billion of firm capital commitments have been made for years 2023 and beyond. Actual spending could vary depending on the progress of individual projects and property acquisitions.</w:t>
      </w:r>
    </w:p>
    <w:p>
      <w:pPr>
        <w:spacing w:after="0" w:line="2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Upstream spending of $12.3 billion in 2021 was down 15 percent from 2020, primarily in the U.S. Permian Basin. Investments in 2021 included the U.S. Permian Basin and key development projects in Guyana and Brazil. Development projects typically take several years from the time of recording proved undeveloped reserves to the start of production and can exceed five years for large and complex projects. The percentage of proved developed reserves was 66 percent of total proved reserves at year-end 2021, and has been over 60 percent for the last ten years.</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Capital investments in the Downstream totaled $2.1 billion in 2021, a decrease of $2.1 billion from 2020, reflecting lower global project spending.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Chemical capital expenditures of $2.2 billion, decreased $0.5 billion, representing reduced spend on growth projects.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1520" w:type="dxa"/>
            <w:vAlign w:val="bottom"/>
          </w:tcPr>
          <w:p>
            <w:pPr>
              <w:jc w:val="right"/>
              <w:ind w:right="236"/>
              <w:spacing w:after="0"/>
              <w:rPr>
                <w:sz w:val="20"/>
                <w:szCs w:val="20"/>
                <w:color w:val="auto"/>
              </w:rPr>
            </w:pPr>
            <w:r>
              <w:rPr>
                <w:rFonts w:ascii="Arial" w:cs="Arial" w:eastAsia="Arial" w:hAnsi="Arial"/>
                <w:sz w:val="14"/>
                <w:szCs w:val="14"/>
                <w:b w:val="1"/>
                <w:bCs w:val="1"/>
                <w:color w:val="auto"/>
              </w:rPr>
              <w:t>2020</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r>
      <w:tr>
        <w:trPr>
          <w:trHeight w:val="39"/>
        </w:trPr>
        <w:tc>
          <w:tcPr>
            <w:tcW w:w="74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84"/>
        </w:trPr>
        <w:tc>
          <w:tcPr>
            <w:tcW w:w="74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520" w:type="dxa"/>
            <w:vAlign w:val="bottom"/>
          </w:tcPr>
          <w:p>
            <w:pPr>
              <w:jc w:val="right"/>
              <w:ind w:right="216"/>
              <w:spacing w:after="0"/>
              <w:rPr>
                <w:sz w:val="20"/>
                <w:szCs w:val="20"/>
                <w:color w:val="auto"/>
              </w:rPr>
            </w:pPr>
            <w:r>
              <w:rPr>
                <w:rFonts w:ascii="Arial" w:cs="Arial" w:eastAsia="Arial" w:hAnsi="Arial"/>
                <w:sz w:val="14"/>
                <w:szCs w:val="14"/>
                <w:i w:val="1"/>
                <w:iCs w:val="1"/>
                <w:color w:val="auto"/>
              </w:rPr>
              <w:t>(millions of dollars)</w:t>
            </w:r>
          </w:p>
        </w:tc>
        <w:tc>
          <w:tcPr>
            <w:tcW w:w="1000" w:type="dxa"/>
            <w:vAlign w:val="bottom"/>
          </w:tcPr>
          <w:p>
            <w:pPr>
              <w:spacing w:after="0"/>
              <w:rPr>
                <w:sz w:val="16"/>
                <w:szCs w:val="16"/>
                <w:color w:val="auto"/>
              </w:rPr>
            </w:pPr>
          </w:p>
        </w:tc>
      </w:tr>
      <w:tr>
        <w:trPr>
          <w:trHeight w:val="268"/>
        </w:trPr>
        <w:tc>
          <w:tcPr>
            <w:tcW w:w="7480" w:type="dxa"/>
            <w:vAlign w:val="bottom"/>
          </w:tcPr>
          <w:p>
            <w:pPr>
              <w:ind w:left="20"/>
              <w:spacing w:after="0"/>
              <w:rPr>
                <w:sz w:val="20"/>
                <w:szCs w:val="20"/>
                <w:color w:val="auto"/>
              </w:rPr>
            </w:pPr>
            <w:r>
              <w:rPr>
                <w:rFonts w:ascii="Arial" w:cs="Arial" w:eastAsia="Arial" w:hAnsi="Arial"/>
                <w:sz w:val="18"/>
                <w:szCs w:val="18"/>
                <w:color w:val="auto"/>
              </w:rPr>
              <w:t>Income taxes</w:t>
            </w:r>
          </w:p>
        </w:tc>
        <w:tc>
          <w:tcPr>
            <w:tcW w:w="1240" w:type="dxa"/>
            <w:vAlign w:val="bottom"/>
          </w:tcPr>
          <w:p>
            <w:pPr>
              <w:jc w:val="right"/>
              <w:ind w:right="194"/>
              <w:spacing w:after="0"/>
              <w:rPr>
                <w:sz w:val="20"/>
                <w:szCs w:val="20"/>
                <w:color w:val="auto"/>
              </w:rPr>
            </w:pPr>
            <w:r>
              <w:rPr>
                <w:rFonts w:ascii="Arial" w:cs="Arial" w:eastAsia="Arial" w:hAnsi="Arial"/>
                <w:sz w:val="18"/>
                <w:szCs w:val="18"/>
                <w:color w:val="auto"/>
              </w:rPr>
              <w:t>7,636</w:t>
            </w:r>
          </w:p>
        </w:tc>
        <w:tc>
          <w:tcPr>
            <w:tcW w:w="1520" w:type="dxa"/>
            <w:vAlign w:val="bottom"/>
          </w:tcPr>
          <w:p>
            <w:pPr>
              <w:jc w:val="right"/>
              <w:ind w:right="396"/>
              <w:spacing w:after="0"/>
              <w:rPr>
                <w:sz w:val="20"/>
                <w:szCs w:val="20"/>
                <w:color w:val="auto"/>
              </w:rPr>
            </w:pPr>
            <w:r>
              <w:rPr>
                <w:rFonts w:ascii="Arial" w:cs="Arial" w:eastAsia="Arial" w:hAnsi="Arial"/>
                <w:sz w:val="18"/>
                <w:szCs w:val="18"/>
                <w:color w:val="auto"/>
              </w:rPr>
              <w:t>(5,632)</w:t>
            </w:r>
          </w:p>
        </w:tc>
        <w:tc>
          <w:tcPr>
            <w:tcW w:w="1000" w:type="dxa"/>
            <w:vAlign w:val="bottom"/>
          </w:tcPr>
          <w:p>
            <w:pPr>
              <w:jc w:val="right"/>
              <w:ind w:right="134"/>
              <w:spacing w:after="0"/>
              <w:rPr>
                <w:sz w:val="20"/>
                <w:szCs w:val="20"/>
                <w:color w:val="auto"/>
              </w:rPr>
            </w:pPr>
            <w:r>
              <w:rPr>
                <w:rFonts w:ascii="Arial" w:cs="Arial" w:eastAsia="Arial" w:hAnsi="Arial"/>
                <w:sz w:val="18"/>
                <w:szCs w:val="18"/>
                <w:color w:val="auto"/>
              </w:rPr>
              <w:t>5,282</w:t>
            </w:r>
          </w:p>
        </w:tc>
      </w:tr>
      <w:tr>
        <w:trPr>
          <w:trHeight w:val="229"/>
        </w:trPr>
        <w:tc>
          <w:tcPr>
            <w:tcW w:w="7480" w:type="dxa"/>
            <w:vAlign w:val="bottom"/>
          </w:tcPr>
          <w:p>
            <w:pPr>
              <w:ind w:left="220"/>
              <w:spacing w:after="0"/>
              <w:rPr>
                <w:sz w:val="20"/>
                <w:szCs w:val="20"/>
                <w:color w:val="auto"/>
              </w:rPr>
            </w:pPr>
            <w:r>
              <w:rPr>
                <w:rFonts w:ascii="Arial" w:cs="Arial" w:eastAsia="Arial" w:hAnsi="Arial"/>
                <w:sz w:val="18"/>
                <w:szCs w:val="18"/>
                <w:i w:val="1"/>
                <w:iCs w:val="1"/>
                <w:color w:val="auto"/>
              </w:rPr>
              <w:t>Effective income tax rate</w:t>
            </w: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31 %</w:t>
            </w:r>
          </w:p>
        </w:tc>
        <w:tc>
          <w:tcPr>
            <w:tcW w:w="1520" w:type="dxa"/>
            <w:vAlign w:val="bottom"/>
          </w:tcPr>
          <w:p>
            <w:pPr>
              <w:jc w:val="right"/>
              <w:ind w:right="236"/>
              <w:spacing w:after="0"/>
              <w:rPr>
                <w:sz w:val="20"/>
                <w:szCs w:val="20"/>
                <w:color w:val="auto"/>
              </w:rPr>
            </w:pPr>
            <w:r>
              <w:rPr>
                <w:rFonts w:ascii="Arial" w:cs="Arial" w:eastAsia="Arial" w:hAnsi="Arial"/>
                <w:sz w:val="18"/>
                <w:szCs w:val="18"/>
                <w:i w:val="1"/>
                <w:iCs w:val="1"/>
                <w:color w:val="auto"/>
              </w:rPr>
              <w:t>17 %</w:t>
            </w:r>
          </w:p>
        </w:tc>
        <w:tc>
          <w:tcPr>
            <w:tcW w:w="1000" w:type="dxa"/>
            <w:vAlign w:val="bottom"/>
          </w:tcPr>
          <w:p>
            <w:pPr>
              <w:jc w:val="right"/>
              <w:spacing w:after="0"/>
              <w:rPr>
                <w:sz w:val="20"/>
                <w:szCs w:val="20"/>
                <w:color w:val="auto"/>
              </w:rPr>
            </w:pPr>
            <w:r>
              <w:rPr>
                <w:rFonts w:ascii="Arial" w:cs="Arial" w:eastAsia="Arial" w:hAnsi="Arial"/>
                <w:sz w:val="18"/>
                <w:szCs w:val="18"/>
                <w:i w:val="1"/>
                <w:iCs w:val="1"/>
                <w:color w:val="auto"/>
              </w:rPr>
              <w:t>34 %</w:t>
            </w:r>
          </w:p>
        </w:tc>
      </w:tr>
      <w:tr>
        <w:trPr>
          <w:trHeight w:val="230"/>
        </w:trPr>
        <w:tc>
          <w:tcPr>
            <w:tcW w:w="7480" w:type="dxa"/>
            <w:vAlign w:val="bottom"/>
          </w:tcPr>
          <w:p>
            <w:pPr>
              <w:ind w:left="20"/>
              <w:spacing w:after="0"/>
              <w:rPr>
                <w:sz w:val="20"/>
                <w:szCs w:val="20"/>
                <w:color w:val="auto"/>
              </w:rPr>
            </w:pPr>
            <w:r>
              <w:rPr>
                <w:rFonts w:ascii="Arial" w:cs="Arial" w:eastAsia="Arial" w:hAnsi="Arial"/>
                <w:sz w:val="18"/>
                <w:szCs w:val="18"/>
                <w:color w:val="auto"/>
              </w:rPr>
              <w:t>Total other taxes and duties</w:t>
            </w:r>
          </w:p>
        </w:tc>
        <w:tc>
          <w:tcPr>
            <w:tcW w:w="124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rPr>
              <w:t>32,955</w:t>
            </w:r>
          </w:p>
        </w:tc>
        <w:tc>
          <w:tcPr>
            <w:tcW w:w="1520" w:type="dxa"/>
            <w:vAlign w:val="bottom"/>
            <w:tcBorders>
              <w:bottom w:val="single" w:sz="8" w:color="auto"/>
            </w:tcBorders>
          </w:tcPr>
          <w:p>
            <w:pPr>
              <w:jc w:val="right"/>
              <w:ind w:right="436"/>
              <w:spacing w:after="0"/>
              <w:rPr>
                <w:sz w:val="20"/>
                <w:szCs w:val="20"/>
                <w:color w:val="auto"/>
              </w:rPr>
            </w:pPr>
            <w:r>
              <w:rPr>
                <w:rFonts w:ascii="Arial" w:cs="Arial" w:eastAsia="Arial" w:hAnsi="Arial"/>
                <w:sz w:val="18"/>
                <w:szCs w:val="18"/>
                <w:color w:val="auto"/>
              </w:rPr>
              <w:t>28,425</w:t>
            </w:r>
          </w:p>
        </w:tc>
        <w:tc>
          <w:tcPr>
            <w:tcW w:w="100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33,186</w:t>
            </w:r>
          </w:p>
        </w:tc>
      </w:tr>
      <w:tr>
        <w:trPr>
          <w:trHeight w:val="223"/>
        </w:trPr>
        <w:tc>
          <w:tcPr>
            <w:tcW w:w="7480" w:type="dxa"/>
            <w:vAlign w:val="bottom"/>
          </w:tcPr>
          <w:p>
            <w:pPr>
              <w:ind w:left="220"/>
              <w:spacing w:after="0"/>
              <w:rPr>
                <w:sz w:val="20"/>
                <w:szCs w:val="20"/>
                <w:color w:val="auto"/>
              </w:rPr>
            </w:pPr>
            <w:r>
              <w:rPr>
                <w:rFonts w:ascii="Arial" w:cs="Arial" w:eastAsia="Arial" w:hAnsi="Arial"/>
                <w:sz w:val="18"/>
                <w:szCs w:val="18"/>
                <w:color w:val="auto"/>
              </w:rPr>
              <w:t>Total</w:t>
            </w:r>
          </w:p>
        </w:tc>
        <w:tc>
          <w:tcPr>
            <w:tcW w:w="124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rPr>
              <w:t>40,591</w:t>
            </w:r>
          </w:p>
        </w:tc>
        <w:tc>
          <w:tcPr>
            <w:tcW w:w="1520" w:type="dxa"/>
            <w:vAlign w:val="bottom"/>
            <w:tcBorders>
              <w:bottom w:val="single" w:sz="8" w:color="auto"/>
            </w:tcBorders>
          </w:tcPr>
          <w:p>
            <w:pPr>
              <w:jc w:val="right"/>
              <w:ind w:right="436"/>
              <w:spacing w:after="0"/>
              <w:rPr>
                <w:sz w:val="20"/>
                <w:szCs w:val="20"/>
                <w:color w:val="auto"/>
              </w:rPr>
            </w:pPr>
            <w:r>
              <w:rPr>
                <w:rFonts w:ascii="Arial" w:cs="Arial" w:eastAsia="Arial" w:hAnsi="Arial"/>
                <w:sz w:val="18"/>
                <w:szCs w:val="18"/>
                <w:color w:val="auto"/>
              </w:rPr>
              <w:t>22,793</w:t>
            </w:r>
          </w:p>
        </w:tc>
        <w:tc>
          <w:tcPr>
            <w:tcW w:w="100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38,468</w:t>
            </w: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w:t>
      </w:r>
    </w:p>
    <w:p>
      <w:pPr>
        <w:spacing w:after="0" w:line="10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Total taxes on the Corporation’s income statement were $40.6 billion in 2021, an increase of $17.8 billion from 2020. Income tax expense, both current and deferred, was $7.6 billion compared to a $5.6 billion benefit in 2020. The effective tax rate, which is calculated based on consolidated company income taxes and ExxonMobil’s share of equity company income taxes, was 31 percent compared to 17 percent in the prior year due primarily to a change in mix of results in jurisdictions with varying tax rates. Total other taxes and duties of $33.0 billion in 2021 increased $4.5 billion.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w:t>
      </w:r>
    </w:p>
    <w:p>
      <w:pPr>
        <w:spacing w:after="0" w:line="1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Total taxes on the Corporation’s income statement were $22.8 billion in 2020, a decrease of $15.7 billion from 2019. Income tax expense, both current and deferred, was a benefit of $5.6 billion compared to $5.3 billion expense in 2019. The relative benefit was driven by asset impairments recorded in 2020. The effective tax rate, which is calculated based on consolidated company income taxes and ExxonMobil’s share of equity company income taxes, was 17 percent compared to 34 percent in the prior year due primarily to a change in mix of results in jurisdictions with varying tax rates. Total other taxes and duties of $28.4 billion in 2020 decreased $4.8 billion.</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62" w:name="page63"/>
    <w:bookmarkEnd w:id="62"/>
    <w:p>
      <w:pPr>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Expenditures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020" w:type="dxa"/>
            <w:vAlign w:val="bottom"/>
          </w:tcPr>
          <w:p>
            <w:pPr>
              <w:spacing w:after="0"/>
              <w:rPr>
                <w:sz w:val="16"/>
                <w:szCs w:val="16"/>
                <w:color w:val="auto"/>
              </w:rPr>
            </w:pPr>
          </w:p>
        </w:tc>
        <w:tc>
          <w:tcPr>
            <w:tcW w:w="1720" w:type="dxa"/>
            <w:vAlign w:val="bottom"/>
          </w:tcPr>
          <w:p>
            <w:pPr>
              <w:jc w:val="right"/>
              <w:ind w:right="597"/>
              <w:spacing w:after="0"/>
              <w:rPr>
                <w:sz w:val="20"/>
                <w:szCs w:val="20"/>
                <w:color w:val="auto"/>
              </w:rPr>
            </w:pPr>
            <w:r>
              <w:rPr>
                <w:rFonts w:ascii="Arial" w:cs="Arial" w:eastAsia="Arial" w:hAnsi="Arial"/>
                <w:sz w:val="14"/>
                <w:szCs w:val="14"/>
                <w:b w:val="1"/>
                <w:bCs w:val="1"/>
                <w:color w:val="auto"/>
              </w:rPr>
              <w:t>2021</w:t>
            </w: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r>
      <w:tr>
        <w:trPr>
          <w:trHeight w:val="39"/>
        </w:trPr>
        <w:tc>
          <w:tcPr>
            <w:tcW w:w="902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r>
      <w:tr>
        <w:trPr>
          <w:trHeight w:val="184"/>
        </w:trPr>
        <w:tc>
          <w:tcPr>
            <w:tcW w:w="902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Arial" w:cs="Arial" w:eastAsia="Arial" w:hAnsi="Arial"/>
                <w:sz w:val="14"/>
                <w:szCs w:val="14"/>
                <w:i w:val="1"/>
                <w:iCs w:val="1"/>
                <w:color w:val="auto"/>
              </w:rPr>
              <w:t>(millions of dollars)</w:t>
            </w:r>
          </w:p>
        </w:tc>
        <w:tc>
          <w:tcPr>
            <w:tcW w:w="500" w:type="dxa"/>
            <w:vAlign w:val="bottom"/>
          </w:tcPr>
          <w:p>
            <w:pPr>
              <w:spacing w:after="0"/>
              <w:rPr>
                <w:sz w:val="16"/>
                <w:szCs w:val="16"/>
                <w:color w:val="auto"/>
              </w:rPr>
            </w:pPr>
          </w:p>
        </w:tc>
      </w:tr>
      <w:tr>
        <w:trPr>
          <w:trHeight w:val="268"/>
        </w:trPr>
        <w:tc>
          <w:tcPr>
            <w:tcW w:w="902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1720" w:type="dxa"/>
            <w:vAlign w:val="bottom"/>
          </w:tcPr>
          <w:p>
            <w:pPr>
              <w:jc w:val="right"/>
              <w:ind w:right="657"/>
              <w:spacing w:after="0"/>
              <w:rPr>
                <w:sz w:val="20"/>
                <w:szCs w:val="20"/>
                <w:color w:val="auto"/>
              </w:rPr>
            </w:pPr>
            <w:r>
              <w:rPr>
                <w:rFonts w:ascii="Arial" w:cs="Arial" w:eastAsia="Arial" w:hAnsi="Arial"/>
                <w:sz w:val="18"/>
                <w:szCs w:val="18"/>
                <w:color w:val="auto"/>
              </w:rPr>
              <w:t>1,202</w:t>
            </w:r>
          </w:p>
        </w:tc>
        <w:tc>
          <w:tcPr>
            <w:tcW w:w="500" w:type="dxa"/>
            <w:vAlign w:val="bottom"/>
          </w:tcPr>
          <w:p>
            <w:pPr>
              <w:jc w:val="right"/>
              <w:spacing w:after="0"/>
              <w:rPr>
                <w:sz w:val="20"/>
                <w:szCs w:val="20"/>
                <w:color w:val="auto"/>
              </w:rPr>
            </w:pPr>
            <w:r>
              <w:rPr>
                <w:rFonts w:ascii="Arial" w:cs="Arial" w:eastAsia="Arial" w:hAnsi="Arial"/>
                <w:sz w:val="18"/>
                <w:szCs w:val="18"/>
                <w:color w:val="auto"/>
                <w:w w:val="88"/>
              </w:rPr>
              <w:t>1,087</w:t>
            </w:r>
          </w:p>
        </w:tc>
      </w:tr>
      <w:tr>
        <w:trPr>
          <w:trHeight w:val="230"/>
        </w:trPr>
        <w:tc>
          <w:tcPr>
            <w:tcW w:w="9020" w:type="dxa"/>
            <w:vAlign w:val="bottom"/>
          </w:tcPr>
          <w:p>
            <w:pPr>
              <w:ind w:left="20"/>
              <w:spacing w:after="0"/>
              <w:rPr>
                <w:sz w:val="20"/>
                <w:szCs w:val="20"/>
                <w:color w:val="auto"/>
              </w:rPr>
            </w:pPr>
            <w:r>
              <w:rPr>
                <w:rFonts w:ascii="Arial" w:cs="Arial" w:eastAsia="Arial" w:hAnsi="Arial"/>
                <w:sz w:val="18"/>
                <w:szCs w:val="18"/>
                <w:color w:val="auto"/>
              </w:rPr>
              <w:t>Other expenditures</w:t>
            </w:r>
          </w:p>
        </w:tc>
        <w:tc>
          <w:tcPr>
            <w:tcW w:w="1720" w:type="dxa"/>
            <w:vAlign w:val="bottom"/>
            <w:tcBorders>
              <w:bottom w:val="single" w:sz="8" w:color="auto"/>
            </w:tcBorders>
          </w:tcPr>
          <w:p>
            <w:pPr>
              <w:jc w:val="right"/>
              <w:ind w:right="657"/>
              <w:spacing w:after="0"/>
              <w:rPr>
                <w:sz w:val="20"/>
                <w:szCs w:val="20"/>
                <w:color w:val="auto"/>
              </w:rPr>
            </w:pPr>
            <w:r>
              <w:rPr>
                <w:rFonts w:ascii="Arial" w:cs="Arial" w:eastAsia="Arial" w:hAnsi="Arial"/>
                <w:sz w:val="18"/>
                <w:szCs w:val="18"/>
                <w:color w:val="auto"/>
              </w:rPr>
              <w:t>3,361</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3,389</w:t>
            </w:r>
          </w:p>
        </w:tc>
      </w:tr>
      <w:tr>
        <w:trPr>
          <w:trHeight w:val="223"/>
        </w:trPr>
        <w:tc>
          <w:tcPr>
            <w:tcW w:w="9020" w:type="dxa"/>
            <w:vAlign w:val="bottom"/>
          </w:tcPr>
          <w:p>
            <w:pPr>
              <w:ind w:left="220"/>
              <w:spacing w:after="0"/>
              <w:rPr>
                <w:sz w:val="20"/>
                <w:szCs w:val="20"/>
                <w:color w:val="auto"/>
              </w:rPr>
            </w:pPr>
            <w:r>
              <w:rPr>
                <w:rFonts w:ascii="Arial" w:cs="Arial" w:eastAsia="Arial" w:hAnsi="Arial"/>
                <w:sz w:val="18"/>
                <w:szCs w:val="18"/>
                <w:color w:val="auto"/>
              </w:rPr>
              <w:t>Total</w:t>
            </w:r>
          </w:p>
        </w:tc>
        <w:tc>
          <w:tcPr>
            <w:tcW w:w="1720" w:type="dxa"/>
            <w:vAlign w:val="bottom"/>
            <w:tcBorders>
              <w:bottom w:val="single" w:sz="8" w:color="auto"/>
            </w:tcBorders>
          </w:tcPr>
          <w:p>
            <w:pPr>
              <w:jc w:val="right"/>
              <w:ind w:right="657"/>
              <w:spacing w:after="0"/>
              <w:rPr>
                <w:sz w:val="20"/>
                <w:szCs w:val="20"/>
                <w:color w:val="auto"/>
              </w:rPr>
            </w:pPr>
            <w:r>
              <w:rPr>
                <w:rFonts w:ascii="Arial" w:cs="Arial" w:eastAsia="Arial" w:hAnsi="Arial"/>
                <w:sz w:val="18"/>
                <w:szCs w:val="18"/>
                <w:color w:val="auto"/>
              </w:rPr>
              <w:t>4,563</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4,476</w:t>
            </w:r>
          </w:p>
        </w:tc>
      </w:tr>
    </w:tbl>
    <w:p>
      <w:pPr>
        <w:spacing w:after="0" w:line="29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Throughout ExxonMobil’s businesses, new and ongoing measures are taken to prevent and minimize the impact of our operations on air, water and ground. These include a significant investment in refining infrastructure and technology to manufacture clean fuels, as well as projects to monitor and reduce nitrogen oxide, sulfur oxide and greenhouse gas emissions, and expenditures for asset retirement obligations. Using definitions and guidelines established by the American Petroleum Institute, ExxonMobil’s 2021 worldwide environmental expenditures for all such preventative and remediation steps, including ExxonMobil’s share of equity company expenditures, were $4.6 billion, of which $3.4 billion were included in expenses with the remainder in capital expenditures. The total cost for such activities is expected to increase to approximately $5.3 billion in 2022, with capital expenditures expected to account for approximately 30 percent of the total. Costs for 2023 are anticipated to be higher as the Low Carbon Solutions business matures and the Corporation progresses its emission-reduction plans.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Liabilities</w:t>
      </w:r>
    </w:p>
    <w:p>
      <w:pPr>
        <w:spacing w:after="0" w:line="9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Corporation accrues environmental liabilities when it is probable that obligations have been incurred and the amounts can be reasonably estimated. This policy applies to assets or businesses currently owned or previously disposed. ExxonMobil has accrued liabilities for probable environmental remediation obligations at various sites, including multiparty sites where the U.S. Environmental Protection Agency has identified ExxonMobil as one of the potentially responsible parties. The involvement of other financially responsible companies at these multiparty sites could mitigate ExxonMobil’s actual joint and several liability exposure. At present, no individual site is expected to have losses material to ExxonMobil’s operations or financial condition. Consolidated company provisions made in 2021 for environmental liabilities were $146 million ($263 million in 2020) and the balance sheet reflects liabilities of $807 million as of December 31, 2021, and $902 million as of December 31, 2020.</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40" w:type="dxa"/>
            <w:vAlign w:val="bottom"/>
          </w:tcPr>
          <w:p>
            <w:pPr>
              <w:spacing w:after="0"/>
              <w:rPr>
                <w:sz w:val="20"/>
                <w:szCs w:val="20"/>
                <w:color w:val="auto"/>
              </w:rPr>
            </w:pPr>
            <w:r>
              <w:rPr>
                <w:rFonts w:ascii="Arial" w:cs="Arial" w:eastAsia="Arial" w:hAnsi="Arial"/>
                <w:sz w:val="18"/>
                <w:szCs w:val="18"/>
                <w:b w:val="1"/>
                <w:bCs w:val="1"/>
                <w:color w:val="auto"/>
              </w:rPr>
              <w:t>MARKET RISKS</w:t>
            </w:r>
          </w:p>
        </w:tc>
        <w:tc>
          <w:tcPr>
            <w:tcW w:w="36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418"/>
        </w:trPr>
        <w:tc>
          <w:tcPr>
            <w:tcW w:w="56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 xml:space="preserve">Worldwide Average Realizations </w:t>
            </w:r>
            <w:r>
              <w:rPr>
                <w:rFonts w:ascii="Arial" w:cs="Arial" w:eastAsia="Arial" w:hAnsi="Arial"/>
                <w:sz w:val="14"/>
                <w:szCs w:val="14"/>
                <w:i w:val="1"/>
                <w:iCs w:val="1"/>
                <w:color w:val="auto"/>
              </w:rPr>
              <w:t>(1)</w:t>
            </w:r>
          </w:p>
        </w:tc>
        <w:tc>
          <w:tcPr>
            <w:tcW w:w="362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2021</w:t>
            </w:r>
          </w:p>
        </w:tc>
        <w:tc>
          <w:tcPr>
            <w:tcW w:w="116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2020</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r>
      <w:tr>
        <w:trPr>
          <w:trHeight w:val="222"/>
        </w:trPr>
        <w:tc>
          <w:tcPr>
            <w:tcW w:w="5640" w:type="dxa"/>
            <w:vAlign w:val="bottom"/>
          </w:tcPr>
          <w:p>
            <w:pPr>
              <w:ind w:left="20"/>
              <w:spacing w:after="0"/>
              <w:rPr>
                <w:sz w:val="20"/>
                <w:szCs w:val="20"/>
                <w:color w:val="auto"/>
              </w:rPr>
            </w:pPr>
            <w:r>
              <w:rPr>
                <w:rFonts w:ascii="Arial" w:cs="Arial" w:eastAsia="Arial" w:hAnsi="Arial"/>
                <w:sz w:val="18"/>
                <w:szCs w:val="18"/>
                <w:color w:val="auto"/>
              </w:rPr>
              <w:t>Crude oil and NGL ($ per barrel)</w:t>
            </w:r>
          </w:p>
        </w:tc>
        <w:tc>
          <w:tcPr>
            <w:tcW w:w="3620" w:type="dxa"/>
            <w:vAlign w:val="bottom"/>
          </w:tcPr>
          <w:p>
            <w:pPr>
              <w:jc w:val="right"/>
              <w:ind w:right="336"/>
              <w:spacing w:after="0"/>
              <w:rPr>
                <w:sz w:val="20"/>
                <w:szCs w:val="20"/>
                <w:color w:val="auto"/>
              </w:rPr>
            </w:pPr>
            <w:r>
              <w:rPr>
                <w:rFonts w:ascii="Arial" w:cs="Arial" w:eastAsia="Arial" w:hAnsi="Arial"/>
                <w:sz w:val="18"/>
                <w:szCs w:val="18"/>
                <w:color w:val="auto"/>
              </w:rPr>
              <w:t>61.89</w:t>
            </w:r>
          </w:p>
        </w:tc>
        <w:tc>
          <w:tcPr>
            <w:tcW w:w="1160" w:type="dxa"/>
            <w:vAlign w:val="bottom"/>
          </w:tcPr>
          <w:p>
            <w:pPr>
              <w:jc w:val="right"/>
              <w:ind w:right="336"/>
              <w:spacing w:after="0"/>
              <w:rPr>
                <w:sz w:val="20"/>
                <w:szCs w:val="20"/>
                <w:color w:val="auto"/>
              </w:rPr>
            </w:pPr>
            <w:r>
              <w:rPr>
                <w:rFonts w:ascii="Arial" w:cs="Arial" w:eastAsia="Arial" w:hAnsi="Arial"/>
                <w:sz w:val="18"/>
                <w:szCs w:val="18"/>
                <w:color w:val="auto"/>
              </w:rPr>
              <w:t>35.41</w:t>
            </w:r>
          </w:p>
        </w:tc>
        <w:tc>
          <w:tcPr>
            <w:tcW w:w="820" w:type="dxa"/>
            <w:vAlign w:val="bottom"/>
          </w:tcPr>
          <w:p>
            <w:pPr>
              <w:jc w:val="right"/>
              <w:spacing w:after="0"/>
              <w:rPr>
                <w:sz w:val="20"/>
                <w:szCs w:val="20"/>
                <w:color w:val="auto"/>
              </w:rPr>
            </w:pPr>
            <w:r>
              <w:rPr>
                <w:rFonts w:ascii="Arial" w:cs="Arial" w:eastAsia="Arial" w:hAnsi="Arial"/>
                <w:sz w:val="18"/>
                <w:szCs w:val="18"/>
                <w:color w:val="auto"/>
              </w:rPr>
              <w:t>56.32</w:t>
            </w:r>
          </w:p>
        </w:tc>
      </w:tr>
      <w:tr>
        <w:trPr>
          <w:trHeight w:val="230"/>
        </w:trPr>
        <w:tc>
          <w:tcPr>
            <w:tcW w:w="5640" w:type="dxa"/>
            <w:vAlign w:val="bottom"/>
          </w:tcPr>
          <w:p>
            <w:pPr>
              <w:ind w:left="20"/>
              <w:spacing w:after="0"/>
              <w:rPr>
                <w:sz w:val="20"/>
                <w:szCs w:val="20"/>
                <w:color w:val="auto"/>
              </w:rPr>
            </w:pPr>
            <w:r>
              <w:rPr>
                <w:rFonts w:ascii="Arial" w:cs="Arial" w:eastAsia="Arial" w:hAnsi="Arial"/>
                <w:sz w:val="18"/>
                <w:szCs w:val="18"/>
                <w:color w:val="auto"/>
              </w:rPr>
              <w:t>Natural gas ($ per thousand cubic feet)</w:t>
            </w:r>
          </w:p>
        </w:tc>
        <w:tc>
          <w:tcPr>
            <w:tcW w:w="3620" w:type="dxa"/>
            <w:vAlign w:val="bottom"/>
          </w:tcPr>
          <w:p>
            <w:pPr>
              <w:jc w:val="right"/>
              <w:ind w:right="336"/>
              <w:spacing w:after="0"/>
              <w:rPr>
                <w:sz w:val="20"/>
                <w:szCs w:val="20"/>
                <w:color w:val="auto"/>
              </w:rPr>
            </w:pPr>
            <w:r>
              <w:rPr>
                <w:rFonts w:ascii="Arial" w:cs="Arial" w:eastAsia="Arial" w:hAnsi="Arial"/>
                <w:sz w:val="18"/>
                <w:szCs w:val="18"/>
                <w:color w:val="auto"/>
              </w:rPr>
              <w:t>4.33</w:t>
            </w:r>
          </w:p>
        </w:tc>
        <w:tc>
          <w:tcPr>
            <w:tcW w:w="1160" w:type="dxa"/>
            <w:vAlign w:val="bottom"/>
          </w:tcPr>
          <w:p>
            <w:pPr>
              <w:jc w:val="right"/>
              <w:ind w:right="336"/>
              <w:spacing w:after="0"/>
              <w:rPr>
                <w:sz w:val="20"/>
                <w:szCs w:val="20"/>
                <w:color w:val="auto"/>
              </w:rPr>
            </w:pPr>
            <w:r>
              <w:rPr>
                <w:rFonts w:ascii="Arial" w:cs="Arial" w:eastAsia="Arial" w:hAnsi="Arial"/>
                <w:sz w:val="18"/>
                <w:szCs w:val="18"/>
                <w:color w:val="auto"/>
              </w:rPr>
              <w:t>2.01</w:t>
            </w:r>
          </w:p>
        </w:tc>
        <w:tc>
          <w:tcPr>
            <w:tcW w:w="820" w:type="dxa"/>
            <w:vAlign w:val="bottom"/>
          </w:tcPr>
          <w:p>
            <w:pPr>
              <w:jc w:val="right"/>
              <w:spacing w:after="0"/>
              <w:rPr>
                <w:sz w:val="20"/>
                <w:szCs w:val="20"/>
                <w:color w:val="auto"/>
              </w:rPr>
            </w:pPr>
            <w:r>
              <w:rPr>
                <w:rFonts w:ascii="Arial" w:cs="Arial" w:eastAsia="Arial" w:hAnsi="Arial"/>
                <w:sz w:val="18"/>
                <w:szCs w:val="18"/>
                <w:color w:val="auto"/>
              </w:rPr>
              <w:t>3.05</w:t>
            </w: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 Consolidated subsidiaries.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Crude oil, natural gas, petroleum product and chemical prices have fluctuated in response to changing market forces. The impacts of these price fluctuations on earnings from Upstream, Downstream and Chemical operations have varied. For the year 2022, a $1 per barrel change in the weighted-average realized price of oil would have approximately a $500 million annual after-tax effect on Upstream consolidated plus equity company earnings, excluding the impact of derivatives. Similarly, a $0.10 per thousand cubic feet change in the worldwide average gas realization would have approximately a $155 million annual after-tax effect on Upstream consolidated plus equity company earnings, excluding the impact of derivatives. For any given period, the extent of actual benefit or detriment will be dependent on the price movements of individual types of crude oil, results of trading activities, taxes and other government take impacts, price adjustment lags in long-term gas contracts, and crude and gas production volumes. Accordingly, changes in benchmark prices for crude oil and natural gas only provide broad indicators of changes in the earnings experienced in any particular period.</w:t>
      </w:r>
    </w:p>
    <w:p>
      <w:pPr>
        <w:spacing w:after="0" w:line="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very competitive downstream and chemical environments, earnings are primarily determined by margin capture rather than absolute price levels of products sold. Refining margins are a function of the difference between what a refiner pays for its raw materials (primarily crude oil) and the market prices for the range of products produced. These prices in turn depend on global and regional supply/demand balances, inventory levels, refinery operations, import/export balances and weather.</w:t>
      </w:r>
    </w:p>
    <w:p>
      <w:pPr>
        <w:spacing w:after="0" w:line="65"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global energy markets can give rise to extended periods in which market conditions are adverse to one or more of the Corporation’s businesses. Such conditions, along with the capital-intensive nature of the industry and very long lead times associated with many of our projects, underscore the importance of maintaining a strong financial position. Management views the Corporation’s financial strength as a competitive advantage.</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63" w:name="page64"/>
    <w:bookmarkEnd w:id="63"/>
    <w:p>
      <w:pPr>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general, segment results are not dependent on the ability to sell and/or purchase products to/from other segments. Instead, where such sales take place, they are the result of efficiencies and competitive advantages of integrated refinery and chemical complexes. Additionally, intersegment sales are at market-based prices. The products bought and sold between segments can also be acquired in worldwide markets that have substantial liquidity, capacity, and transportation capabilities. Refer to Note 18 for additional information on intersegment revenue.</w:t>
      </w:r>
    </w:p>
    <w:p>
      <w:pPr>
        <w:spacing w:after="0" w:line="25" w:lineRule="exact"/>
        <w:rPr>
          <w:sz w:val="20"/>
          <w:szCs w:val="20"/>
          <w:color w:val="auto"/>
        </w:rPr>
      </w:pPr>
    </w:p>
    <w:p>
      <w:pPr>
        <w:jc w:val="both"/>
        <w:spacing w:after="0" w:line="305" w:lineRule="auto"/>
        <w:rPr>
          <w:sz w:val="20"/>
          <w:szCs w:val="20"/>
          <w:color w:val="auto"/>
        </w:rPr>
      </w:pPr>
      <w:r>
        <w:rPr>
          <w:rFonts w:ascii="Arial" w:cs="Arial" w:eastAsia="Arial" w:hAnsi="Arial"/>
          <w:sz w:val="16"/>
          <w:szCs w:val="16"/>
          <w:color w:val="auto"/>
        </w:rPr>
        <w:t>Although price levels of crude oil and natural gas may rise or fall significantly over the short to medium term due to global economic conditions, political events, decisions by OPEC and other major government resource owners and other factors, industry economics over the long term will continue to be driven by market supply and demand. Accordingly, the Corporation evaluates the viability of its major investments over a range of prices.</w:t>
      </w:r>
    </w:p>
    <w:p>
      <w:pPr>
        <w:spacing w:after="0" w:line="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Corporation has an active asset management program in which underperforming assets are either improved to acceptable levels or considered for divestment. The asset management program includes a disciplined, regular review to ensure that assets are contributing to the Corporation’s strategic objectives.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6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Corporation’s size, strong capital structure, geographic diversity and the complementary nature of the Upstream, Downstream and Chemical businesses reduce the Corporation’s enterprise-wide risk from changes in commodity prices, currency rates and interest rates. In addition, the Corporation uses commodity-based contracts, including derivatives, to manage commodity price risk and to generate returns from trading. The Corporation’s commodity derivatives are not accounted for under hedge accounting. At times, the Corporation also enters into currency and interest rate derivatives, none of which are material to the Corporation’s financial position as of December 31, 2021 and 2020, or results of operations for the years ended 2021, 2020 and 2019. Credit risk associated with the Corporation’s derivative position is mitigated by several factors, including the use of derivative clearing exchanges and the quality of and financial limits placed on derivative counterparties. No material market or credit risks to the Corporation’s financial position, results of operations or liquidity exist as a result of the derivatives described in Note 13. The Corporation maintains a system of controls that includes the authorization, reporting and monitoring of derivative activity.</w:t>
      </w:r>
    </w:p>
    <w:p>
      <w:pPr>
        <w:spacing w:after="0" w:line="19"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The Corporation is exposed to changes in interest rates, primarily on its short-term debt and the portion of long-term debt that carries floating interest rates. The impact of a 100-basis-point change in interest rates affecting the Corporation’s debt would not be material to earnings or cash flow. The Corporation has access to significant capacity of long-term and short-term liquidity. Internally generated funds are generally expected to cover financial requirements, supplemented by long-term and short-term debt as required. Commercial paper is used to balance short-term liquidity requirements. Some joint-venture partners are dependent on the credit markets, and their funding ability may impact the development pace of joint-venture projects.</w:t>
      </w:r>
    </w:p>
    <w:p>
      <w:pPr>
        <w:spacing w:after="0" w:line="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Corporation conducts business in many foreign currencies and is subject to exchange rate risk on cash flows related to sales, expenses, financing and investment transactions. Fluctuations in exchange rates are often offsetting and the impacts on ExxonMobil’s geographically and functionally diverse operations are varied. The Corporation makes limited use of currency exchange contracts to mitigate the impact of changes in currency values, and exposures related to the Corporation’s use of these contracts are not material.</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64" w:name="page65"/>
    <w:bookmarkEnd w:id="64"/>
    <w:p>
      <w:pPr>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Corporation’s accounting and financial reporting fairly reflect its integrated business model involving exploration for, and production of, crude oil and natural gas; manufacture, trade, transport and sale of crude oil, natural gas, petroleum products, petrochemicals and a wide variety of specialty products; and pursuit of lower-emission business opportunities including carbon capture and storage, hydrogen and biofuels. The preparation of financial statements in conformity with U.S. Generally Accepted Accounting Principles (GAAP) requires management to make estimates and judgments that affect the reported amounts of assets, liabilities, revenues and expenses and the disclosure of contingent assets and liabilities. The Corporation’s accounting policies are summarized in Note 1.</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Oil and Natural Gas Reserves</w:t>
      </w:r>
    </w:p>
    <w:p>
      <w:pPr>
        <w:spacing w:after="0" w:line="10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estimation of proved oil and natural gas reserve volumes is an ongoing process based on rigorous technical evaluations, commercial and market assessments and detailed analysis of well information such as flow rates and reservoir pressure declines, development and production costs, and other factors. The estimation of proved reserves is controlled by the Corporation through long-standing approval guidelines. Reserve changes are made within a well-established, disciplined process driven by senior level geoscience and engineering professionals, assisted by the Global Reserves and Resources Group which has significant technical experience, culminating in reviews with and approval by senior management. Notably, the Corporation does not use specific quantitative reserve targets to determine compensation. Key features of the reserve estimation process are covered in Disclosure of Reserves in Item 2.</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Oil and natural gas reserves include both proved and unproved reserves.</w:t>
      </w:r>
    </w:p>
    <w:p>
      <w:pPr>
        <w:spacing w:after="0" w:line="104" w:lineRule="exact"/>
        <w:rPr>
          <w:sz w:val="20"/>
          <w:szCs w:val="20"/>
          <w:color w:val="auto"/>
        </w:rPr>
      </w:pPr>
    </w:p>
    <w:p>
      <w:pPr>
        <w:jc w:val="both"/>
        <w:ind w:left="500" w:hanging="330"/>
        <w:spacing w:after="0" w:line="259" w:lineRule="auto"/>
        <w:tabs>
          <w:tab w:leader="none" w:pos="495"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Proved oil and natural gas reserves are determined in accordance with Securities and Exchange Commission (SEC) requirements. Proved reserves are those quantities of oil and natural gas which, by analysis of geoscience and engineering data, can be estimated with reasonable certainty to be economically producible under existing economic and operating conditions and government regulations. Proved reserves are determined using the average of first-of-month oil and natural gas prices during the reporting year.</w:t>
      </w:r>
    </w:p>
    <w:p>
      <w:pPr>
        <w:spacing w:after="0" w:line="65" w:lineRule="exact"/>
        <w:rPr>
          <w:rFonts w:ascii="Arial" w:cs="Arial" w:eastAsia="Arial" w:hAnsi="Arial"/>
          <w:sz w:val="18"/>
          <w:szCs w:val="18"/>
          <w:color w:val="auto"/>
        </w:rPr>
      </w:pPr>
    </w:p>
    <w:p>
      <w:pPr>
        <w:jc w:val="both"/>
        <w:ind w:left="500"/>
        <w:spacing w:after="0" w:line="275" w:lineRule="auto"/>
        <w:rPr>
          <w:rFonts w:ascii="Arial" w:cs="Arial" w:eastAsia="Arial" w:hAnsi="Arial"/>
          <w:sz w:val="18"/>
          <w:szCs w:val="18"/>
          <w:color w:val="auto"/>
        </w:rPr>
      </w:pPr>
      <w:r>
        <w:rPr>
          <w:rFonts w:ascii="Arial" w:cs="Arial" w:eastAsia="Arial" w:hAnsi="Arial"/>
          <w:sz w:val="17"/>
          <w:szCs w:val="17"/>
          <w:color w:val="auto"/>
        </w:rPr>
        <w:t>Proved reserves can be further subdivided into developed and undeveloped reserves. Proved developed reserves include amounts which are expected to be recovered through existing wells with existing equipment and operating methods. Proved undeveloped reserves include amounts expected to be recovered from new wells on undrilled proved acreage or from existing wells where a relatively major expenditure is required for completion. Proved undeveloped reserves are recognized only if a development plan has been adopted indicating that the reserves are scheduled to be drilled within five years, unless specific circumstances support a longer period of time.</w:t>
      </w:r>
    </w:p>
    <w:p>
      <w:pPr>
        <w:spacing w:after="0" w:line="41" w:lineRule="exact"/>
        <w:rPr>
          <w:rFonts w:ascii="Arial" w:cs="Arial" w:eastAsia="Arial" w:hAnsi="Arial"/>
          <w:sz w:val="18"/>
          <w:szCs w:val="18"/>
          <w:color w:val="auto"/>
        </w:rPr>
      </w:pPr>
    </w:p>
    <w:p>
      <w:pPr>
        <w:jc w:val="both"/>
        <w:ind w:left="500"/>
        <w:spacing w:after="0" w:line="263" w:lineRule="auto"/>
        <w:rPr>
          <w:rFonts w:ascii="Arial" w:cs="Arial" w:eastAsia="Arial" w:hAnsi="Arial"/>
          <w:sz w:val="18"/>
          <w:szCs w:val="18"/>
          <w:color w:val="auto"/>
        </w:rPr>
      </w:pPr>
      <w:r>
        <w:rPr>
          <w:rFonts w:ascii="Arial" w:cs="Arial" w:eastAsia="Arial" w:hAnsi="Arial"/>
          <w:sz w:val="18"/>
          <w:szCs w:val="18"/>
          <w:color w:val="auto"/>
        </w:rPr>
        <w:t>The Corporation is reasonably certain that proved reserves will be produced. However, the timing and amount recovered can be affected by a number of factors including completion of development projects, reservoir performance, regulatory approvals, government policy, consumer preferences and significant changes in oil and natural gas price levels.</w:t>
      </w:r>
    </w:p>
    <w:p>
      <w:pPr>
        <w:spacing w:after="0" w:line="62" w:lineRule="exact"/>
        <w:rPr>
          <w:rFonts w:ascii="Arial" w:cs="Arial" w:eastAsia="Arial" w:hAnsi="Arial"/>
          <w:sz w:val="18"/>
          <w:szCs w:val="18"/>
          <w:color w:val="auto"/>
        </w:rPr>
      </w:pPr>
    </w:p>
    <w:p>
      <w:pPr>
        <w:ind w:left="500" w:hanging="330"/>
        <w:spacing w:after="0" w:line="277" w:lineRule="auto"/>
        <w:tabs>
          <w:tab w:leader="none" w:pos="495"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Unproved reserves are quantities of oil and natural gas with less than reasonable certainty of recoverability and include probable reserves. Probable reserves are reserves that, together with proved reserves, are as likely as not to be recovered.</w:t>
      </w:r>
    </w:p>
    <w:p>
      <w:pPr>
        <w:spacing w:after="0" w:line="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Revisions in previously estimated volumes of proved reserves for existing fields can occur due to the evaluation or re-evaluation of (1) already available geologic, reservoir or production data, (2) new geologic, reservoir or production data or (3) changes in the average of first-of-month oil and natural gas prices and/or costs that are used in the estimation of reserves. Revisions can also result from significant changes in development strategy or production equipment and facility capacity.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Unit-of-Production Depreciation</w:t>
      </w:r>
    </w:p>
    <w:p>
      <w:pPr>
        <w:spacing w:after="0" w:line="10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Oil and natural gas reserve volumes are used as the basis to calculate unit-of-production depreciation rates for most upstream assets. Depreciation is calculated by taking the ratio of asset cost to total proved reserves or proved developed reserves applied to actual production. The volumes produced and asset cost are known, while proved reserves are based on estimates that are subject to some variability.</w:t>
      </w:r>
    </w:p>
    <w:p>
      <w:pPr>
        <w:spacing w:after="0" w:line="3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the event that the unit-of-production method does not result in an equitable allocation of cost over the economic life of an upstream asset, an alternative method is used. The straight-line method is used in limited situations where the expected life of the asset does not reasonably correlate with that of the underlying reserves. For example, certain assets used in the production of oil and natural gas have a shorter life than the reserves, and as such, the Corporation uses straight-line depreciation to ensure the asset is fully depreciated by the end of its useful life.</w:t>
      </w:r>
    </w:p>
    <w:p>
      <w:pPr>
        <w:spacing w:after="0" w:line="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the extent that proved reserves for a property are substantially de-booked and that property continues to produce such that the resulting depreciation charge does not result in an equitable allocation of cost over the expected life, assets will be depreciated using a unit-of-production method based on reserves determined at the most recent SEC price which results in a more meaningful quantity of proved reserves, appropriately adjusted for production and technical changes.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65" w:name="page66"/>
    <w:bookmarkEnd w:id="65"/>
    <w:p>
      <w:pPr>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w:t>
      </w:r>
    </w:p>
    <w:p>
      <w:pPr>
        <w:spacing w:after="0" w:line="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Corporation tests assets or groups of assets for recoverability on an ongoing basis whenever events or changes in circumstances indicate that the carrying amounts may not be recoverable. The Corporation has a robust process to monitor for indicators of potential impairment across its asset groups throughout the year. This process is aligned with the requirements of ASC 360 and ASC 932, and relies, in part, on the Corporation’s planning and budgeting cycle.</w:t>
      </w:r>
    </w:p>
    <w:p>
      <w:pPr>
        <w:spacing w:after="0" w:line="6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Because the lifespans of the vast majority of the Corporation’s major assets are measured in decades, the future cash flows of these assets are predominantly based on long-term oil and natural gas commodity prices and industry margins, and development and production costs. Significant reductions in the Corporation’s view of oil or natural gas commodity prices or margin ranges, especially the longer-term prices and margins, and changes in the development plans, including decisions to defer, reduce, or eliminate planned capital spending, can be an indicator of potential impairment. Other events or changes in circumstances, including indicators outlined in ASC 360, can be indicators of potential impairment as well.</w:t>
      </w:r>
    </w:p>
    <w:p>
      <w:pPr>
        <w:spacing w:after="0" w:line="5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general, the Corporation does not view temporarily low prices or margins as an indication of impairment. Management believes that prices over the long term must be sufficient to generate investments in energy supply to meet global demand. Although prices will occasionally drop significantly, industry prices over the long term will continue to be driven by market supply and demand fundamentals. On the supply side, industry production from mature fields is declining. This is being offset by investments to generate production from new discoveries, field developments and technology, and efficiency advancements. OPEC investment activities and production policies also have an impact on world oil supplies. The demand side is largely a function of general economic activities, alternative energy sources and levels of prosperity. During the lifespan of its major assets, the Corporation expects that oil and gas prices and industry margins will experience significant volatility, and consequently these assets will experience periods of higher earnings and periods of lower earnings, or even losses. In assessing whether events or changes in circumstances indicate the carrying value of an asset may not be recoverable, the Corporation considers recent periods of operating losses in the context of its longer-term view of prices and margins.</w:t>
      </w:r>
    </w:p>
    <w:p>
      <w:pPr>
        <w:spacing w:after="0" w:line="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 xml:space="preserve">Energy Outlook and Cash Flow Assessment. </w:t>
      </w:r>
      <w:r>
        <w:rPr>
          <w:rFonts w:ascii="Arial" w:cs="Arial" w:eastAsia="Arial" w:hAnsi="Arial"/>
          <w:sz w:val="18"/>
          <w:szCs w:val="18"/>
          <w:color w:val="auto"/>
        </w:rPr>
        <w:t>The annual planning and budgeting process, known as the Corporate Plan, is the mechanism by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resources (capital, operating expenses, and people) are allocated across the Corporation. The foundation for the assumptions supporting the Corporate Plan is the Energy Outlook, which contains the Corporation’s demand and supply projections based on its assessment of current trends in technology, government policies, consumer preferences, geopolitics, and economic development. Reflective of the existing global policy environment, the Energy Outlook does not project the degree of required future policy and technology advancement and deployment for the world, or the Corporation, to meet net-zero by 2050. As future policies and technology advancements emerge, they will be incorporated into the Energy Outlook, and the Corporation’s business plans will be updated accordingly.</w:t>
      </w:r>
    </w:p>
    <w:p>
      <w:pPr>
        <w:spacing w:after="0" w:line="7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If events or changes in circumstances indicate that the carrying value of an asset may not be recoverable, the Corporation estimates the future undiscounted cash flows of the affected properties to judge the recoverability of carrying amounts. Cash flows used in recoverability assessments are based on the assumptions developed in the Corporate Plan, which is reviewed and approved by the Board of Directors, and are consistent with the criteria management uses to evaluate investment opportunities. These evaluations make use of the Corporation’s assumptions of future capital allocations, crude oil and natural gas commodity prices including price differentials, refining and chemical margins, volumes, development and operating costs including greenhouse gas emission prices, and foreign currency exchange rates. Volumes are based on projected field and facility production profiles, throughput, or sales. Management’s estimate of upstream production volumes used for projected cash flows makes use of proved reserve quantities and may include risk-adjusted unproved reserve quantities. The greenhouse gas emission prices reflect existing or anticipated policy actions that countries or localities may take in support of Paris Accord pledges. While third-party scenarios, such as the International Energy Agency Net Zero Emissions by 2050, may be used to test the resiliency of the Corporation's businesses or strategies, they are not used as a basis for developing future cash flows for impairment assessments.</w:t>
      </w:r>
    </w:p>
    <w:p>
      <w:pPr>
        <w:spacing w:after="0" w:line="4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 xml:space="preserve">Fair Value of Impaired Assets. </w:t>
      </w:r>
      <w:r>
        <w:rPr>
          <w:rFonts w:ascii="Arial" w:cs="Arial" w:eastAsia="Arial" w:hAnsi="Arial"/>
          <w:sz w:val="17"/>
          <w:szCs w:val="17"/>
          <w:color w:val="auto"/>
        </w:rPr>
        <w:t>An asset group is impaired if its estimated undiscounted cash flows are less than the asset group’s carrying value.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Impairments are measured by the amount by which the carrying value exceeds fair value. The assessment of fair value is based upon the views of a likely market participant. The principal parameters used to establish fair value include estimates of acreage values and flowing production metrics from comparable market transactions, market-based estimates of historical cash flow multiples, and discounted cash flows. Inputs and assumptions used in discounted cash flow models include estimates of future production volumes, throughput and product sales volumes, commodity prices which are consistent with the average of third-party industry experts and government agencies, refining and chemical margins, drilling and development costs, operating costs and discount rates which are reflective of the characteristics of the asset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66" w:name="page67"/>
    <w:bookmarkEnd w:id="66"/>
    <w:p>
      <w:pPr>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 xml:space="preserve">Other Impairment Estimates. </w:t>
      </w:r>
      <w:r>
        <w:rPr>
          <w:rFonts w:ascii="Arial" w:cs="Arial" w:eastAsia="Arial" w:hAnsi="Arial"/>
          <w:sz w:val="17"/>
          <w:szCs w:val="17"/>
          <w:color w:val="auto"/>
        </w:rPr>
        <w:t>Unproved properties are assessed periodically to determine whether they have been impaired. Significant unproved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properties are assessed for impairment individually, and valuation allowances against the capitalized costs are recorded based on the Corporation's future development plans, the estimated economic chance of success and the length of time that the Corporation expects to hold the properties. Properties that are not individually significant are aggregated by groups and amortized based on development risk and average holding period.</w:t>
      </w:r>
    </w:p>
    <w:p>
      <w:pPr>
        <w:spacing w:after="0" w:line="5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Long-lived assets that are held for sale are evaluated for possible impairment by comparing the carrying value of the asset with its fair value less the cost to sell. If the net book value exceeds the fair value less cost to sell, the assets are considered impaired and adjusted to the lower value. Judgment is required to determine if assets are held for sale and to determine the fair value less cost to sell.</w:t>
      </w:r>
    </w:p>
    <w:p>
      <w:pPr>
        <w:spacing w:after="0" w:line="6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Investments in equity companies are assessed for possible impairment when events or changes in circumstances indicate that the carrying value of an investment may not be recoverable. Examples of key indicators include a history of operating losses, negative earnings and cash flow outlook, significant downward revisions to oil and gas reserves, and the financial condition and prospects for the investee’s business segment or geographic region. If the decline in value of the investment is other than temporary, the carrying value of the investment is written down to fair value. In the absence of market prices for the investment, discounted cash flows are used to assess fair value, which requires significant judgment.</w:t>
      </w:r>
    </w:p>
    <w:p>
      <w:pPr>
        <w:spacing w:after="0" w:line="4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 xml:space="preserve">Recent Impairments. </w:t>
      </w:r>
      <w:r>
        <w:rPr>
          <w:rFonts w:ascii="Arial" w:cs="Arial" w:eastAsia="Arial" w:hAnsi="Arial"/>
          <w:sz w:val="17"/>
          <w:szCs w:val="17"/>
          <w:color w:val="auto"/>
        </w:rPr>
        <w:t>In 2021, the Corporation identified situations where events or changes in circumstances indicated that the carrying value of certain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long-lived assets may not be recoverable and performed impairment assessments. After-tax impairment charges of $1.0 billion, including impairments of suspended wells, were recognized during the year largely as a result of changes to Upstream development plans.</w:t>
      </w:r>
    </w:p>
    <w:p>
      <w:pPr>
        <w:spacing w:after="0" w:line="4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2020, as part of the Corporation's annual review and approval of its business and strategic plan, a decision was made to no longer develop a significant portion of the dry gas portfolio in the U.S., Canada and Argentina. The impairment of these assets resulted in after-tax charges of $18.4 billion in Upstream. Other after-tax impairment charges of $1.1 billion, $0.6 billion and $0.2 billion were recognized in Upstream, Downstream and Chemical, respectively. These charges include impairments of property, plant and equipment, goodwill and equity method investments.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In 2019, after-tax impairment charges were $0.2 billion.</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Factors which could put further assets at risk of impairment in the future include reductions in the Corporation’s price or margin outlooks, changes in the allocation of capital or development plans, reduced long-term demand for the Corporation's products, and operating cost increases which exceed the pace of efficiencies or the pace of oil and natural gas price or margin increases. However, due to the inherent difficulty in predicting future commodity prices or margins, and the relationship between industry prices and costs, it is not practicable to reasonably estimate the existence or range of any potential future impairment charges related to the Corporation’s long-lived assets.</w:t>
      </w:r>
    </w:p>
    <w:p>
      <w:pPr>
        <w:spacing w:after="0" w:line="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further information regarding impairments in goodwill, equity method investments, property, plant and equipment and suspended wells, refer to Notes 3, 7, 9 and 10,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Retirement Obligations</w:t>
      </w:r>
    </w:p>
    <w:p>
      <w:pPr>
        <w:spacing w:after="0" w:line="1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Corporation is subject to retirement obligations for certain assets. The fair values of these obligations are recorded as liabilities on a discounted basis, which is typically at the time the assets are installed. In the estimation of fair value, the Corporation uses assumptions and judgments regarding such factors as the existence of a legal obligation for an asset retirement obligation; technical assessments of the assets; estimated amounts and timing of settlements; discount rates; and inflation rates. Asset retirement obligations are disclosed in Note 9.</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Suspended Exploratory Well Costs</w:t>
      </w:r>
    </w:p>
    <w:p>
      <w:pPr>
        <w:spacing w:after="0" w:line="1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Corporation continues capitalization of exploratory well costs when it has found a sufficient quantity of reserves to justify completion as a producing well and the Corporation is making sufficient progress assessing the reserves and the economic and operating viability of the project. Exploratory well costs not meeting these criteria are charged to expense. Assessing whether the Corporation is making sufficient progress on a project requires careful consideration of the facts and circumstances. The facts and circumstances that support continued capitalization of suspended wells at year-end are disclosed in Note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67" w:name="page68"/>
    <w:bookmarkEnd w:id="67"/>
    <w:p>
      <w:pPr>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Benefits</w:t>
      </w:r>
    </w:p>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Corporation and its affiliates sponsor about 80 defined benefit (pension) plans in over 40 countries. The Pension and Other Postretirement Benefits footnote (Note 17) provides details on pension obligations, fund assets and pension expense.</w:t>
      </w:r>
    </w:p>
    <w:p>
      <w:pPr>
        <w:spacing w:after="0" w:line="4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Some of these plans (primarily non-U.S.) provide pension benefits that are paid directly by their sponsoring affiliates out of corporate cash flow rather than a separate pension fund because applicable tax rules and regulatory practices do not encourage advance funding. Book reserves are established for these plans. The portion of the pension cost attributable to employee service is expensed as services are rendered. The portion attributable to the increase in pension obligations due to the passage of time is expensed over the term of the obligations, which ends when all benefits are paid. The primary difference in pension expense for unfunded versus funded plans is that pension expense for funded plans also includes a credit for the expected long-term return on fund assets.</w:t>
      </w:r>
    </w:p>
    <w:p>
      <w:pPr>
        <w:spacing w:after="0" w:line="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funded plans, including those in the U.S., pension obligations are financed in advance through segregated assets or insurance arrangements. These plans are managed in compliance with the requirements of governmental authorities and meet or exceed required funding levels as measured by relevant actuarial and government standards at the mandated measurement dates. In determining liabilities and required contributions, these standards often require approaches and assumptions that differ from those used for accounting purposes.</w:t>
      </w:r>
    </w:p>
    <w:p>
      <w:pPr>
        <w:spacing w:after="0" w:line="5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Corporation will continue to make contributions to these funded plans as necessary. All defined-benefit pension obligations, regardless of the funding status of the underlying plans, are fully supported by the financial strength of the Corporation or the respective sponsoring affiliate.</w:t>
      </w:r>
    </w:p>
    <w:p>
      <w:pPr>
        <w:spacing w:after="0" w:line="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Pension accounting requires explicit assumptions regarding, among others, the long-term expected earnings rate on fund assets, the discount rate for the benefit obligations and the long-term rate for future salary increases. Pension assumptions are reviewed annually by outside actuaries and senior management. These assumptions are adjusted as appropriate to reflect changes in market rates and outlook. The long-term expected earnings rate on U.S. pension plan assets in 2021 was 5.3 percent. The 10-year and 20-year actual returns on U.S. pension plan assets were 9 percent and 7 percent, respectively. The Corporation establishes the long-term expected rate of return by developing a forward-looking, long-term return assumption for each pension fund asset class, taking into account factors such as the expected real return for the specific asset class and inflation. A single, long-term rate of return is then calculated as the weighted average of the target asset allocation percentages and the long-term return assumption for each asset class. A worldwide reduction of 0.5 percent in the long-term rate of return on assets would increase annual pension expense by approximately $190 million before tax.</w:t>
      </w:r>
    </w:p>
    <w:p>
      <w:pPr>
        <w:spacing w:after="0" w:line="4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Differences between actual returns on fund assets and the long-term expected return are not recognized in pension expense in the year that the difference occurs. Such differences are deferred, along with other actuarial gains and losses, and are amortized into pension expense over the expected remaining service life of employees.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and Tax Contingencies</w:t>
      </w:r>
    </w:p>
    <w:p>
      <w:pPr>
        <w:spacing w:after="0" w:line="10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 variety of claims have been made against the Corporation and certain of its consolidated subsidiaries in a number of pending lawsuits. The Corporation accrues an undiscounted liability for those contingencies where the incurrence of a loss is probable and the amount can be reasonably estimated. For contingencies where an unfavorable outcome is reasonably possible and which are significant, the Corporation discloses the nature of the contingency and where feasible, an estimate of the possible loss. Management has regular litigation reviews, including updates from corporate and outside counsel, to assess the need for accounting recognition or disclosure of these contingencies. The status of significant claims is summarized in Note 16.</w:t>
      </w:r>
    </w:p>
    <w:p>
      <w:pPr>
        <w:spacing w:after="0" w:line="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judgment is required related to contingent liabilities and the outcome of litigation because both are difficult to predict. However, the Corporation has been successful in defending litigation in the past. Payments have not had a material adverse effect on operations or financial condition. In the Corporation’s experience, large claims often do not result in large awards. Large awards are often reversed or substantially reduced as a result of appeal or settlement.</w:t>
      </w:r>
    </w:p>
    <w:p>
      <w:pPr>
        <w:spacing w:after="0" w:line="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Corporation is subject to income taxation in many jurisdictions around the world. The benefits of uncertain tax positions that the Corporation has taken or expects to take in its income tax returns are recognized in the financial statements if management concludes that it is more likely than not that the position will be sustained with the tax authorities. For a position that is likely to be sustained, the benefit recognized in the financial statements is measured at the largest amount that is greater than 50 percent likely of being realized. Significant management judgment is required in the accounting for income tax contingencies and tax disputes because the outcomes are often difficult to predict. The Corporation’s unrecognized tax benefits and a description of open tax years are summarized in Note 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Management, including the Corporation’s Chief Executive Officer, Chief Financial Officer, and Principal Accounting Officer, is responsible for establishing and maintaining adequate internal control over the Corporation’s financial reporting. Management conducted an evaluation of the effectiveness of internal control over financial reporting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Based on this evaluation, management concluded that Exxon Mobil Corporation’s internal control over financial reporting was effective as of December 31, 2021.</w:t>
      </w:r>
    </w:p>
    <w:p>
      <w:pPr>
        <w:spacing w:after="0" w:line="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PricewaterhouseCoopers LLP, an independent registered public accounting firm, audited the effectiveness of the Corporation’s internal control over financial reporting as of December 31, 2021, as stated in their report included in the Financial Section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245745</wp:posOffset>
            </wp:positionV>
            <wp:extent cx="1028700" cy="5143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028700" cy="514350"/>
                    </a:xfrm>
                    <a:prstGeom prst="rect">
                      <a:avLst/>
                    </a:prstGeom>
                    <a:noFill/>
                  </pic:spPr>
                </pic:pic>
              </a:graphicData>
            </a:graphic>
          </wp:anchor>
        </w:drawing>
        <w:drawing>
          <wp:anchor simplePos="0" relativeHeight="251657728" behindDoc="1" locked="0" layoutInCell="0" allowOverlap="1">
            <wp:simplePos x="0" y="0"/>
            <wp:positionH relativeFrom="column">
              <wp:posOffset>2276475</wp:posOffset>
            </wp:positionH>
            <wp:positionV relativeFrom="paragraph">
              <wp:posOffset>254635</wp:posOffset>
            </wp:positionV>
            <wp:extent cx="1139825" cy="4889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139825" cy="48895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262890</wp:posOffset>
            </wp:positionV>
            <wp:extent cx="1414780" cy="47117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414780" cy="471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Darren W. Woods</w:t>
            </w:r>
          </w:p>
        </w:tc>
        <w:tc>
          <w:tcPr>
            <w:tcW w:w="3620" w:type="dxa"/>
            <w:vAlign w:val="bottom"/>
          </w:tcPr>
          <w:p>
            <w:pPr>
              <w:ind w:left="920"/>
              <w:spacing w:after="0"/>
              <w:rPr>
                <w:sz w:val="20"/>
                <w:szCs w:val="20"/>
                <w:color w:val="auto"/>
              </w:rPr>
            </w:pPr>
            <w:r>
              <w:rPr>
                <w:rFonts w:ascii="Arial" w:cs="Arial" w:eastAsia="Arial" w:hAnsi="Arial"/>
                <w:sz w:val="18"/>
                <w:szCs w:val="18"/>
                <w:color w:val="auto"/>
              </w:rPr>
              <w:t>Kathryn A. Mikells</w:t>
            </w:r>
          </w:p>
        </w:tc>
        <w:tc>
          <w:tcPr>
            <w:tcW w:w="3060" w:type="dxa"/>
            <w:vAlign w:val="bottom"/>
          </w:tcPr>
          <w:p>
            <w:pPr>
              <w:ind w:left="840"/>
              <w:spacing w:after="0"/>
              <w:rPr>
                <w:sz w:val="20"/>
                <w:szCs w:val="20"/>
                <w:color w:val="auto"/>
              </w:rPr>
            </w:pPr>
            <w:r>
              <w:rPr>
                <w:rFonts w:ascii="Arial" w:cs="Arial" w:eastAsia="Arial" w:hAnsi="Arial"/>
                <w:sz w:val="18"/>
                <w:szCs w:val="18"/>
                <w:color w:val="auto"/>
              </w:rPr>
              <w:t>Len M. Fox</w:t>
            </w: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3620" w:type="dxa"/>
            <w:vAlign w:val="bottom"/>
          </w:tcPr>
          <w:p>
            <w:pPr>
              <w:ind w:left="920"/>
              <w:spacing w:after="0"/>
              <w:rPr>
                <w:sz w:val="20"/>
                <w:szCs w:val="20"/>
                <w:color w:val="auto"/>
              </w:rPr>
            </w:pPr>
            <w:r>
              <w:rPr>
                <w:rFonts w:ascii="Arial" w:cs="Arial" w:eastAsia="Arial" w:hAnsi="Arial"/>
                <w:sz w:val="18"/>
                <w:szCs w:val="18"/>
                <w:color w:val="auto"/>
              </w:rPr>
              <w:t>Senior Vice President and</w:t>
            </w:r>
          </w:p>
        </w:tc>
        <w:tc>
          <w:tcPr>
            <w:tcW w:w="3060" w:type="dxa"/>
            <w:vAlign w:val="bottom"/>
          </w:tcPr>
          <w:p>
            <w:pPr>
              <w:ind w:left="840"/>
              <w:spacing w:after="0"/>
              <w:rPr>
                <w:sz w:val="20"/>
                <w:szCs w:val="20"/>
                <w:color w:val="auto"/>
              </w:rPr>
            </w:pPr>
            <w:r>
              <w:rPr>
                <w:rFonts w:ascii="Arial" w:cs="Arial" w:eastAsia="Arial" w:hAnsi="Arial"/>
                <w:sz w:val="18"/>
                <w:szCs w:val="18"/>
                <w:color w:val="auto"/>
                <w:w w:val="93"/>
              </w:rPr>
              <w:t>Vice President and Controller</w:t>
            </w:r>
          </w:p>
        </w:tc>
      </w:tr>
      <w:tr>
        <w:trPr>
          <w:trHeight w:val="230"/>
        </w:trPr>
        <w:tc>
          <w:tcPr>
            <w:tcW w:w="2660" w:type="dxa"/>
            <w:vAlign w:val="bottom"/>
          </w:tcPr>
          <w:p>
            <w:pPr>
              <w:spacing w:after="0"/>
              <w:rPr>
                <w:sz w:val="20"/>
                <w:szCs w:val="20"/>
                <w:color w:val="auto"/>
              </w:rPr>
            </w:pPr>
          </w:p>
        </w:tc>
        <w:tc>
          <w:tcPr>
            <w:tcW w:w="3620" w:type="dxa"/>
            <w:vAlign w:val="bottom"/>
          </w:tcPr>
          <w:p>
            <w:pPr>
              <w:ind w:left="920"/>
              <w:spacing w:after="0"/>
              <w:rPr>
                <w:sz w:val="20"/>
                <w:szCs w:val="20"/>
                <w:color w:val="auto"/>
              </w:rPr>
            </w:pPr>
            <w:r>
              <w:rPr>
                <w:rFonts w:ascii="Arial" w:cs="Arial" w:eastAsia="Arial" w:hAnsi="Arial"/>
                <w:sz w:val="18"/>
                <w:szCs w:val="18"/>
                <w:color w:val="auto"/>
              </w:rPr>
              <w:t>Chief Financial Officer</w:t>
            </w:r>
          </w:p>
        </w:tc>
        <w:tc>
          <w:tcPr>
            <w:tcW w:w="3060" w:type="dxa"/>
            <w:vAlign w:val="bottom"/>
          </w:tcPr>
          <w:p>
            <w:pPr>
              <w:ind w:left="840"/>
              <w:spacing w:after="0"/>
              <w:rPr>
                <w:sz w:val="20"/>
                <w:szCs w:val="20"/>
                <w:color w:val="auto"/>
              </w:rPr>
            </w:pPr>
            <w:r>
              <w:rPr>
                <w:rFonts w:ascii="Arial" w:cs="Arial" w:eastAsia="Arial" w:hAnsi="Arial"/>
                <w:sz w:val="18"/>
                <w:szCs w:val="18"/>
                <w:color w:val="auto"/>
                <w:w w:val="94"/>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Exxon Mobil Corporation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19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We have audited the accompanying consolidated balance sheet of Exxon Mobil Corporation and its subsidiaries (the “Corporation”) as of December 31, 2021 and 2020, and the related consolidated statements of income, of comprehensive income, of changes in equity and of cash flows for each of the three years in the period ended December 31, 2021, including the related notes (collectively referred to as the “consolidated financial statements”). We also have audited the Corporation's internal control over financial reporting as of December 31, 2021, based on criteria established in </w:t>
      </w:r>
      <w:r>
        <w:rPr>
          <w:rFonts w:ascii="Arial" w:cs="Arial" w:eastAsia="Arial" w:hAnsi="Arial"/>
          <w:sz w:val="17"/>
          <w:szCs w:val="17"/>
          <w:i w:val="1"/>
          <w:iCs w:val="1"/>
          <w:color w:val="auto"/>
        </w:rPr>
        <w:t>Internal Control - Integrated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Framework </w:t>
      </w:r>
      <w:r>
        <w:rPr>
          <w:rFonts w:ascii="Arial" w:cs="Arial" w:eastAsia="Arial" w:hAnsi="Arial"/>
          <w:sz w:val="17"/>
          <w:szCs w:val="17"/>
          <w:color w:val="auto"/>
        </w:rPr>
        <w:t>(2013) issued by the Committee of Sponsoring Organizations of the Treadway Commission (COSO).</w:t>
      </w:r>
    </w:p>
    <w:p>
      <w:pPr>
        <w:spacing w:after="0" w:line="13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Corporation as of December 31, 2021 and 2020, and the results of its operations and its cash flows for each of the three years in the period ended December 31, 2021 in conformity with accounting principles generally accepted in the United States of America. Also in our opinion, the Corporation maintained, in all material respects, effective internal control over financial reporting as of December 31, 2021, based on criteria established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w:t>
      </w:r>
      <w:r>
        <w:rPr>
          <w:rFonts w:ascii="Arial" w:cs="Arial" w:eastAsia="Arial" w:hAnsi="Arial"/>
          <w:sz w:val="18"/>
          <w:szCs w:val="18"/>
          <w:color w:val="auto"/>
        </w:rPr>
        <w:t>(2013) issued by the COSO.</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19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Corporation's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 Corporation’s consolidated financial statements and on the Corporation's internal control over financial reporting based on our audits. We are a public accounting firm registered with the Public Company Accounting Oversight Board (United States) (PCAOB) and are required to be independent with respect to the Corporation in accordance with the U.S. federal securities laws and the applicable rules and regulations of the Securities and Exchange Commission and the PCAOB.</w:t>
      </w:r>
    </w:p>
    <w:p>
      <w:pPr>
        <w:spacing w:after="0" w:line="13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4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5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19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Impact of Proved Oil and Natural Gas Reserves on Upstream Property, Plant and Equipment, Net</w:t>
      </w:r>
    </w:p>
    <w:p>
      <w:pPr>
        <w:spacing w:after="0" w:line="18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described in Notes 1, 9 and 18 to the consolidated financial statements, the Corporation’s consolidated upstream property, plant and equipment (PP&amp;E), net balance was $157.0 billion as of December 31, 2021, and the related depreciation and depletion expense for the year ended December 31, 2021 was $16.7 billion. Management uses the successful efforts method to account for its exploration and production activities. Costs incurred to purchase, lease, or otherwise acquire a property (whether unproved or proved) are capitalized when incurred. As disclosed by management, proved oil and natural gas reserve volumes are used as the basis to calculate unit-of-production depreciation rates for most upstream assets. The estimation of proved oil and natural gas reserve volumes is an ongoing process based on technical evaluations, commercial and market assessments, and detailed analysis of well information such as flow rates and reservoir pressure declines, development and production costs, among other factors. As further disclosed by management, reserve changes are made within a well-established, disciplined process driven by senior level geoscience and engineering professionals, assisted by the Global Reserves and Resources Group (together “management’s specialists”).</w:t>
      </w:r>
    </w:p>
    <w:p>
      <w:pPr>
        <w:spacing w:after="0" w:line="15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principal considerations for our determination that performing procedures relating to the impact of proved oil and natural gas reserves on upstream PP&amp;E, net is a critical audit matter are (i) the significant judgment by management, including the use of management’s specialists, when developing the estimates of proved oil and natural gas reserve volumes, as the reserve volumes are based on engineering assumptions and methods, which in turn led to (ii) a high degree of auditor judgment, subjectivity, and effort in performing procedures and evaluating audit evidence related to the data, methods, and assumptions used by management and its specialists in developing the estimates of proved oil and natural gas reserve volumes and the assumptions applied to the data related to future development costs and production costs, as applicable.</w:t>
      </w:r>
    </w:p>
    <w:p>
      <w:pPr>
        <w:spacing w:after="0" w:line="13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estimates of proved oil and natural gas reserve volumes. The work of management's specialists was used in performing the procedures to evaluate the reasonableness of the proved oil and natural gas reserve volumes. As a basis for using this work, the specialists' qualifications were understood and the Corporation's relationship with the specialists was assessed. The procedures performed also included evaluation of the methods and assumptions used by the specialists, tests of the data used by the specialists, and an evaluation of the specialists' findings. These procedures also included, among others, testing the completeness and accuracy of the data related to future development costs and production costs. Additionally, these procedures included evaluating whether the assumptions applied to the data related to future development costs and production costs were reasonable considering the past performance of the Corporation.</w:t>
      </w: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23, 2022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Corporation’s auditor since 1934.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CONSOLIDATED STATEMENT OF INCOME</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1960" w:type="dxa"/>
            <w:vAlign w:val="bottom"/>
          </w:tcPr>
          <w:p>
            <w:pPr>
              <w:jc w:val="center"/>
              <w:ind w:left="488"/>
              <w:spacing w:after="0"/>
              <w:rPr>
                <w:sz w:val="20"/>
                <w:szCs w:val="20"/>
                <w:color w:val="auto"/>
              </w:rPr>
            </w:pPr>
            <w:r>
              <w:rPr>
                <w:rFonts w:ascii="Arial" w:cs="Arial" w:eastAsia="Arial" w:hAnsi="Arial"/>
                <w:sz w:val="14"/>
                <w:szCs w:val="14"/>
                <w:b w:val="1"/>
                <w:bCs w:val="1"/>
                <w:color w:val="auto"/>
                <w:w w:val="89"/>
              </w:rPr>
              <w:t>Note</w:t>
            </w:r>
          </w:p>
        </w:tc>
        <w:tc>
          <w:tcPr>
            <w:tcW w:w="12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540" w:type="dxa"/>
            <w:vAlign w:val="bottom"/>
          </w:tcPr>
          <w:p>
            <w:pPr>
              <w:spacing w:after="0"/>
              <w:rPr>
                <w:sz w:val="11"/>
                <w:szCs w:val="11"/>
                <w:color w:val="auto"/>
              </w:rPr>
            </w:pPr>
          </w:p>
        </w:tc>
        <w:tc>
          <w:tcPr>
            <w:tcW w:w="1960" w:type="dxa"/>
            <w:vAlign w:val="bottom"/>
          </w:tcPr>
          <w:p>
            <w:pPr>
              <w:jc w:val="center"/>
              <w:ind w:left="508"/>
              <w:spacing w:after="0" w:line="135" w:lineRule="exact"/>
              <w:rPr>
                <w:sz w:val="20"/>
                <w:szCs w:val="20"/>
                <w:color w:val="auto"/>
              </w:rPr>
            </w:pPr>
            <w:r>
              <w:rPr>
                <w:rFonts w:ascii="Arial" w:cs="Arial" w:eastAsia="Arial" w:hAnsi="Arial"/>
                <w:sz w:val="14"/>
                <w:szCs w:val="14"/>
                <w:b w:val="1"/>
                <w:bCs w:val="1"/>
                <w:color w:val="auto"/>
                <w:w w:val="91"/>
              </w:rPr>
              <w:t>Reference</w:t>
            </w:r>
          </w:p>
        </w:tc>
        <w:tc>
          <w:tcPr>
            <w:tcW w:w="12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154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2020</w:t>
            </w: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8"/>
        </w:trPr>
        <w:tc>
          <w:tcPr>
            <w:tcW w:w="554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jc w:val="center"/>
              <w:ind w:left="488"/>
              <w:spacing w:after="0"/>
              <w:rPr>
                <w:sz w:val="20"/>
                <w:szCs w:val="20"/>
                <w:color w:val="auto"/>
              </w:rPr>
            </w:pPr>
            <w:r>
              <w:rPr>
                <w:rFonts w:ascii="Arial" w:cs="Arial" w:eastAsia="Arial" w:hAnsi="Arial"/>
                <w:sz w:val="14"/>
                <w:szCs w:val="14"/>
                <w:b w:val="1"/>
                <w:bCs w:val="1"/>
                <w:color w:val="auto"/>
                <w:w w:val="98"/>
              </w:rPr>
              <w:t>Number</w:t>
            </w:r>
          </w:p>
        </w:tc>
        <w:tc>
          <w:tcPr>
            <w:tcW w:w="1220" w:type="dxa"/>
            <w:vAlign w:val="bottom"/>
            <w:tcBorders>
              <w:bottom w:val="single" w:sz="8" w:color="auto"/>
            </w:tcBorders>
            <w:vMerge w:val="continue"/>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5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540" w:type="dxa"/>
            <w:vAlign w:val="bottom"/>
          </w:tcPr>
          <w:p>
            <w:pPr>
              <w:jc w:val="right"/>
              <w:ind w:right="232"/>
              <w:spacing w:after="0"/>
              <w:rPr>
                <w:sz w:val="20"/>
                <w:szCs w:val="20"/>
                <w:color w:val="auto"/>
              </w:rPr>
            </w:pPr>
            <w:r>
              <w:rPr>
                <w:rFonts w:ascii="Arial" w:cs="Arial" w:eastAsia="Arial" w:hAnsi="Arial"/>
                <w:sz w:val="14"/>
                <w:szCs w:val="14"/>
                <w:i w:val="1"/>
                <w:iCs w:val="1"/>
                <w:color w:val="auto"/>
              </w:rPr>
              <w:t>(millions of dollars)</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5540" w:type="dxa"/>
            <w:vAlign w:val="bottom"/>
          </w:tcPr>
          <w:p>
            <w:pPr>
              <w:ind w:left="20"/>
              <w:spacing w:after="0"/>
              <w:rPr>
                <w:sz w:val="20"/>
                <w:szCs w:val="20"/>
                <w:color w:val="auto"/>
              </w:rPr>
            </w:pPr>
            <w:r>
              <w:rPr>
                <w:rFonts w:ascii="Arial" w:cs="Arial" w:eastAsia="Arial" w:hAnsi="Arial"/>
                <w:sz w:val="18"/>
                <w:szCs w:val="18"/>
                <w:color w:val="auto"/>
              </w:rPr>
              <w:t>Revenues and other income</w:t>
            </w:r>
          </w:p>
        </w:tc>
        <w:tc>
          <w:tcPr>
            <w:tcW w:w="19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540" w:type="dxa"/>
            <w:vAlign w:val="bottom"/>
          </w:tcPr>
          <w:p>
            <w:pPr>
              <w:ind w:left="220"/>
              <w:spacing w:after="0"/>
              <w:rPr>
                <w:sz w:val="20"/>
                <w:szCs w:val="20"/>
                <w:color w:val="auto"/>
              </w:rPr>
            </w:pPr>
            <w:r>
              <w:rPr>
                <w:rFonts w:ascii="Arial" w:cs="Arial" w:eastAsia="Arial" w:hAnsi="Arial"/>
                <w:sz w:val="18"/>
                <w:szCs w:val="18"/>
                <w:color w:val="auto"/>
              </w:rPr>
              <w:t>Sales and other operating revenue</w:t>
            </w:r>
          </w:p>
        </w:tc>
        <w:tc>
          <w:tcPr>
            <w:tcW w:w="1960" w:type="dxa"/>
            <w:vAlign w:val="bottom"/>
          </w:tcPr>
          <w:p>
            <w:pPr>
              <w:spacing w:after="0"/>
              <w:rPr>
                <w:sz w:val="19"/>
                <w:szCs w:val="19"/>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276,692</w:t>
            </w:r>
          </w:p>
        </w:tc>
        <w:tc>
          <w:tcPr>
            <w:tcW w:w="1540" w:type="dxa"/>
            <w:vAlign w:val="bottom"/>
          </w:tcPr>
          <w:p>
            <w:pPr>
              <w:jc w:val="right"/>
              <w:ind w:right="292"/>
              <w:spacing w:after="0"/>
              <w:rPr>
                <w:sz w:val="20"/>
                <w:szCs w:val="20"/>
                <w:color w:val="auto"/>
              </w:rPr>
            </w:pPr>
            <w:r>
              <w:rPr>
                <w:rFonts w:ascii="Arial" w:cs="Arial" w:eastAsia="Arial" w:hAnsi="Arial"/>
                <w:sz w:val="18"/>
                <w:szCs w:val="18"/>
                <w:color w:val="auto"/>
              </w:rPr>
              <w:t>178,574</w:t>
            </w:r>
          </w:p>
        </w:tc>
        <w:tc>
          <w:tcPr>
            <w:tcW w:w="980" w:type="dxa"/>
            <w:vAlign w:val="bottom"/>
          </w:tcPr>
          <w:p>
            <w:pPr>
              <w:jc w:val="right"/>
              <w:spacing w:after="0"/>
              <w:rPr>
                <w:sz w:val="20"/>
                <w:szCs w:val="20"/>
                <w:color w:val="auto"/>
              </w:rPr>
            </w:pPr>
            <w:r>
              <w:rPr>
                <w:rFonts w:ascii="Arial" w:cs="Arial" w:eastAsia="Arial" w:hAnsi="Arial"/>
                <w:sz w:val="18"/>
                <w:szCs w:val="18"/>
                <w:color w:val="auto"/>
              </w:rPr>
              <w:t>255,583</w:t>
            </w:r>
          </w:p>
        </w:tc>
        <w:tc>
          <w:tcPr>
            <w:tcW w:w="0" w:type="dxa"/>
            <w:vAlign w:val="bottom"/>
          </w:tcPr>
          <w:p>
            <w:pPr>
              <w:spacing w:after="0"/>
              <w:rPr>
                <w:sz w:val="1"/>
                <w:szCs w:val="1"/>
                <w:color w:val="auto"/>
              </w:rPr>
            </w:pPr>
          </w:p>
        </w:tc>
      </w:tr>
      <w:tr>
        <w:trPr>
          <w:trHeight w:val="229"/>
        </w:trPr>
        <w:tc>
          <w:tcPr>
            <w:tcW w:w="5540" w:type="dxa"/>
            <w:vAlign w:val="bottom"/>
          </w:tcPr>
          <w:p>
            <w:pPr>
              <w:ind w:left="220"/>
              <w:spacing w:after="0"/>
              <w:rPr>
                <w:sz w:val="20"/>
                <w:szCs w:val="20"/>
                <w:color w:val="auto"/>
              </w:rPr>
            </w:pPr>
            <w:r>
              <w:rPr>
                <w:rFonts w:ascii="Arial" w:cs="Arial" w:eastAsia="Arial" w:hAnsi="Arial"/>
                <w:sz w:val="18"/>
                <w:szCs w:val="18"/>
                <w:color w:val="auto"/>
              </w:rPr>
              <w:t>Income from equity affiliates</w:t>
            </w:r>
          </w:p>
        </w:tc>
        <w:tc>
          <w:tcPr>
            <w:tcW w:w="1960" w:type="dxa"/>
            <w:vAlign w:val="bottom"/>
          </w:tcPr>
          <w:p>
            <w:pPr>
              <w:jc w:val="center"/>
              <w:ind w:left="488"/>
              <w:spacing w:after="0"/>
              <w:rPr>
                <w:sz w:val="20"/>
                <w:szCs w:val="20"/>
                <w:color w:val="auto"/>
              </w:rPr>
            </w:pPr>
            <w:r>
              <w:rPr>
                <w:rFonts w:ascii="Arial" w:cs="Arial" w:eastAsia="Arial" w:hAnsi="Arial"/>
                <w:sz w:val="14"/>
                <w:szCs w:val="14"/>
                <w:color w:val="auto"/>
              </w:rPr>
              <w:t>7</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6,657</w:t>
            </w:r>
          </w:p>
        </w:tc>
        <w:tc>
          <w:tcPr>
            <w:tcW w:w="1540" w:type="dxa"/>
            <w:vAlign w:val="bottom"/>
          </w:tcPr>
          <w:p>
            <w:pPr>
              <w:jc w:val="right"/>
              <w:ind w:right="292"/>
              <w:spacing w:after="0"/>
              <w:rPr>
                <w:sz w:val="20"/>
                <w:szCs w:val="20"/>
                <w:color w:val="auto"/>
              </w:rPr>
            </w:pPr>
            <w:r>
              <w:rPr>
                <w:rFonts w:ascii="Arial" w:cs="Arial" w:eastAsia="Arial" w:hAnsi="Arial"/>
                <w:sz w:val="18"/>
                <w:szCs w:val="18"/>
                <w:color w:val="auto"/>
              </w:rPr>
              <w:t>1,732</w:t>
            </w:r>
          </w:p>
        </w:tc>
        <w:tc>
          <w:tcPr>
            <w:tcW w:w="980" w:type="dxa"/>
            <w:vAlign w:val="bottom"/>
          </w:tcPr>
          <w:p>
            <w:pPr>
              <w:jc w:val="right"/>
              <w:spacing w:after="0"/>
              <w:rPr>
                <w:sz w:val="20"/>
                <w:szCs w:val="20"/>
                <w:color w:val="auto"/>
              </w:rPr>
            </w:pPr>
            <w:r>
              <w:rPr>
                <w:rFonts w:ascii="Arial" w:cs="Arial" w:eastAsia="Arial" w:hAnsi="Arial"/>
                <w:sz w:val="18"/>
                <w:szCs w:val="18"/>
                <w:color w:val="auto"/>
              </w:rPr>
              <w:t>5,441</w:t>
            </w:r>
          </w:p>
        </w:tc>
        <w:tc>
          <w:tcPr>
            <w:tcW w:w="0" w:type="dxa"/>
            <w:vAlign w:val="bottom"/>
          </w:tcPr>
          <w:p>
            <w:pPr>
              <w:spacing w:after="0"/>
              <w:rPr>
                <w:sz w:val="1"/>
                <w:szCs w:val="1"/>
                <w:color w:val="auto"/>
              </w:rPr>
            </w:pPr>
          </w:p>
        </w:tc>
      </w:tr>
      <w:tr>
        <w:trPr>
          <w:trHeight w:val="230"/>
        </w:trPr>
        <w:tc>
          <w:tcPr>
            <w:tcW w:w="5540" w:type="dxa"/>
            <w:vAlign w:val="bottom"/>
          </w:tcPr>
          <w:p>
            <w:pPr>
              <w:ind w:left="220"/>
              <w:spacing w:after="0"/>
              <w:rPr>
                <w:sz w:val="20"/>
                <w:szCs w:val="20"/>
                <w:color w:val="auto"/>
              </w:rPr>
            </w:pPr>
            <w:r>
              <w:rPr>
                <w:rFonts w:ascii="Arial" w:cs="Arial" w:eastAsia="Arial" w:hAnsi="Arial"/>
                <w:sz w:val="18"/>
                <w:szCs w:val="18"/>
                <w:color w:val="auto"/>
              </w:rPr>
              <w:t>Other income</w:t>
            </w:r>
          </w:p>
        </w:tc>
        <w:tc>
          <w:tcPr>
            <w:tcW w:w="1960" w:type="dxa"/>
            <w:vAlign w:val="bottom"/>
          </w:tcPr>
          <w:p>
            <w:pPr>
              <w:spacing w:after="0"/>
              <w:rPr>
                <w:sz w:val="20"/>
                <w:szCs w:val="20"/>
                <w:color w:val="auto"/>
              </w:rPr>
            </w:pPr>
          </w:p>
        </w:tc>
        <w:tc>
          <w:tcPr>
            <w:tcW w:w="1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2,291</w:t>
            </w:r>
          </w:p>
        </w:tc>
        <w:tc>
          <w:tcPr>
            <w:tcW w:w="154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1,196</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3,914</w:t>
            </w:r>
          </w:p>
        </w:tc>
        <w:tc>
          <w:tcPr>
            <w:tcW w:w="0" w:type="dxa"/>
            <w:vAlign w:val="bottom"/>
          </w:tcPr>
          <w:p>
            <w:pPr>
              <w:spacing w:after="0"/>
              <w:rPr>
                <w:sz w:val="1"/>
                <w:szCs w:val="1"/>
                <w:color w:val="auto"/>
              </w:rPr>
            </w:pPr>
          </w:p>
        </w:tc>
      </w:tr>
      <w:tr>
        <w:trPr>
          <w:trHeight w:val="223"/>
        </w:trPr>
        <w:tc>
          <w:tcPr>
            <w:tcW w:w="5540" w:type="dxa"/>
            <w:vAlign w:val="bottom"/>
          </w:tcPr>
          <w:p>
            <w:pPr>
              <w:ind w:left="480"/>
              <w:spacing w:after="0"/>
              <w:rPr>
                <w:sz w:val="20"/>
                <w:szCs w:val="20"/>
                <w:color w:val="auto"/>
              </w:rPr>
            </w:pPr>
            <w:r>
              <w:rPr>
                <w:rFonts w:ascii="Arial" w:cs="Arial" w:eastAsia="Arial" w:hAnsi="Arial"/>
                <w:sz w:val="18"/>
                <w:szCs w:val="18"/>
                <w:color w:val="auto"/>
              </w:rPr>
              <w:t>Total revenues and other income</w:t>
            </w:r>
          </w:p>
        </w:tc>
        <w:tc>
          <w:tcPr>
            <w:tcW w:w="1960" w:type="dxa"/>
            <w:vAlign w:val="bottom"/>
          </w:tcPr>
          <w:p>
            <w:pPr>
              <w:spacing w:after="0"/>
              <w:rPr>
                <w:sz w:val="19"/>
                <w:szCs w:val="19"/>
                <w:color w:val="auto"/>
              </w:rPr>
            </w:pPr>
          </w:p>
        </w:tc>
        <w:tc>
          <w:tcPr>
            <w:tcW w:w="1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285,640</w:t>
            </w:r>
          </w:p>
        </w:tc>
        <w:tc>
          <w:tcPr>
            <w:tcW w:w="154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181,502</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264,938</w:t>
            </w:r>
          </w:p>
        </w:tc>
        <w:tc>
          <w:tcPr>
            <w:tcW w:w="0" w:type="dxa"/>
            <w:vAlign w:val="bottom"/>
          </w:tcPr>
          <w:p>
            <w:pPr>
              <w:spacing w:after="0"/>
              <w:rPr>
                <w:sz w:val="1"/>
                <w:szCs w:val="1"/>
                <w:color w:val="auto"/>
              </w:rPr>
            </w:pPr>
          </w:p>
        </w:tc>
      </w:tr>
      <w:tr>
        <w:trPr>
          <w:trHeight w:val="209"/>
        </w:trPr>
        <w:tc>
          <w:tcPr>
            <w:tcW w:w="5540" w:type="dxa"/>
            <w:vAlign w:val="bottom"/>
          </w:tcPr>
          <w:p>
            <w:pPr>
              <w:ind w:left="20"/>
              <w:spacing w:after="0"/>
              <w:rPr>
                <w:sz w:val="20"/>
                <w:szCs w:val="20"/>
                <w:color w:val="auto"/>
              </w:rPr>
            </w:pPr>
            <w:r>
              <w:rPr>
                <w:rFonts w:ascii="Arial" w:cs="Arial" w:eastAsia="Arial" w:hAnsi="Arial"/>
                <w:sz w:val="18"/>
                <w:szCs w:val="18"/>
                <w:color w:val="auto"/>
              </w:rPr>
              <w:t>Costs and other deductions</w:t>
            </w:r>
          </w:p>
        </w:tc>
        <w:tc>
          <w:tcPr>
            <w:tcW w:w="19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40" w:type="dxa"/>
            <w:vAlign w:val="bottom"/>
          </w:tcPr>
          <w:p>
            <w:pPr>
              <w:ind w:left="220"/>
              <w:spacing w:after="0"/>
              <w:rPr>
                <w:sz w:val="20"/>
                <w:szCs w:val="20"/>
                <w:color w:val="auto"/>
              </w:rPr>
            </w:pPr>
            <w:r>
              <w:rPr>
                <w:rFonts w:ascii="Arial" w:cs="Arial" w:eastAsia="Arial" w:hAnsi="Arial"/>
                <w:sz w:val="18"/>
                <w:szCs w:val="18"/>
                <w:color w:val="auto"/>
              </w:rPr>
              <w:t>Crude oil and product purchases</w:t>
            </w:r>
          </w:p>
        </w:tc>
        <w:tc>
          <w:tcPr>
            <w:tcW w:w="1960" w:type="dxa"/>
            <w:vAlign w:val="bottom"/>
          </w:tcPr>
          <w:p>
            <w:pPr>
              <w:spacing w:after="0"/>
              <w:rPr>
                <w:sz w:val="19"/>
                <w:szCs w:val="19"/>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155,164</w:t>
            </w:r>
          </w:p>
        </w:tc>
        <w:tc>
          <w:tcPr>
            <w:tcW w:w="1540" w:type="dxa"/>
            <w:vAlign w:val="bottom"/>
          </w:tcPr>
          <w:p>
            <w:pPr>
              <w:jc w:val="right"/>
              <w:ind w:right="292"/>
              <w:spacing w:after="0"/>
              <w:rPr>
                <w:sz w:val="20"/>
                <w:szCs w:val="20"/>
                <w:color w:val="auto"/>
              </w:rPr>
            </w:pPr>
            <w:r>
              <w:rPr>
                <w:rFonts w:ascii="Arial" w:cs="Arial" w:eastAsia="Arial" w:hAnsi="Arial"/>
                <w:sz w:val="18"/>
                <w:szCs w:val="18"/>
                <w:color w:val="auto"/>
              </w:rPr>
              <w:t>94,007</w:t>
            </w:r>
          </w:p>
        </w:tc>
        <w:tc>
          <w:tcPr>
            <w:tcW w:w="980" w:type="dxa"/>
            <w:vAlign w:val="bottom"/>
          </w:tcPr>
          <w:p>
            <w:pPr>
              <w:jc w:val="right"/>
              <w:spacing w:after="0"/>
              <w:rPr>
                <w:sz w:val="20"/>
                <w:szCs w:val="20"/>
                <w:color w:val="auto"/>
              </w:rPr>
            </w:pPr>
            <w:r>
              <w:rPr>
                <w:rFonts w:ascii="Arial" w:cs="Arial" w:eastAsia="Arial" w:hAnsi="Arial"/>
                <w:sz w:val="18"/>
                <w:szCs w:val="18"/>
                <w:color w:val="auto"/>
              </w:rPr>
              <w:t>143,801</w:t>
            </w:r>
          </w:p>
        </w:tc>
        <w:tc>
          <w:tcPr>
            <w:tcW w:w="0" w:type="dxa"/>
            <w:vAlign w:val="bottom"/>
          </w:tcPr>
          <w:p>
            <w:pPr>
              <w:spacing w:after="0"/>
              <w:rPr>
                <w:sz w:val="1"/>
                <w:szCs w:val="1"/>
                <w:color w:val="auto"/>
              </w:rPr>
            </w:pPr>
          </w:p>
        </w:tc>
      </w:tr>
      <w:tr>
        <w:trPr>
          <w:trHeight w:val="229"/>
        </w:trPr>
        <w:tc>
          <w:tcPr>
            <w:tcW w:w="5540" w:type="dxa"/>
            <w:vAlign w:val="bottom"/>
          </w:tcPr>
          <w:p>
            <w:pPr>
              <w:ind w:left="220"/>
              <w:spacing w:after="0"/>
              <w:rPr>
                <w:sz w:val="20"/>
                <w:szCs w:val="20"/>
                <w:color w:val="auto"/>
              </w:rPr>
            </w:pPr>
            <w:r>
              <w:rPr>
                <w:rFonts w:ascii="Arial" w:cs="Arial" w:eastAsia="Arial" w:hAnsi="Arial"/>
                <w:sz w:val="18"/>
                <w:szCs w:val="18"/>
                <w:color w:val="auto"/>
              </w:rPr>
              <w:t>Production and manufacturing expenses</w:t>
            </w:r>
          </w:p>
        </w:tc>
        <w:tc>
          <w:tcPr>
            <w:tcW w:w="1960" w:type="dxa"/>
            <w:vAlign w:val="bottom"/>
          </w:tcPr>
          <w:p>
            <w:pPr>
              <w:spacing w:after="0"/>
              <w:rPr>
                <w:sz w:val="19"/>
                <w:szCs w:val="19"/>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36,035</w:t>
            </w:r>
          </w:p>
        </w:tc>
        <w:tc>
          <w:tcPr>
            <w:tcW w:w="1540" w:type="dxa"/>
            <w:vAlign w:val="bottom"/>
          </w:tcPr>
          <w:p>
            <w:pPr>
              <w:jc w:val="right"/>
              <w:ind w:right="292"/>
              <w:spacing w:after="0"/>
              <w:rPr>
                <w:sz w:val="20"/>
                <w:szCs w:val="20"/>
                <w:color w:val="auto"/>
              </w:rPr>
            </w:pPr>
            <w:r>
              <w:rPr>
                <w:rFonts w:ascii="Arial" w:cs="Arial" w:eastAsia="Arial" w:hAnsi="Arial"/>
                <w:sz w:val="18"/>
                <w:szCs w:val="18"/>
                <w:color w:val="auto"/>
              </w:rPr>
              <w:t>30,431</w:t>
            </w:r>
          </w:p>
        </w:tc>
        <w:tc>
          <w:tcPr>
            <w:tcW w:w="980" w:type="dxa"/>
            <w:vAlign w:val="bottom"/>
          </w:tcPr>
          <w:p>
            <w:pPr>
              <w:jc w:val="right"/>
              <w:spacing w:after="0"/>
              <w:rPr>
                <w:sz w:val="20"/>
                <w:szCs w:val="20"/>
                <w:color w:val="auto"/>
              </w:rPr>
            </w:pPr>
            <w:r>
              <w:rPr>
                <w:rFonts w:ascii="Arial" w:cs="Arial" w:eastAsia="Arial" w:hAnsi="Arial"/>
                <w:sz w:val="18"/>
                <w:szCs w:val="18"/>
                <w:color w:val="auto"/>
              </w:rPr>
              <w:t>36,826</w:t>
            </w:r>
          </w:p>
        </w:tc>
        <w:tc>
          <w:tcPr>
            <w:tcW w:w="0" w:type="dxa"/>
            <w:vAlign w:val="bottom"/>
          </w:tcPr>
          <w:p>
            <w:pPr>
              <w:spacing w:after="0"/>
              <w:rPr>
                <w:sz w:val="1"/>
                <w:szCs w:val="1"/>
                <w:color w:val="auto"/>
              </w:rPr>
            </w:pPr>
          </w:p>
        </w:tc>
      </w:tr>
      <w:tr>
        <w:trPr>
          <w:trHeight w:val="230"/>
        </w:trPr>
        <w:tc>
          <w:tcPr>
            <w:tcW w:w="5540" w:type="dxa"/>
            <w:vAlign w:val="bottom"/>
          </w:tcPr>
          <w:p>
            <w:pPr>
              <w:ind w:left="220"/>
              <w:spacing w:after="0"/>
              <w:rPr>
                <w:sz w:val="20"/>
                <w:szCs w:val="20"/>
                <w:color w:val="auto"/>
              </w:rPr>
            </w:pPr>
            <w:r>
              <w:rPr>
                <w:rFonts w:ascii="Arial" w:cs="Arial" w:eastAsia="Arial" w:hAnsi="Arial"/>
                <w:sz w:val="18"/>
                <w:szCs w:val="18"/>
                <w:color w:val="auto"/>
              </w:rPr>
              <w:t>Selling, general and administrative expenses</w:t>
            </w:r>
          </w:p>
        </w:tc>
        <w:tc>
          <w:tcPr>
            <w:tcW w:w="1960" w:type="dxa"/>
            <w:vAlign w:val="bottom"/>
          </w:tcPr>
          <w:p>
            <w:pPr>
              <w:spacing w:after="0"/>
              <w:rPr>
                <w:sz w:val="19"/>
                <w:szCs w:val="19"/>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9,574</w:t>
            </w:r>
          </w:p>
        </w:tc>
        <w:tc>
          <w:tcPr>
            <w:tcW w:w="1540" w:type="dxa"/>
            <w:vAlign w:val="bottom"/>
          </w:tcPr>
          <w:p>
            <w:pPr>
              <w:jc w:val="right"/>
              <w:ind w:right="292"/>
              <w:spacing w:after="0"/>
              <w:rPr>
                <w:sz w:val="20"/>
                <w:szCs w:val="20"/>
                <w:color w:val="auto"/>
              </w:rPr>
            </w:pPr>
            <w:r>
              <w:rPr>
                <w:rFonts w:ascii="Arial" w:cs="Arial" w:eastAsia="Arial" w:hAnsi="Arial"/>
                <w:sz w:val="18"/>
                <w:szCs w:val="18"/>
                <w:color w:val="auto"/>
              </w:rPr>
              <w:t>10,168</w:t>
            </w:r>
          </w:p>
        </w:tc>
        <w:tc>
          <w:tcPr>
            <w:tcW w:w="980" w:type="dxa"/>
            <w:vAlign w:val="bottom"/>
          </w:tcPr>
          <w:p>
            <w:pPr>
              <w:jc w:val="right"/>
              <w:spacing w:after="0"/>
              <w:rPr>
                <w:sz w:val="20"/>
                <w:szCs w:val="20"/>
                <w:color w:val="auto"/>
              </w:rPr>
            </w:pPr>
            <w:r>
              <w:rPr>
                <w:rFonts w:ascii="Arial" w:cs="Arial" w:eastAsia="Arial" w:hAnsi="Arial"/>
                <w:sz w:val="18"/>
                <w:szCs w:val="18"/>
                <w:color w:val="auto"/>
              </w:rPr>
              <w:t>11,398</w:t>
            </w:r>
          </w:p>
        </w:tc>
        <w:tc>
          <w:tcPr>
            <w:tcW w:w="0" w:type="dxa"/>
            <w:vAlign w:val="bottom"/>
          </w:tcPr>
          <w:p>
            <w:pPr>
              <w:spacing w:after="0"/>
              <w:rPr>
                <w:sz w:val="1"/>
                <w:szCs w:val="1"/>
                <w:color w:val="auto"/>
              </w:rPr>
            </w:pPr>
          </w:p>
        </w:tc>
      </w:tr>
      <w:tr>
        <w:trPr>
          <w:trHeight w:val="229"/>
        </w:trPr>
        <w:tc>
          <w:tcPr>
            <w:tcW w:w="5540" w:type="dxa"/>
            <w:vAlign w:val="bottom"/>
          </w:tcPr>
          <w:p>
            <w:pPr>
              <w:ind w:left="220"/>
              <w:spacing w:after="0"/>
              <w:rPr>
                <w:sz w:val="20"/>
                <w:szCs w:val="20"/>
                <w:color w:val="auto"/>
              </w:rPr>
            </w:pPr>
            <w:r>
              <w:rPr>
                <w:rFonts w:ascii="Arial" w:cs="Arial" w:eastAsia="Arial" w:hAnsi="Arial"/>
                <w:sz w:val="18"/>
                <w:szCs w:val="18"/>
                <w:color w:val="auto"/>
              </w:rPr>
              <w:t>Depreciation and depletion (includes impairments)</w:t>
            </w:r>
          </w:p>
        </w:tc>
        <w:tc>
          <w:tcPr>
            <w:tcW w:w="1960" w:type="dxa"/>
            <w:vAlign w:val="bottom"/>
          </w:tcPr>
          <w:p>
            <w:pPr>
              <w:jc w:val="center"/>
              <w:ind w:left="508"/>
              <w:spacing w:after="0"/>
              <w:rPr>
                <w:sz w:val="20"/>
                <w:szCs w:val="20"/>
                <w:color w:val="auto"/>
              </w:rPr>
            </w:pPr>
            <w:r>
              <w:rPr>
                <w:rFonts w:ascii="Arial" w:cs="Arial" w:eastAsia="Arial" w:hAnsi="Arial"/>
                <w:sz w:val="14"/>
                <w:szCs w:val="14"/>
                <w:color w:val="auto"/>
                <w:w w:val="94"/>
              </w:rPr>
              <w:t>3, 9</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20,607</w:t>
            </w:r>
          </w:p>
        </w:tc>
        <w:tc>
          <w:tcPr>
            <w:tcW w:w="1540" w:type="dxa"/>
            <w:vAlign w:val="bottom"/>
          </w:tcPr>
          <w:p>
            <w:pPr>
              <w:jc w:val="right"/>
              <w:ind w:right="292"/>
              <w:spacing w:after="0"/>
              <w:rPr>
                <w:sz w:val="20"/>
                <w:szCs w:val="20"/>
                <w:color w:val="auto"/>
              </w:rPr>
            </w:pPr>
            <w:r>
              <w:rPr>
                <w:rFonts w:ascii="Arial" w:cs="Arial" w:eastAsia="Arial" w:hAnsi="Arial"/>
                <w:sz w:val="18"/>
                <w:szCs w:val="18"/>
                <w:color w:val="auto"/>
              </w:rPr>
              <w:t>46,009</w:t>
            </w:r>
          </w:p>
        </w:tc>
        <w:tc>
          <w:tcPr>
            <w:tcW w:w="980" w:type="dxa"/>
            <w:vAlign w:val="bottom"/>
          </w:tcPr>
          <w:p>
            <w:pPr>
              <w:jc w:val="right"/>
              <w:spacing w:after="0"/>
              <w:rPr>
                <w:sz w:val="20"/>
                <w:szCs w:val="20"/>
                <w:color w:val="auto"/>
              </w:rPr>
            </w:pPr>
            <w:r>
              <w:rPr>
                <w:rFonts w:ascii="Arial" w:cs="Arial" w:eastAsia="Arial" w:hAnsi="Arial"/>
                <w:sz w:val="18"/>
                <w:szCs w:val="18"/>
                <w:color w:val="auto"/>
              </w:rPr>
              <w:t>18,998</w:t>
            </w:r>
          </w:p>
        </w:tc>
        <w:tc>
          <w:tcPr>
            <w:tcW w:w="0" w:type="dxa"/>
            <w:vAlign w:val="bottom"/>
          </w:tcPr>
          <w:p>
            <w:pPr>
              <w:spacing w:after="0"/>
              <w:rPr>
                <w:sz w:val="1"/>
                <w:szCs w:val="1"/>
                <w:color w:val="auto"/>
              </w:rPr>
            </w:pPr>
          </w:p>
        </w:tc>
      </w:tr>
      <w:tr>
        <w:trPr>
          <w:trHeight w:val="230"/>
        </w:trPr>
        <w:tc>
          <w:tcPr>
            <w:tcW w:w="5540" w:type="dxa"/>
            <w:vAlign w:val="bottom"/>
          </w:tcPr>
          <w:p>
            <w:pPr>
              <w:ind w:left="220"/>
              <w:spacing w:after="0"/>
              <w:rPr>
                <w:sz w:val="20"/>
                <w:szCs w:val="20"/>
                <w:color w:val="auto"/>
              </w:rPr>
            </w:pPr>
            <w:r>
              <w:rPr>
                <w:rFonts w:ascii="Arial" w:cs="Arial" w:eastAsia="Arial" w:hAnsi="Arial"/>
                <w:sz w:val="18"/>
                <w:szCs w:val="18"/>
                <w:color w:val="auto"/>
              </w:rPr>
              <w:t>Exploration expenses, including dry holes</w:t>
            </w:r>
          </w:p>
        </w:tc>
        <w:tc>
          <w:tcPr>
            <w:tcW w:w="1960" w:type="dxa"/>
            <w:vAlign w:val="bottom"/>
          </w:tcPr>
          <w:p>
            <w:pPr>
              <w:spacing w:after="0"/>
              <w:rPr>
                <w:sz w:val="19"/>
                <w:szCs w:val="19"/>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1,054</w:t>
            </w:r>
          </w:p>
        </w:tc>
        <w:tc>
          <w:tcPr>
            <w:tcW w:w="1540" w:type="dxa"/>
            <w:vAlign w:val="bottom"/>
          </w:tcPr>
          <w:p>
            <w:pPr>
              <w:jc w:val="right"/>
              <w:ind w:right="292"/>
              <w:spacing w:after="0"/>
              <w:rPr>
                <w:sz w:val="20"/>
                <w:szCs w:val="20"/>
                <w:color w:val="auto"/>
              </w:rPr>
            </w:pPr>
            <w:r>
              <w:rPr>
                <w:rFonts w:ascii="Arial" w:cs="Arial" w:eastAsia="Arial" w:hAnsi="Arial"/>
                <w:sz w:val="18"/>
                <w:szCs w:val="18"/>
                <w:color w:val="auto"/>
              </w:rPr>
              <w:t>1,285</w:t>
            </w:r>
          </w:p>
        </w:tc>
        <w:tc>
          <w:tcPr>
            <w:tcW w:w="980" w:type="dxa"/>
            <w:vAlign w:val="bottom"/>
          </w:tcPr>
          <w:p>
            <w:pPr>
              <w:jc w:val="right"/>
              <w:spacing w:after="0"/>
              <w:rPr>
                <w:sz w:val="20"/>
                <w:szCs w:val="20"/>
                <w:color w:val="auto"/>
              </w:rPr>
            </w:pPr>
            <w:r>
              <w:rPr>
                <w:rFonts w:ascii="Arial" w:cs="Arial" w:eastAsia="Arial" w:hAnsi="Arial"/>
                <w:sz w:val="18"/>
                <w:szCs w:val="18"/>
                <w:color w:val="auto"/>
              </w:rPr>
              <w:t>1,269</w:t>
            </w:r>
          </w:p>
        </w:tc>
        <w:tc>
          <w:tcPr>
            <w:tcW w:w="0" w:type="dxa"/>
            <w:vAlign w:val="bottom"/>
          </w:tcPr>
          <w:p>
            <w:pPr>
              <w:spacing w:after="0"/>
              <w:rPr>
                <w:sz w:val="1"/>
                <w:szCs w:val="1"/>
                <w:color w:val="auto"/>
              </w:rPr>
            </w:pPr>
          </w:p>
        </w:tc>
      </w:tr>
      <w:tr>
        <w:trPr>
          <w:trHeight w:val="229"/>
        </w:trPr>
        <w:tc>
          <w:tcPr>
            <w:tcW w:w="5540" w:type="dxa"/>
            <w:vAlign w:val="bottom"/>
          </w:tcPr>
          <w:p>
            <w:pPr>
              <w:ind w:left="220"/>
              <w:spacing w:after="0"/>
              <w:rPr>
                <w:sz w:val="20"/>
                <w:szCs w:val="20"/>
                <w:color w:val="auto"/>
              </w:rPr>
            </w:pPr>
            <w:r>
              <w:rPr>
                <w:rFonts w:ascii="Arial" w:cs="Arial" w:eastAsia="Arial" w:hAnsi="Arial"/>
                <w:sz w:val="18"/>
                <w:szCs w:val="18"/>
                <w:color w:val="auto"/>
              </w:rPr>
              <w:t>Non-service pension and postretirement benefit expense</w:t>
            </w:r>
          </w:p>
        </w:tc>
        <w:tc>
          <w:tcPr>
            <w:tcW w:w="1960" w:type="dxa"/>
            <w:vAlign w:val="bottom"/>
          </w:tcPr>
          <w:p>
            <w:pPr>
              <w:jc w:val="center"/>
              <w:ind w:left="508"/>
              <w:spacing w:after="0"/>
              <w:rPr>
                <w:sz w:val="20"/>
                <w:szCs w:val="20"/>
                <w:color w:val="auto"/>
              </w:rPr>
            </w:pPr>
            <w:r>
              <w:rPr>
                <w:rFonts w:ascii="Arial" w:cs="Arial" w:eastAsia="Arial" w:hAnsi="Arial"/>
                <w:sz w:val="14"/>
                <w:szCs w:val="14"/>
                <w:color w:val="auto"/>
                <w:w w:val="89"/>
              </w:rPr>
              <w:t>17</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786</w:t>
            </w:r>
          </w:p>
        </w:tc>
        <w:tc>
          <w:tcPr>
            <w:tcW w:w="1540" w:type="dxa"/>
            <w:vAlign w:val="bottom"/>
          </w:tcPr>
          <w:p>
            <w:pPr>
              <w:jc w:val="right"/>
              <w:ind w:right="292"/>
              <w:spacing w:after="0"/>
              <w:rPr>
                <w:sz w:val="20"/>
                <w:szCs w:val="20"/>
                <w:color w:val="auto"/>
              </w:rPr>
            </w:pPr>
            <w:r>
              <w:rPr>
                <w:rFonts w:ascii="Arial" w:cs="Arial" w:eastAsia="Arial" w:hAnsi="Arial"/>
                <w:sz w:val="18"/>
                <w:szCs w:val="18"/>
                <w:color w:val="auto"/>
              </w:rPr>
              <w:t>1,205</w:t>
            </w:r>
          </w:p>
        </w:tc>
        <w:tc>
          <w:tcPr>
            <w:tcW w:w="980" w:type="dxa"/>
            <w:vAlign w:val="bottom"/>
          </w:tcPr>
          <w:p>
            <w:pPr>
              <w:jc w:val="right"/>
              <w:spacing w:after="0"/>
              <w:rPr>
                <w:sz w:val="20"/>
                <w:szCs w:val="20"/>
                <w:color w:val="auto"/>
              </w:rPr>
            </w:pPr>
            <w:r>
              <w:rPr>
                <w:rFonts w:ascii="Arial" w:cs="Arial" w:eastAsia="Arial" w:hAnsi="Arial"/>
                <w:sz w:val="18"/>
                <w:szCs w:val="18"/>
                <w:color w:val="auto"/>
              </w:rPr>
              <w:t>1,235</w:t>
            </w:r>
          </w:p>
        </w:tc>
        <w:tc>
          <w:tcPr>
            <w:tcW w:w="0" w:type="dxa"/>
            <w:vAlign w:val="bottom"/>
          </w:tcPr>
          <w:p>
            <w:pPr>
              <w:spacing w:after="0"/>
              <w:rPr>
                <w:sz w:val="1"/>
                <w:szCs w:val="1"/>
                <w:color w:val="auto"/>
              </w:rPr>
            </w:pPr>
          </w:p>
        </w:tc>
      </w:tr>
      <w:tr>
        <w:trPr>
          <w:trHeight w:val="229"/>
        </w:trPr>
        <w:tc>
          <w:tcPr>
            <w:tcW w:w="554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1960" w:type="dxa"/>
            <w:vAlign w:val="bottom"/>
          </w:tcPr>
          <w:p>
            <w:pPr>
              <w:spacing w:after="0"/>
              <w:rPr>
                <w:sz w:val="19"/>
                <w:szCs w:val="19"/>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947</w:t>
            </w:r>
          </w:p>
        </w:tc>
        <w:tc>
          <w:tcPr>
            <w:tcW w:w="1540" w:type="dxa"/>
            <w:vAlign w:val="bottom"/>
          </w:tcPr>
          <w:p>
            <w:pPr>
              <w:jc w:val="right"/>
              <w:ind w:right="292"/>
              <w:spacing w:after="0"/>
              <w:rPr>
                <w:sz w:val="20"/>
                <w:szCs w:val="20"/>
                <w:color w:val="auto"/>
              </w:rPr>
            </w:pPr>
            <w:r>
              <w:rPr>
                <w:rFonts w:ascii="Arial" w:cs="Arial" w:eastAsia="Arial" w:hAnsi="Arial"/>
                <w:sz w:val="18"/>
                <w:szCs w:val="18"/>
                <w:color w:val="auto"/>
              </w:rPr>
              <w:t>1,158</w:t>
            </w:r>
          </w:p>
        </w:tc>
        <w:tc>
          <w:tcPr>
            <w:tcW w:w="980" w:type="dxa"/>
            <w:vAlign w:val="bottom"/>
          </w:tcPr>
          <w:p>
            <w:pPr>
              <w:jc w:val="right"/>
              <w:spacing w:after="0"/>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r>
        <w:trPr>
          <w:trHeight w:val="230"/>
        </w:trPr>
        <w:tc>
          <w:tcPr>
            <w:tcW w:w="5540" w:type="dxa"/>
            <w:vAlign w:val="bottom"/>
          </w:tcPr>
          <w:p>
            <w:pPr>
              <w:ind w:left="220"/>
              <w:spacing w:after="0"/>
              <w:rPr>
                <w:sz w:val="20"/>
                <w:szCs w:val="20"/>
                <w:color w:val="auto"/>
              </w:rPr>
            </w:pPr>
            <w:r>
              <w:rPr>
                <w:rFonts w:ascii="Arial" w:cs="Arial" w:eastAsia="Arial" w:hAnsi="Arial"/>
                <w:sz w:val="18"/>
                <w:szCs w:val="18"/>
                <w:color w:val="auto"/>
              </w:rPr>
              <w:t>Other taxes and duties</w:t>
            </w:r>
          </w:p>
        </w:tc>
        <w:tc>
          <w:tcPr>
            <w:tcW w:w="1960" w:type="dxa"/>
            <w:vAlign w:val="bottom"/>
          </w:tcPr>
          <w:p>
            <w:pPr>
              <w:jc w:val="center"/>
              <w:ind w:left="508"/>
              <w:spacing w:after="0"/>
              <w:rPr>
                <w:sz w:val="20"/>
                <w:szCs w:val="20"/>
                <w:color w:val="auto"/>
              </w:rPr>
            </w:pPr>
            <w:r>
              <w:rPr>
                <w:rFonts w:ascii="Arial" w:cs="Arial" w:eastAsia="Arial" w:hAnsi="Arial"/>
                <w:sz w:val="14"/>
                <w:szCs w:val="14"/>
                <w:color w:val="auto"/>
                <w:w w:val="89"/>
              </w:rPr>
              <w:t>19</w:t>
            </w:r>
          </w:p>
        </w:tc>
        <w:tc>
          <w:tcPr>
            <w:tcW w:w="1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30,239</w:t>
            </w:r>
          </w:p>
        </w:tc>
        <w:tc>
          <w:tcPr>
            <w:tcW w:w="154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26,122</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30,525</w:t>
            </w:r>
          </w:p>
        </w:tc>
        <w:tc>
          <w:tcPr>
            <w:tcW w:w="0" w:type="dxa"/>
            <w:vAlign w:val="bottom"/>
          </w:tcPr>
          <w:p>
            <w:pPr>
              <w:spacing w:after="0"/>
              <w:rPr>
                <w:sz w:val="1"/>
                <w:szCs w:val="1"/>
                <w:color w:val="auto"/>
              </w:rPr>
            </w:pPr>
          </w:p>
        </w:tc>
      </w:tr>
      <w:tr>
        <w:trPr>
          <w:trHeight w:val="223"/>
        </w:trPr>
        <w:tc>
          <w:tcPr>
            <w:tcW w:w="5540" w:type="dxa"/>
            <w:vAlign w:val="bottom"/>
          </w:tcPr>
          <w:p>
            <w:pPr>
              <w:ind w:left="480"/>
              <w:spacing w:after="0"/>
              <w:rPr>
                <w:sz w:val="20"/>
                <w:szCs w:val="20"/>
                <w:color w:val="auto"/>
              </w:rPr>
            </w:pPr>
            <w:r>
              <w:rPr>
                <w:rFonts w:ascii="Arial" w:cs="Arial" w:eastAsia="Arial" w:hAnsi="Arial"/>
                <w:sz w:val="18"/>
                <w:szCs w:val="18"/>
                <w:color w:val="auto"/>
              </w:rPr>
              <w:t>Total costs and other deductions</w:t>
            </w:r>
          </w:p>
        </w:tc>
        <w:tc>
          <w:tcPr>
            <w:tcW w:w="1960" w:type="dxa"/>
            <w:vAlign w:val="bottom"/>
          </w:tcPr>
          <w:p>
            <w:pPr>
              <w:spacing w:after="0"/>
              <w:rPr>
                <w:sz w:val="19"/>
                <w:szCs w:val="19"/>
                <w:color w:val="auto"/>
              </w:rPr>
            </w:pPr>
          </w:p>
        </w:tc>
        <w:tc>
          <w:tcPr>
            <w:tcW w:w="1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254,406</w:t>
            </w:r>
          </w:p>
        </w:tc>
        <w:tc>
          <w:tcPr>
            <w:tcW w:w="154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210,385</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244,882</w:t>
            </w:r>
          </w:p>
        </w:tc>
        <w:tc>
          <w:tcPr>
            <w:tcW w:w="0" w:type="dxa"/>
            <w:vAlign w:val="bottom"/>
          </w:tcPr>
          <w:p>
            <w:pPr>
              <w:spacing w:after="0"/>
              <w:rPr>
                <w:sz w:val="1"/>
                <w:szCs w:val="1"/>
                <w:color w:val="auto"/>
              </w:rPr>
            </w:pPr>
          </w:p>
        </w:tc>
      </w:tr>
      <w:tr>
        <w:trPr>
          <w:trHeight w:val="222"/>
        </w:trPr>
        <w:tc>
          <w:tcPr>
            <w:tcW w:w="5540" w:type="dxa"/>
            <w:vAlign w:val="bottom"/>
          </w:tcPr>
          <w:p>
            <w:pPr>
              <w:ind w:left="20"/>
              <w:spacing w:after="0"/>
              <w:rPr>
                <w:sz w:val="20"/>
                <w:szCs w:val="20"/>
                <w:color w:val="auto"/>
              </w:rPr>
            </w:pPr>
            <w:r>
              <w:rPr>
                <w:rFonts w:ascii="Arial" w:cs="Arial" w:eastAsia="Arial" w:hAnsi="Arial"/>
                <w:sz w:val="18"/>
                <w:szCs w:val="18"/>
                <w:color w:val="auto"/>
              </w:rPr>
              <w:t>Income (loss) before income taxes</w:t>
            </w:r>
          </w:p>
        </w:tc>
        <w:tc>
          <w:tcPr>
            <w:tcW w:w="1960" w:type="dxa"/>
            <w:vAlign w:val="bottom"/>
          </w:tcPr>
          <w:p>
            <w:pPr>
              <w:spacing w:after="0"/>
              <w:rPr>
                <w:sz w:val="19"/>
                <w:szCs w:val="19"/>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31,234</w:t>
            </w:r>
          </w:p>
        </w:tc>
        <w:tc>
          <w:tcPr>
            <w:tcW w:w="1540" w:type="dxa"/>
            <w:vAlign w:val="bottom"/>
          </w:tcPr>
          <w:p>
            <w:pPr>
              <w:jc w:val="right"/>
              <w:ind w:right="232"/>
              <w:spacing w:after="0"/>
              <w:rPr>
                <w:sz w:val="20"/>
                <w:szCs w:val="20"/>
                <w:color w:val="auto"/>
              </w:rPr>
            </w:pPr>
            <w:r>
              <w:rPr>
                <w:rFonts w:ascii="Arial" w:cs="Arial" w:eastAsia="Arial" w:hAnsi="Arial"/>
                <w:sz w:val="18"/>
                <w:szCs w:val="18"/>
                <w:color w:val="auto"/>
              </w:rPr>
              <w:t>(28,883)</w:t>
            </w:r>
          </w:p>
        </w:tc>
        <w:tc>
          <w:tcPr>
            <w:tcW w:w="980" w:type="dxa"/>
            <w:vAlign w:val="bottom"/>
          </w:tcPr>
          <w:p>
            <w:pPr>
              <w:jc w:val="right"/>
              <w:spacing w:after="0"/>
              <w:rPr>
                <w:sz w:val="20"/>
                <w:szCs w:val="20"/>
                <w:color w:val="auto"/>
              </w:rPr>
            </w:pPr>
            <w:r>
              <w:rPr>
                <w:rFonts w:ascii="Arial" w:cs="Arial" w:eastAsia="Arial" w:hAnsi="Arial"/>
                <w:sz w:val="18"/>
                <w:szCs w:val="18"/>
                <w:color w:val="auto"/>
              </w:rPr>
              <w:t>20,056</w:t>
            </w:r>
          </w:p>
        </w:tc>
        <w:tc>
          <w:tcPr>
            <w:tcW w:w="0" w:type="dxa"/>
            <w:vAlign w:val="bottom"/>
          </w:tcPr>
          <w:p>
            <w:pPr>
              <w:spacing w:after="0"/>
              <w:rPr>
                <w:sz w:val="1"/>
                <w:szCs w:val="1"/>
                <w:color w:val="auto"/>
              </w:rPr>
            </w:pPr>
          </w:p>
        </w:tc>
      </w:tr>
      <w:tr>
        <w:trPr>
          <w:trHeight w:val="230"/>
        </w:trPr>
        <w:tc>
          <w:tcPr>
            <w:tcW w:w="5540" w:type="dxa"/>
            <w:vAlign w:val="bottom"/>
          </w:tcPr>
          <w:p>
            <w:pPr>
              <w:ind w:left="220"/>
              <w:spacing w:after="0"/>
              <w:rPr>
                <w:sz w:val="20"/>
                <w:szCs w:val="20"/>
                <w:color w:val="auto"/>
              </w:rPr>
            </w:pPr>
            <w:r>
              <w:rPr>
                <w:rFonts w:ascii="Arial" w:cs="Arial" w:eastAsia="Arial" w:hAnsi="Arial"/>
                <w:sz w:val="18"/>
                <w:szCs w:val="18"/>
                <w:color w:val="auto"/>
              </w:rPr>
              <w:t>Income tax expense (benefit)</w:t>
            </w:r>
          </w:p>
        </w:tc>
        <w:tc>
          <w:tcPr>
            <w:tcW w:w="1960" w:type="dxa"/>
            <w:vAlign w:val="bottom"/>
          </w:tcPr>
          <w:p>
            <w:pPr>
              <w:jc w:val="center"/>
              <w:ind w:left="508"/>
              <w:spacing w:after="0"/>
              <w:rPr>
                <w:sz w:val="20"/>
                <w:szCs w:val="20"/>
                <w:color w:val="auto"/>
              </w:rPr>
            </w:pPr>
            <w:r>
              <w:rPr>
                <w:rFonts w:ascii="Arial" w:cs="Arial" w:eastAsia="Arial" w:hAnsi="Arial"/>
                <w:sz w:val="14"/>
                <w:szCs w:val="14"/>
                <w:color w:val="auto"/>
                <w:w w:val="89"/>
              </w:rPr>
              <w:t>19</w:t>
            </w:r>
          </w:p>
        </w:tc>
        <w:tc>
          <w:tcPr>
            <w:tcW w:w="1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7,636</w:t>
            </w:r>
          </w:p>
        </w:tc>
        <w:tc>
          <w:tcPr>
            <w:tcW w:w="154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(5,632)</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5,282</w:t>
            </w:r>
          </w:p>
        </w:tc>
        <w:tc>
          <w:tcPr>
            <w:tcW w:w="0" w:type="dxa"/>
            <w:vAlign w:val="bottom"/>
          </w:tcPr>
          <w:p>
            <w:pPr>
              <w:spacing w:after="0"/>
              <w:rPr>
                <w:sz w:val="1"/>
                <w:szCs w:val="1"/>
                <w:color w:val="auto"/>
              </w:rPr>
            </w:pPr>
          </w:p>
        </w:tc>
      </w:tr>
      <w:tr>
        <w:trPr>
          <w:trHeight w:val="222"/>
        </w:trPr>
        <w:tc>
          <w:tcPr>
            <w:tcW w:w="5540" w:type="dxa"/>
            <w:vAlign w:val="bottom"/>
          </w:tcPr>
          <w:p>
            <w:pPr>
              <w:ind w:left="20"/>
              <w:spacing w:after="0"/>
              <w:rPr>
                <w:sz w:val="20"/>
                <w:szCs w:val="20"/>
                <w:color w:val="auto"/>
              </w:rPr>
            </w:pPr>
            <w:r>
              <w:rPr>
                <w:rFonts w:ascii="Arial" w:cs="Arial" w:eastAsia="Arial" w:hAnsi="Arial"/>
                <w:sz w:val="18"/>
                <w:szCs w:val="18"/>
                <w:color w:val="auto"/>
              </w:rPr>
              <w:t>Net income (loss) including noncontrolling interests</w:t>
            </w:r>
          </w:p>
        </w:tc>
        <w:tc>
          <w:tcPr>
            <w:tcW w:w="1960" w:type="dxa"/>
            <w:vAlign w:val="bottom"/>
          </w:tcPr>
          <w:p>
            <w:pPr>
              <w:spacing w:after="0"/>
              <w:rPr>
                <w:sz w:val="19"/>
                <w:szCs w:val="19"/>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23,598</w:t>
            </w:r>
          </w:p>
        </w:tc>
        <w:tc>
          <w:tcPr>
            <w:tcW w:w="1540" w:type="dxa"/>
            <w:vAlign w:val="bottom"/>
          </w:tcPr>
          <w:p>
            <w:pPr>
              <w:jc w:val="right"/>
              <w:ind w:right="232"/>
              <w:spacing w:after="0"/>
              <w:rPr>
                <w:sz w:val="20"/>
                <w:szCs w:val="20"/>
                <w:color w:val="auto"/>
              </w:rPr>
            </w:pPr>
            <w:r>
              <w:rPr>
                <w:rFonts w:ascii="Arial" w:cs="Arial" w:eastAsia="Arial" w:hAnsi="Arial"/>
                <w:sz w:val="18"/>
                <w:szCs w:val="18"/>
                <w:color w:val="auto"/>
              </w:rPr>
              <w:t>(23,251)</w:t>
            </w:r>
          </w:p>
        </w:tc>
        <w:tc>
          <w:tcPr>
            <w:tcW w:w="980" w:type="dxa"/>
            <w:vAlign w:val="bottom"/>
          </w:tcPr>
          <w:p>
            <w:pPr>
              <w:jc w:val="right"/>
              <w:spacing w:after="0"/>
              <w:rPr>
                <w:sz w:val="20"/>
                <w:szCs w:val="20"/>
                <w:color w:val="auto"/>
              </w:rPr>
            </w:pPr>
            <w:r>
              <w:rPr>
                <w:rFonts w:ascii="Arial" w:cs="Arial" w:eastAsia="Arial" w:hAnsi="Arial"/>
                <w:sz w:val="18"/>
                <w:szCs w:val="18"/>
                <w:color w:val="auto"/>
              </w:rPr>
              <w:t>14,774</w:t>
            </w:r>
          </w:p>
        </w:tc>
        <w:tc>
          <w:tcPr>
            <w:tcW w:w="0" w:type="dxa"/>
            <w:vAlign w:val="bottom"/>
          </w:tcPr>
          <w:p>
            <w:pPr>
              <w:spacing w:after="0"/>
              <w:rPr>
                <w:sz w:val="1"/>
                <w:szCs w:val="1"/>
                <w:color w:val="auto"/>
              </w:rPr>
            </w:pPr>
          </w:p>
        </w:tc>
      </w:tr>
      <w:tr>
        <w:trPr>
          <w:trHeight w:val="230"/>
        </w:trPr>
        <w:tc>
          <w:tcPr>
            <w:tcW w:w="5540" w:type="dxa"/>
            <w:vAlign w:val="bottom"/>
          </w:tcPr>
          <w:p>
            <w:pPr>
              <w:ind w:left="220"/>
              <w:spacing w:after="0"/>
              <w:rPr>
                <w:sz w:val="20"/>
                <w:szCs w:val="20"/>
                <w:color w:val="auto"/>
              </w:rPr>
            </w:pPr>
            <w:r>
              <w:rPr>
                <w:rFonts w:ascii="Arial" w:cs="Arial" w:eastAsia="Arial" w:hAnsi="Arial"/>
                <w:sz w:val="18"/>
                <w:szCs w:val="18"/>
                <w:color w:val="auto"/>
              </w:rPr>
              <w:t>Net income (loss) attributable to noncontrolling interests</w:t>
            </w:r>
          </w:p>
        </w:tc>
        <w:tc>
          <w:tcPr>
            <w:tcW w:w="1960" w:type="dxa"/>
            <w:vAlign w:val="bottom"/>
          </w:tcPr>
          <w:p>
            <w:pPr>
              <w:spacing w:after="0"/>
              <w:rPr>
                <w:sz w:val="20"/>
                <w:szCs w:val="20"/>
                <w:color w:val="auto"/>
              </w:rPr>
            </w:pPr>
          </w:p>
        </w:tc>
        <w:tc>
          <w:tcPr>
            <w:tcW w:w="1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558</w:t>
            </w:r>
          </w:p>
        </w:tc>
        <w:tc>
          <w:tcPr>
            <w:tcW w:w="154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(811)</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23"/>
        </w:trPr>
        <w:tc>
          <w:tcPr>
            <w:tcW w:w="5540" w:type="dxa"/>
            <w:vAlign w:val="bottom"/>
          </w:tcPr>
          <w:p>
            <w:pPr>
              <w:ind w:left="20"/>
              <w:spacing w:after="0"/>
              <w:rPr>
                <w:sz w:val="20"/>
                <w:szCs w:val="20"/>
                <w:color w:val="auto"/>
              </w:rPr>
            </w:pPr>
            <w:r>
              <w:rPr>
                <w:rFonts w:ascii="Arial" w:cs="Arial" w:eastAsia="Arial" w:hAnsi="Arial"/>
                <w:sz w:val="18"/>
                <w:szCs w:val="18"/>
                <w:color w:val="auto"/>
              </w:rPr>
              <w:t>Net income (loss) attributable to ExxonMobil</w:t>
            </w:r>
          </w:p>
        </w:tc>
        <w:tc>
          <w:tcPr>
            <w:tcW w:w="1960" w:type="dxa"/>
            <w:vAlign w:val="bottom"/>
          </w:tcPr>
          <w:p>
            <w:pPr>
              <w:spacing w:after="0"/>
              <w:rPr>
                <w:sz w:val="19"/>
                <w:szCs w:val="19"/>
                <w:color w:val="auto"/>
              </w:rPr>
            </w:pPr>
          </w:p>
        </w:tc>
        <w:tc>
          <w:tcPr>
            <w:tcW w:w="1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23,040</w:t>
            </w:r>
          </w:p>
        </w:tc>
        <w:tc>
          <w:tcPr>
            <w:tcW w:w="154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(22,440)</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14,340</w:t>
            </w:r>
          </w:p>
        </w:tc>
        <w:tc>
          <w:tcPr>
            <w:tcW w:w="0" w:type="dxa"/>
            <w:vAlign w:val="bottom"/>
          </w:tcPr>
          <w:p>
            <w:pPr>
              <w:spacing w:after="0"/>
              <w:rPr>
                <w:sz w:val="1"/>
                <w:szCs w:val="1"/>
                <w:color w:val="auto"/>
              </w:rPr>
            </w:pPr>
          </w:p>
        </w:tc>
      </w:tr>
      <w:tr>
        <w:trPr>
          <w:trHeight w:val="480"/>
        </w:trPr>
        <w:tc>
          <w:tcPr>
            <w:tcW w:w="5540" w:type="dxa"/>
            <w:vAlign w:val="bottom"/>
          </w:tcPr>
          <w:p>
            <w:pPr>
              <w:ind w:left="20"/>
              <w:spacing w:after="0"/>
              <w:rPr>
                <w:sz w:val="20"/>
                <w:szCs w:val="20"/>
                <w:color w:val="auto"/>
              </w:rPr>
            </w:pPr>
            <w:r>
              <w:rPr>
                <w:rFonts w:ascii="Arial" w:cs="Arial" w:eastAsia="Arial" w:hAnsi="Arial"/>
                <w:sz w:val="18"/>
                <w:szCs w:val="18"/>
                <w:color w:val="auto"/>
              </w:rPr>
              <w:t xml:space="preserve">Earnings (loss) per common share </w:t>
            </w:r>
            <w:r>
              <w:rPr>
                <w:rFonts w:ascii="Arial" w:cs="Arial" w:eastAsia="Arial" w:hAnsi="Arial"/>
                <w:sz w:val="18"/>
                <w:szCs w:val="18"/>
                <w:i w:val="1"/>
                <w:iCs w:val="1"/>
                <w:color w:val="auto"/>
              </w:rPr>
              <w:t>(dollars)</w:t>
            </w:r>
          </w:p>
        </w:tc>
        <w:tc>
          <w:tcPr>
            <w:tcW w:w="1960" w:type="dxa"/>
            <w:vAlign w:val="bottom"/>
          </w:tcPr>
          <w:p>
            <w:pPr>
              <w:jc w:val="center"/>
              <w:ind w:left="508"/>
              <w:spacing w:after="0"/>
              <w:rPr>
                <w:sz w:val="20"/>
                <w:szCs w:val="20"/>
                <w:color w:val="auto"/>
              </w:rPr>
            </w:pPr>
            <w:r>
              <w:rPr>
                <w:rFonts w:ascii="Arial" w:cs="Arial" w:eastAsia="Arial" w:hAnsi="Arial"/>
                <w:sz w:val="14"/>
                <w:szCs w:val="14"/>
                <w:color w:val="auto"/>
                <w:w w:val="89"/>
              </w:rPr>
              <w:t>12</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5.39</w:t>
            </w:r>
          </w:p>
        </w:tc>
        <w:tc>
          <w:tcPr>
            <w:tcW w:w="1540" w:type="dxa"/>
            <w:vAlign w:val="bottom"/>
          </w:tcPr>
          <w:p>
            <w:pPr>
              <w:jc w:val="right"/>
              <w:ind w:right="232"/>
              <w:spacing w:after="0"/>
              <w:rPr>
                <w:sz w:val="20"/>
                <w:szCs w:val="20"/>
                <w:color w:val="auto"/>
              </w:rPr>
            </w:pPr>
            <w:r>
              <w:rPr>
                <w:rFonts w:ascii="Arial" w:cs="Arial" w:eastAsia="Arial" w:hAnsi="Arial"/>
                <w:sz w:val="18"/>
                <w:szCs w:val="18"/>
                <w:color w:val="auto"/>
              </w:rPr>
              <w:t>(5.25)</w:t>
            </w:r>
          </w:p>
        </w:tc>
        <w:tc>
          <w:tcPr>
            <w:tcW w:w="980" w:type="dxa"/>
            <w:vAlign w:val="bottom"/>
          </w:tcPr>
          <w:p>
            <w:pPr>
              <w:jc w:val="right"/>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500"/>
        </w:trPr>
        <w:tc>
          <w:tcPr>
            <w:tcW w:w="5540" w:type="dxa"/>
            <w:vAlign w:val="bottom"/>
          </w:tcPr>
          <w:p>
            <w:pPr>
              <w:ind w:left="20"/>
              <w:spacing w:after="0"/>
              <w:rPr>
                <w:sz w:val="20"/>
                <w:szCs w:val="20"/>
                <w:color w:val="auto"/>
              </w:rPr>
            </w:pPr>
            <w:r>
              <w:rPr>
                <w:rFonts w:ascii="Arial" w:cs="Arial" w:eastAsia="Arial" w:hAnsi="Arial"/>
                <w:sz w:val="18"/>
                <w:szCs w:val="18"/>
                <w:color w:val="auto"/>
              </w:rPr>
              <w:t xml:space="preserve">Earnings (loss) per common share - assuming dilution </w:t>
            </w:r>
            <w:r>
              <w:rPr>
                <w:rFonts w:ascii="Arial" w:cs="Arial" w:eastAsia="Arial" w:hAnsi="Arial"/>
                <w:sz w:val="18"/>
                <w:szCs w:val="18"/>
                <w:i w:val="1"/>
                <w:iCs w:val="1"/>
                <w:color w:val="auto"/>
              </w:rPr>
              <w:t>(dollars)</w:t>
            </w:r>
          </w:p>
        </w:tc>
        <w:tc>
          <w:tcPr>
            <w:tcW w:w="1960" w:type="dxa"/>
            <w:vAlign w:val="bottom"/>
          </w:tcPr>
          <w:p>
            <w:pPr>
              <w:jc w:val="center"/>
              <w:ind w:left="508"/>
              <w:spacing w:after="0"/>
              <w:rPr>
                <w:sz w:val="20"/>
                <w:szCs w:val="20"/>
                <w:color w:val="auto"/>
              </w:rPr>
            </w:pPr>
            <w:r>
              <w:rPr>
                <w:rFonts w:ascii="Arial" w:cs="Arial" w:eastAsia="Arial" w:hAnsi="Arial"/>
                <w:sz w:val="14"/>
                <w:szCs w:val="14"/>
                <w:color w:val="auto"/>
                <w:w w:val="89"/>
              </w:rPr>
              <w:t>12</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5.39</w:t>
            </w:r>
          </w:p>
        </w:tc>
        <w:tc>
          <w:tcPr>
            <w:tcW w:w="1540" w:type="dxa"/>
            <w:vAlign w:val="bottom"/>
          </w:tcPr>
          <w:p>
            <w:pPr>
              <w:jc w:val="right"/>
              <w:ind w:right="232"/>
              <w:spacing w:after="0"/>
              <w:rPr>
                <w:sz w:val="20"/>
                <w:szCs w:val="20"/>
                <w:color w:val="auto"/>
              </w:rPr>
            </w:pPr>
            <w:r>
              <w:rPr>
                <w:rFonts w:ascii="Arial" w:cs="Arial" w:eastAsia="Arial" w:hAnsi="Arial"/>
                <w:sz w:val="18"/>
                <w:szCs w:val="18"/>
                <w:color w:val="auto"/>
              </w:rPr>
              <w:t>(5.25)</w:t>
            </w:r>
          </w:p>
        </w:tc>
        <w:tc>
          <w:tcPr>
            <w:tcW w:w="980" w:type="dxa"/>
            <w:vAlign w:val="bottom"/>
          </w:tcPr>
          <w:p>
            <w:pPr>
              <w:jc w:val="right"/>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information in the Notes to Consolidated Financial Statements is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CONSOLIDATED STATEMENT OF COMPREHENSIVE INCOME</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15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2020</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0"/>
        </w:trPr>
        <w:tc>
          <w:tcPr>
            <w:tcW w:w="75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580" w:type="dxa"/>
            <w:vAlign w:val="bottom"/>
          </w:tcPr>
          <w:p>
            <w:pPr>
              <w:jc w:val="right"/>
              <w:ind w:right="273"/>
              <w:spacing w:after="0"/>
              <w:rPr>
                <w:sz w:val="20"/>
                <w:szCs w:val="20"/>
                <w:color w:val="auto"/>
              </w:rPr>
            </w:pPr>
            <w:r>
              <w:rPr>
                <w:rFonts w:ascii="Arial" w:cs="Arial" w:eastAsia="Arial" w:hAnsi="Arial"/>
                <w:sz w:val="14"/>
                <w:szCs w:val="14"/>
                <w:i w:val="1"/>
                <w:iCs w:val="1"/>
                <w:color w:val="auto"/>
              </w:rPr>
              <w:t>(millions of dollars)</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7500" w:type="dxa"/>
            <w:vAlign w:val="bottom"/>
          </w:tcPr>
          <w:p>
            <w:pPr>
              <w:ind w:left="20"/>
              <w:spacing w:after="0"/>
              <w:rPr>
                <w:sz w:val="20"/>
                <w:szCs w:val="20"/>
                <w:color w:val="auto"/>
              </w:rPr>
            </w:pPr>
            <w:r>
              <w:rPr>
                <w:rFonts w:ascii="Arial" w:cs="Arial" w:eastAsia="Arial" w:hAnsi="Arial"/>
                <w:sz w:val="18"/>
                <w:szCs w:val="18"/>
                <w:color w:val="auto"/>
              </w:rPr>
              <w:t>Net income (loss) including noncontrolling interests</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23,598</w:t>
            </w:r>
          </w:p>
        </w:tc>
        <w:tc>
          <w:tcPr>
            <w:tcW w:w="1580" w:type="dxa"/>
            <w:vAlign w:val="bottom"/>
          </w:tcPr>
          <w:p>
            <w:pPr>
              <w:jc w:val="right"/>
              <w:ind w:right="273"/>
              <w:spacing w:after="0"/>
              <w:rPr>
                <w:sz w:val="20"/>
                <w:szCs w:val="20"/>
                <w:color w:val="auto"/>
              </w:rPr>
            </w:pPr>
            <w:r>
              <w:rPr>
                <w:rFonts w:ascii="Arial" w:cs="Arial" w:eastAsia="Arial" w:hAnsi="Arial"/>
                <w:sz w:val="18"/>
                <w:szCs w:val="18"/>
                <w:color w:val="auto"/>
              </w:rPr>
              <w:t>(23,251)</w:t>
            </w:r>
          </w:p>
        </w:tc>
        <w:tc>
          <w:tcPr>
            <w:tcW w:w="940" w:type="dxa"/>
            <w:vAlign w:val="bottom"/>
          </w:tcPr>
          <w:p>
            <w:pPr>
              <w:jc w:val="right"/>
              <w:spacing w:after="0"/>
              <w:rPr>
                <w:sz w:val="20"/>
                <w:szCs w:val="20"/>
                <w:color w:val="auto"/>
              </w:rPr>
            </w:pPr>
            <w:r>
              <w:rPr>
                <w:rFonts w:ascii="Arial" w:cs="Arial" w:eastAsia="Arial" w:hAnsi="Arial"/>
                <w:sz w:val="18"/>
                <w:szCs w:val="18"/>
                <w:color w:val="auto"/>
              </w:rPr>
              <w:t>14,774</w:t>
            </w:r>
          </w:p>
        </w:tc>
        <w:tc>
          <w:tcPr>
            <w:tcW w:w="0" w:type="dxa"/>
            <w:vAlign w:val="bottom"/>
          </w:tcPr>
          <w:p>
            <w:pPr>
              <w:spacing w:after="0"/>
              <w:rPr>
                <w:sz w:val="1"/>
                <w:szCs w:val="1"/>
                <w:color w:val="auto"/>
              </w:rPr>
            </w:pPr>
          </w:p>
        </w:tc>
      </w:tr>
      <w:tr>
        <w:trPr>
          <w:trHeight w:val="230"/>
        </w:trPr>
        <w:tc>
          <w:tcPr>
            <w:tcW w:w="7500" w:type="dxa"/>
            <w:vAlign w:val="bottom"/>
          </w:tcPr>
          <w:p>
            <w:pPr>
              <w:ind w:left="20"/>
              <w:spacing w:after="0"/>
              <w:rPr>
                <w:sz w:val="20"/>
                <w:szCs w:val="20"/>
                <w:color w:val="auto"/>
              </w:rPr>
            </w:pPr>
            <w:r>
              <w:rPr>
                <w:rFonts w:ascii="Arial" w:cs="Arial" w:eastAsia="Arial" w:hAnsi="Arial"/>
                <w:sz w:val="18"/>
                <w:szCs w:val="18"/>
                <w:color w:val="auto"/>
              </w:rPr>
              <w:t>Other comprehensive income (loss) (net of income taxes)</w:t>
            </w:r>
          </w:p>
        </w:tc>
        <w:tc>
          <w:tcPr>
            <w:tcW w:w="12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00" w:type="dxa"/>
            <w:vAlign w:val="bottom"/>
          </w:tcPr>
          <w:p>
            <w:pPr>
              <w:ind w:left="220"/>
              <w:spacing w:after="0"/>
              <w:rPr>
                <w:sz w:val="20"/>
                <w:szCs w:val="20"/>
                <w:color w:val="auto"/>
              </w:rPr>
            </w:pPr>
            <w:r>
              <w:rPr>
                <w:rFonts w:ascii="Arial" w:cs="Arial" w:eastAsia="Arial" w:hAnsi="Arial"/>
                <w:sz w:val="18"/>
                <w:szCs w:val="18"/>
                <w:color w:val="auto"/>
              </w:rPr>
              <w:t>Foreign exchange translation adjustment</w:t>
            </w:r>
          </w:p>
        </w:tc>
        <w:tc>
          <w:tcPr>
            <w:tcW w:w="1220" w:type="dxa"/>
            <w:vAlign w:val="bottom"/>
          </w:tcPr>
          <w:p>
            <w:pPr>
              <w:jc w:val="right"/>
              <w:spacing w:after="0"/>
              <w:rPr>
                <w:sz w:val="20"/>
                <w:szCs w:val="20"/>
                <w:color w:val="auto"/>
              </w:rPr>
            </w:pPr>
            <w:r>
              <w:rPr>
                <w:rFonts w:ascii="Arial" w:cs="Arial" w:eastAsia="Arial" w:hAnsi="Arial"/>
                <w:sz w:val="18"/>
                <w:szCs w:val="18"/>
                <w:color w:val="auto"/>
              </w:rPr>
              <w:t>(872)</w:t>
            </w:r>
          </w:p>
        </w:tc>
        <w:tc>
          <w:tcPr>
            <w:tcW w:w="1580" w:type="dxa"/>
            <w:vAlign w:val="bottom"/>
          </w:tcPr>
          <w:p>
            <w:pPr>
              <w:jc w:val="right"/>
              <w:ind w:right="333"/>
              <w:spacing w:after="0"/>
              <w:rPr>
                <w:sz w:val="20"/>
                <w:szCs w:val="20"/>
                <w:color w:val="auto"/>
              </w:rPr>
            </w:pPr>
            <w:r>
              <w:rPr>
                <w:rFonts w:ascii="Arial" w:cs="Arial" w:eastAsia="Arial" w:hAnsi="Arial"/>
                <w:sz w:val="18"/>
                <w:szCs w:val="18"/>
                <w:color w:val="auto"/>
              </w:rPr>
              <w:t>1,916</w:t>
            </w:r>
          </w:p>
        </w:tc>
        <w:tc>
          <w:tcPr>
            <w:tcW w:w="940" w:type="dxa"/>
            <w:vAlign w:val="bottom"/>
          </w:tcPr>
          <w:p>
            <w:pPr>
              <w:jc w:val="right"/>
              <w:spacing w:after="0"/>
              <w:rPr>
                <w:sz w:val="20"/>
                <w:szCs w:val="20"/>
                <w:color w:val="auto"/>
              </w:rPr>
            </w:pPr>
            <w:r>
              <w:rPr>
                <w:rFonts w:ascii="Arial" w:cs="Arial" w:eastAsia="Arial" w:hAnsi="Arial"/>
                <w:sz w:val="18"/>
                <w:szCs w:val="18"/>
                <w:color w:val="auto"/>
              </w:rPr>
              <w:t>1,735</w:t>
            </w:r>
          </w:p>
        </w:tc>
        <w:tc>
          <w:tcPr>
            <w:tcW w:w="0" w:type="dxa"/>
            <w:vAlign w:val="bottom"/>
          </w:tcPr>
          <w:p>
            <w:pPr>
              <w:spacing w:after="0"/>
              <w:rPr>
                <w:sz w:val="1"/>
                <w:szCs w:val="1"/>
                <w:color w:val="auto"/>
              </w:rPr>
            </w:pPr>
          </w:p>
        </w:tc>
      </w:tr>
      <w:tr>
        <w:trPr>
          <w:trHeight w:val="229"/>
        </w:trPr>
        <w:tc>
          <w:tcPr>
            <w:tcW w:w="7500" w:type="dxa"/>
            <w:vAlign w:val="bottom"/>
          </w:tcPr>
          <w:p>
            <w:pPr>
              <w:ind w:left="220"/>
              <w:spacing w:after="0"/>
              <w:rPr>
                <w:sz w:val="20"/>
                <w:szCs w:val="20"/>
                <w:color w:val="auto"/>
              </w:rPr>
            </w:pPr>
            <w:r>
              <w:rPr>
                <w:rFonts w:ascii="Arial" w:cs="Arial" w:eastAsia="Arial" w:hAnsi="Arial"/>
                <w:sz w:val="18"/>
                <w:szCs w:val="18"/>
                <w:color w:val="auto"/>
              </w:rPr>
              <w:t>Adjustment for foreign exchange translation (gain)/loss included in net income</w:t>
            </w:r>
          </w:p>
        </w:tc>
        <w:tc>
          <w:tcPr>
            <w:tcW w:w="1220" w:type="dxa"/>
            <w:vAlign w:val="bottom"/>
          </w:tcPr>
          <w:p>
            <w:pPr>
              <w:jc w:val="right"/>
              <w:spacing w:after="0"/>
              <w:rPr>
                <w:sz w:val="20"/>
                <w:szCs w:val="20"/>
                <w:color w:val="auto"/>
              </w:rPr>
            </w:pPr>
            <w:r>
              <w:rPr>
                <w:rFonts w:ascii="Arial" w:cs="Arial" w:eastAsia="Arial" w:hAnsi="Arial"/>
                <w:sz w:val="18"/>
                <w:szCs w:val="18"/>
                <w:color w:val="auto"/>
              </w:rPr>
              <w:t>(2)</w:t>
            </w:r>
          </w:p>
        </w:tc>
        <w:tc>
          <w:tcPr>
            <w:tcW w:w="1580" w:type="dxa"/>
            <w:vAlign w:val="bottom"/>
          </w:tcPr>
          <w:p>
            <w:pPr>
              <w:jc w:val="right"/>
              <w:ind w:right="333"/>
              <w:spacing w:after="0"/>
              <w:rPr>
                <w:sz w:val="20"/>
                <w:szCs w:val="20"/>
                <w:color w:val="auto"/>
              </w:rPr>
            </w:pPr>
            <w:r>
              <w:rPr>
                <w:rFonts w:ascii="Arial" w:cs="Arial" w:eastAsia="Arial" w:hAnsi="Arial"/>
                <w:sz w:val="18"/>
                <w:szCs w:val="18"/>
                <w:color w:val="auto"/>
              </w:rPr>
              <w:t>14</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500" w:type="dxa"/>
            <w:vAlign w:val="bottom"/>
          </w:tcPr>
          <w:p>
            <w:pPr>
              <w:ind w:left="220"/>
              <w:spacing w:after="0"/>
              <w:rPr>
                <w:sz w:val="20"/>
                <w:szCs w:val="20"/>
                <w:color w:val="auto"/>
              </w:rPr>
            </w:pPr>
            <w:r>
              <w:rPr>
                <w:rFonts w:ascii="Arial" w:cs="Arial" w:eastAsia="Arial" w:hAnsi="Arial"/>
                <w:sz w:val="18"/>
                <w:szCs w:val="18"/>
                <w:color w:val="auto"/>
              </w:rPr>
              <w:t>Postretirement benefits reserves adjustment (excluding amortization)</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3,118</w:t>
            </w:r>
          </w:p>
        </w:tc>
        <w:tc>
          <w:tcPr>
            <w:tcW w:w="1580" w:type="dxa"/>
            <w:vAlign w:val="bottom"/>
          </w:tcPr>
          <w:p>
            <w:pPr>
              <w:jc w:val="right"/>
              <w:ind w:right="333"/>
              <w:spacing w:after="0"/>
              <w:rPr>
                <w:sz w:val="20"/>
                <w:szCs w:val="20"/>
                <w:color w:val="auto"/>
              </w:rPr>
            </w:pPr>
            <w:r>
              <w:rPr>
                <w:rFonts w:ascii="Arial" w:cs="Arial" w:eastAsia="Arial" w:hAnsi="Arial"/>
                <w:sz w:val="18"/>
                <w:szCs w:val="18"/>
                <w:color w:val="auto"/>
              </w:rPr>
              <w:t>30</w:t>
            </w:r>
          </w:p>
        </w:tc>
        <w:tc>
          <w:tcPr>
            <w:tcW w:w="940" w:type="dxa"/>
            <w:vAlign w:val="bottom"/>
          </w:tcPr>
          <w:p>
            <w:pPr>
              <w:jc w:val="right"/>
              <w:spacing w:after="0"/>
              <w:rPr>
                <w:sz w:val="20"/>
                <w:szCs w:val="20"/>
                <w:color w:val="auto"/>
              </w:rPr>
            </w:pPr>
            <w:r>
              <w:rPr>
                <w:rFonts w:ascii="Arial" w:cs="Arial" w:eastAsia="Arial" w:hAnsi="Arial"/>
                <w:sz w:val="18"/>
                <w:szCs w:val="18"/>
                <w:color w:val="auto"/>
              </w:rPr>
              <w:t>(2,092)</w:t>
            </w:r>
          </w:p>
        </w:tc>
        <w:tc>
          <w:tcPr>
            <w:tcW w:w="0" w:type="dxa"/>
            <w:vAlign w:val="bottom"/>
          </w:tcPr>
          <w:p>
            <w:pPr>
              <w:spacing w:after="0"/>
              <w:rPr>
                <w:sz w:val="1"/>
                <w:szCs w:val="1"/>
                <w:color w:val="auto"/>
              </w:rPr>
            </w:pPr>
          </w:p>
        </w:tc>
      </w:tr>
      <w:tr>
        <w:trPr>
          <w:trHeight w:val="176"/>
        </w:trPr>
        <w:tc>
          <w:tcPr>
            <w:tcW w:w="7500" w:type="dxa"/>
            <w:vAlign w:val="bottom"/>
          </w:tcPr>
          <w:p>
            <w:pPr>
              <w:ind w:left="220"/>
              <w:spacing w:after="0" w:line="176" w:lineRule="exact"/>
              <w:rPr>
                <w:sz w:val="20"/>
                <w:szCs w:val="20"/>
                <w:color w:val="auto"/>
              </w:rPr>
            </w:pPr>
            <w:r>
              <w:rPr>
                <w:rFonts w:ascii="Arial" w:cs="Arial" w:eastAsia="Arial" w:hAnsi="Arial"/>
                <w:sz w:val="18"/>
                <w:szCs w:val="18"/>
                <w:color w:val="auto"/>
                <w:w w:val="92"/>
              </w:rPr>
              <w:t>Amortization and settlement of postretirement benefits reserves adjustment included in net periodic</w:t>
            </w:r>
          </w:p>
        </w:tc>
        <w:tc>
          <w:tcPr>
            <w:tcW w:w="1220" w:type="dxa"/>
            <w:vAlign w:val="bottom"/>
            <w:vMerge w:val="restart"/>
          </w:tcPr>
          <w:p>
            <w:pPr>
              <w:jc w:val="right"/>
              <w:ind w:right="32"/>
              <w:spacing w:after="0"/>
              <w:rPr>
                <w:sz w:val="20"/>
                <w:szCs w:val="20"/>
                <w:color w:val="auto"/>
              </w:rPr>
            </w:pPr>
            <w:r>
              <w:rPr>
                <w:rFonts w:ascii="Arial" w:cs="Arial" w:eastAsia="Arial" w:hAnsi="Arial"/>
                <w:sz w:val="18"/>
                <w:szCs w:val="18"/>
                <w:color w:val="auto"/>
              </w:rPr>
              <w:t>925</w:t>
            </w:r>
          </w:p>
        </w:tc>
        <w:tc>
          <w:tcPr>
            <w:tcW w:w="1580" w:type="dxa"/>
            <w:vAlign w:val="bottom"/>
            <w:vMerge w:val="restart"/>
          </w:tcPr>
          <w:p>
            <w:pPr>
              <w:jc w:val="right"/>
              <w:ind w:right="333"/>
              <w:spacing w:after="0"/>
              <w:rPr>
                <w:sz w:val="20"/>
                <w:szCs w:val="20"/>
                <w:color w:val="auto"/>
              </w:rPr>
            </w:pPr>
            <w:r>
              <w:rPr>
                <w:rFonts w:ascii="Arial" w:cs="Arial" w:eastAsia="Arial" w:hAnsi="Arial"/>
                <w:sz w:val="18"/>
                <w:szCs w:val="18"/>
                <w:color w:val="auto"/>
              </w:rPr>
              <w:t>896</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35"/>
        </w:trPr>
        <w:tc>
          <w:tcPr>
            <w:tcW w:w="7500" w:type="dxa"/>
            <w:vAlign w:val="bottom"/>
          </w:tcPr>
          <w:p>
            <w:pPr>
              <w:ind w:left="480"/>
              <w:spacing w:after="0"/>
              <w:rPr>
                <w:sz w:val="20"/>
                <w:szCs w:val="20"/>
                <w:color w:val="auto"/>
              </w:rPr>
            </w:pPr>
            <w:r>
              <w:rPr>
                <w:rFonts w:ascii="Arial" w:cs="Arial" w:eastAsia="Arial" w:hAnsi="Arial"/>
                <w:sz w:val="18"/>
                <w:szCs w:val="18"/>
                <w:color w:val="auto"/>
              </w:rPr>
              <w:t>benefit costs</w:t>
            </w:r>
          </w:p>
        </w:tc>
        <w:tc>
          <w:tcPr>
            <w:tcW w:w="1220" w:type="dxa"/>
            <w:vAlign w:val="bottom"/>
            <w:tcBorders>
              <w:bottom w:val="single" w:sz="8" w:color="auto"/>
            </w:tcBorders>
            <w:vMerge w:val="continue"/>
          </w:tcPr>
          <w:p>
            <w:pPr>
              <w:spacing w:after="0"/>
              <w:rPr>
                <w:sz w:val="19"/>
                <w:szCs w:val="19"/>
                <w:color w:val="auto"/>
              </w:rPr>
            </w:pPr>
          </w:p>
        </w:tc>
        <w:tc>
          <w:tcPr>
            <w:tcW w:w="1580" w:type="dxa"/>
            <w:vAlign w:val="bottom"/>
            <w:tcBorders>
              <w:bottom w:val="single" w:sz="8" w:color="auto"/>
            </w:tcBorders>
            <w:vMerge w:val="continue"/>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00" w:type="dxa"/>
            <w:vAlign w:val="bottom"/>
          </w:tcPr>
          <w:p>
            <w:pPr>
              <w:ind w:left="480"/>
              <w:spacing w:after="0"/>
              <w:rPr>
                <w:sz w:val="20"/>
                <w:szCs w:val="20"/>
                <w:color w:val="auto"/>
              </w:rPr>
            </w:pPr>
            <w:r>
              <w:rPr>
                <w:rFonts w:ascii="Arial" w:cs="Arial" w:eastAsia="Arial" w:hAnsi="Arial"/>
                <w:sz w:val="18"/>
                <w:szCs w:val="18"/>
                <w:color w:val="auto"/>
              </w:rPr>
              <w:t>Total other comprehensive income (loss)</w:t>
            </w: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3,169</w:t>
            </w:r>
          </w:p>
        </w:tc>
        <w:tc>
          <w:tcPr>
            <w:tcW w:w="1580" w:type="dxa"/>
            <w:vAlign w:val="bottom"/>
            <w:tcBorders>
              <w:bottom w:val="single" w:sz="8" w:color="auto"/>
            </w:tcBorders>
          </w:tcPr>
          <w:p>
            <w:pPr>
              <w:jc w:val="right"/>
              <w:ind w:right="333"/>
              <w:spacing w:after="0"/>
              <w:rPr>
                <w:sz w:val="20"/>
                <w:szCs w:val="20"/>
                <w:color w:val="auto"/>
              </w:rPr>
            </w:pPr>
            <w:r>
              <w:rPr>
                <w:rFonts w:ascii="Arial" w:cs="Arial" w:eastAsia="Arial" w:hAnsi="Arial"/>
                <w:sz w:val="18"/>
                <w:szCs w:val="18"/>
                <w:color w:val="auto"/>
              </w:rPr>
              <w:t>2,856</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22"/>
        </w:trPr>
        <w:tc>
          <w:tcPr>
            <w:tcW w:w="7500" w:type="dxa"/>
            <w:vAlign w:val="bottom"/>
          </w:tcPr>
          <w:p>
            <w:pPr>
              <w:ind w:left="20"/>
              <w:spacing w:after="0"/>
              <w:rPr>
                <w:sz w:val="20"/>
                <w:szCs w:val="20"/>
                <w:color w:val="auto"/>
              </w:rPr>
            </w:pPr>
            <w:r>
              <w:rPr>
                <w:rFonts w:ascii="Arial" w:cs="Arial" w:eastAsia="Arial" w:hAnsi="Arial"/>
                <w:sz w:val="18"/>
                <w:szCs w:val="18"/>
                <w:color w:val="auto"/>
              </w:rPr>
              <w:t>Comprehensive income (loss) including noncontrolling interests</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26,767</w:t>
            </w:r>
          </w:p>
        </w:tc>
        <w:tc>
          <w:tcPr>
            <w:tcW w:w="1580" w:type="dxa"/>
            <w:vAlign w:val="bottom"/>
          </w:tcPr>
          <w:p>
            <w:pPr>
              <w:jc w:val="right"/>
              <w:ind w:right="273"/>
              <w:spacing w:after="0"/>
              <w:rPr>
                <w:sz w:val="20"/>
                <w:szCs w:val="20"/>
                <w:color w:val="auto"/>
              </w:rPr>
            </w:pPr>
            <w:r>
              <w:rPr>
                <w:rFonts w:ascii="Arial" w:cs="Arial" w:eastAsia="Arial" w:hAnsi="Arial"/>
                <w:sz w:val="18"/>
                <w:szCs w:val="18"/>
                <w:color w:val="auto"/>
              </w:rPr>
              <w:t>(20,395)</w:t>
            </w:r>
          </w:p>
        </w:tc>
        <w:tc>
          <w:tcPr>
            <w:tcW w:w="940" w:type="dxa"/>
            <w:vAlign w:val="bottom"/>
          </w:tcPr>
          <w:p>
            <w:pPr>
              <w:jc w:val="right"/>
              <w:spacing w:after="0"/>
              <w:rPr>
                <w:sz w:val="20"/>
                <w:szCs w:val="20"/>
                <w:color w:val="auto"/>
              </w:rPr>
            </w:pPr>
            <w:r>
              <w:rPr>
                <w:rFonts w:ascii="Arial" w:cs="Arial" w:eastAsia="Arial" w:hAnsi="Arial"/>
                <w:sz w:val="18"/>
                <w:szCs w:val="18"/>
                <w:color w:val="auto"/>
              </w:rPr>
              <w:t>14,999</w:t>
            </w:r>
          </w:p>
        </w:tc>
        <w:tc>
          <w:tcPr>
            <w:tcW w:w="0" w:type="dxa"/>
            <w:vAlign w:val="bottom"/>
          </w:tcPr>
          <w:p>
            <w:pPr>
              <w:spacing w:after="0"/>
              <w:rPr>
                <w:sz w:val="1"/>
                <w:szCs w:val="1"/>
                <w:color w:val="auto"/>
              </w:rPr>
            </w:pPr>
          </w:p>
        </w:tc>
      </w:tr>
      <w:tr>
        <w:trPr>
          <w:trHeight w:val="230"/>
        </w:trPr>
        <w:tc>
          <w:tcPr>
            <w:tcW w:w="7500" w:type="dxa"/>
            <w:vAlign w:val="bottom"/>
          </w:tcPr>
          <w:p>
            <w:pPr>
              <w:ind w:left="220"/>
              <w:spacing w:after="0"/>
              <w:rPr>
                <w:sz w:val="20"/>
                <w:szCs w:val="20"/>
                <w:color w:val="auto"/>
              </w:rPr>
            </w:pPr>
            <w:r>
              <w:rPr>
                <w:rFonts w:ascii="Arial" w:cs="Arial" w:eastAsia="Arial" w:hAnsi="Arial"/>
                <w:sz w:val="18"/>
                <w:szCs w:val="18"/>
                <w:color w:val="auto"/>
              </w:rPr>
              <w:t>Comprehensive income (loss) attributable to noncontrolling interests</w:t>
            </w: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786</w:t>
            </w:r>
          </w:p>
        </w:tc>
        <w:tc>
          <w:tcPr>
            <w:tcW w:w="1580" w:type="dxa"/>
            <w:vAlign w:val="bottom"/>
            <w:tcBorders>
              <w:bottom w:val="single" w:sz="8" w:color="auto"/>
            </w:tcBorders>
          </w:tcPr>
          <w:p>
            <w:pPr>
              <w:jc w:val="right"/>
              <w:ind w:right="273"/>
              <w:spacing w:after="0"/>
              <w:rPr>
                <w:sz w:val="20"/>
                <w:szCs w:val="20"/>
                <w:color w:val="auto"/>
              </w:rPr>
            </w:pPr>
            <w:r>
              <w:rPr>
                <w:rFonts w:ascii="Arial" w:cs="Arial" w:eastAsia="Arial" w:hAnsi="Arial"/>
                <w:sz w:val="18"/>
                <w:szCs w:val="18"/>
                <w:color w:val="auto"/>
              </w:rPr>
              <w:t>(743)</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23"/>
        </w:trPr>
        <w:tc>
          <w:tcPr>
            <w:tcW w:w="7500" w:type="dxa"/>
            <w:vAlign w:val="bottom"/>
          </w:tcPr>
          <w:p>
            <w:pPr>
              <w:ind w:left="20"/>
              <w:spacing w:after="0"/>
              <w:rPr>
                <w:sz w:val="20"/>
                <w:szCs w:val="20"/>
                <w:color w:val="auto"/>
              </w:rPr>
            </w:pPr>
            <w:r>
              <w:rPr>
                <w:rFonts w:ascii="Arial" w:cs="Arial" w:eastAsia="Arial" w:hAnsi="Arial"/>
                <w:sz w:val="18"/>
                <w:szCs w:val="18"/>
                <w:color w:val="auto"/>
              </w:rPr>
              <w:t>Comprehensive income (loss) attributable to ExxonMobil</w:t>
            </w: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25,981</w:t>
            </w:r>
          </w:p>
        </w:tc>
        <w:tc>
          <w:tcPr>
            <w:tcW w:w="1580" w:type="dxa"/>
            <w:vAlign w:val="bottom"/>
            <w:tcBorders>
              <w:bottom w:val="single" w:sz="8" w:color="auto"/>
            </w:tcBorders>
          </w:tcPr>
          <w:p>
            <w:pPr>
              <w:jc w:val="right"/>
              <w:ind w:right="273"/>
              <w:spacing w:after="0"/>
              <w:rPr>
                <w:sz w:val="20"/>
                <w:szCs w:val="20"/>
                <w:color w:val="auto"/>
              </w:rPr>
            </w:pPr>
            <w:r>
              <w:rPr>
                <w:rFonts w:ascii="Arial" w:cs="Arial" w:eastAsia="Arial" w:hAnsi="Arial"/>
                <w:sz w:val="18"/>
                <w:szCs w:val="18"/>
                <w:color w:val="auto"/>
              </w:rPr>
              <w:t>(19,652)</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14,411</w:t>
            </w:r>
          </w:p>
        </w:tc>
        <w:tc>
          <w:tcPr>
            <w:tcW w:w="0" w:type="dxa"/>
            <w:vAlign w:val="bottom"/>
          </w:tcPr>
          <w:p>
            <w:pPr>
              <w:spacing w:after="0"/>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information in the Notes to Consolidated Financial Statements is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CONSOLIDATED BALANCE SHEET</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4"/>
                <w:szCs w:val="14"/>
                <w:color w:val="auto"/>
              </w:rPr>
            </w:pPr>
          </w:p>
        </w:tc>
        <w:tc>
          <w:tcPr>
            <w:tcW w:w="1780" w:type="dxa"/>
            <w:vAlign w:val="bottom"/>
          </w:tcPr>
          <w:p>
            <w:pPr>
              <w:jc w:val="center"/>
              <w:ind w:left="328"/>
              <w:spacing w:after="0"/>
              <w:rPr>
                <w:sz w:val="20"/>
                <w:szCs w:val="20"/>
                <w:color w:val="auto"/>
              </w:rPr>
            </w:pPr>
            <w:r>
              <w:rPr>
                <w:rFonts w:ascii="Arial" w:cs="Arial" w:eastAsia="Arial" w:hAnsi="Arial"/>
                <w:sz w:val="14"/>
                <w:szCs w:val="14"/>
                <w:b w:val="1"/>
                <w:bCs w:val="1"/>
                <w:color w:val="auto"/>
                <w:w w:val="96"/>
              </w:rPr>
              <w:t>Note</w:t>
            </w:r>
          </w:p>
        </w:tc>
        <w:tc>
          <w:tcPr>
            <w:tcW w:w="130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December 31,</w:t>
            </w:r>
          </w:p>
        </w:tc>
        <w:tc>
          <w:tcPr>
            <w:tcW w:w="116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35"/>
        </w:trPr>
        <w:tc>
          <w:tcPr>
            <w:tcW w:w="7000" w:type="dxa"/>
            <w:vAlign w:val="bottom"/>
          </w:tcPr>
          <w:p>
            <w:pPr>
              <w:spacing w:after="0"/>
              <w:rPr>
                <w:sz w:val="11"/>
                <w:szCs w:val="11"/>
                <w:color w:val="auto"/>
              </w:rPr>
            </w:pPr>
          </w:p>
        </w:tc>
        <w:tc>
          <w:tcPr>
            <w:tcW w:w="1780" w:type="dxa"/>
            <w:vAlign w:val="bottom"/>
          </w:tcPr>
          <w:p>
            <w:pPr>
              <w:jc w:val="center"/>
              <w:ind w:left="328"/>
              <w:spacing w:after="0" w:line="135" w:lineRule="exact"/>
              <w:rPr>
                <w:sz w:val="20"/>
                <w:szCs w:val="20"/>
                <w:color w:val="auto"/>
              </w:rPr>
            </w:pPr>
            <w:r>
              <w:rPr>
                <w:rFonts w:ascii="Arial" w:cs="Arial" w:eastAsia="Arial" w:hAnsi="Arial"/>
                <w:sz w:val="14"/>
                <w:szCs w:val="14"/>
                <w:b w:val="1"/>
                <w:bCs w:val="1"/>
                <w:color w:val="auto"/>
                <w:w w:val="91"/>
              </w:rPr>
              <w:t>Reference</w:t>
            </w:r>
          </w:p>
        </w:tc>
        <w:tc>
          <w:tcPr>
            <w:tcW w:w="130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70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center"/>
              <w:ind w:left="328"/>
              <w:spacing w:after="0"/>
              <w:rPr>
                <w:sz w:val="20"/>
                <w:szCs w:val="20"/>
                <w:color w:val="auto"/>
              </w:rPr>
            </w:pPr>
            <w:r>
              <w:rPr>
                <w:rFonts w:ascii="Arial" w:cs="Arial" w:eastAsia="Arial" w:hAnsi="Arial"/>
                <w:sz w:val="14"/>
                <w:szCs w:val="14"/>
                <w:b w:val="1"/>
                <w:bCs w:val="1"/>
                <w:color w:val="auto"/>
                <w:w w:val="94"/>
              </w:rPr>
              <w:t>Number</w:t>
            </w:r>
          </w:p>
        </w:tc>
        <w:tc>
          <w:tcPr>
            <w:tcW w:w="13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11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5"/>
        </w:trPr>
        <w:tc>
          <w:tcPr>
            <w:tcW w:w="70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460" w:type="dxa"/>
            <w:vAlign w:val="bottom"/>
            <w:gridSpan w:val="2"/>
          </w:tcPr>
          <w:p>
            <w:pPr>
              <w:jc w:val="right"/>
              <w:ind w:right="571"/>
              <w:spacing w:after="0"/>
              <w:rPr>
                <w:sz w:val="20"/>
                <w:szCs w:val="20"/>
                <w:color w:val="auto"/>
              </w:rPr>
            </w:pPr>
            <w:r>
              <w:rPr>
                <w:rFonts w:ascii="Arial" w:cs="Arial" w:eastAsia="Arial" w:hAnsi="Arial"/>
                <w:sz w:val="14"/>
                <w:szCs w:val="14"/>
                <w:i w:val="1"/>
                <w:iCs w:val="1"/>
                <w:color w:val="auto"/>
              </w:rPr>
              <w:t>(millions of dollars)</w:t>
            </w:r>
          </w:p>
        </w:tc>
        <w:tc>
          <w:tcPr>
            <w:tcW w:w="0" w:type="dxa"/>
            <w:vAlign w:val="bottom"/>
          </w:tcPr>
          <w:p>
            <w:pPr>
              <w:spacing w:after="0"/>
              <w:rPr>
                <w:sz w:val="1"/>
                <w:szCs w:val="1"/>
                <w:color w:val="auto"/>
              </w:rPr>
            </w:pPr>
          </w:p>
        </w:tc>
      </w:tr>
      <w:tr>
        <w:trPr>
          <w:trHeight w:val="268"/>
        </w:trPr>
        <w:tc>
          <w:tcPr>
            <w:tcW w:w="7000" w:type="dxa"/>
            <w:vAlign w:val="bottom"/>
          </w:tcPr>
          <w:p>
            <w:pPr>
              <w:ind w:left="20"/>
              <w:spacing w:after="0"/>
              <w:rPr>
                <w:sz w:val="20"/>
                <w:szCs w:val="20"/>
                <w:color w:val="auto"/>
              </w:rPr>
            </w:pPr>
            <w:r>
              <w:rPr>
                <w:rFonts w:ascii="Arial" w:cs="Arial" w:eastAsia="Arial" w:hAnsi="Arial"/>
                <w:sz w:val="18"/>
                <w:szCs w:val="18"/>
                <w:color w:val="auto"/>
              </w:rPr>
              <w:t>Assets</w:t>
            </w:r>
          </w:p>
        </w:tc>
        <w:tc>
          <w:tcPr>
            <w:tcW w:w="17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7000" w:type="dxa"/>
            <w:vAlign w:val="bottom"/>
          </w:tcPr>
          <w:p>
            <w:pPr>
              <w:ind w:left="220"/>
              <w:spacing w:after="0"/>
              <w:rPr>
                <w:sz w:val="20"/>
                <w:szCs w:val="20"/>
                <w:color w:val="auto"/>
              </w:rPr>
            </w:pPr>
            <w:r>
              <w:rPr>
                <w:rFonts w:ascii="Arial" w:cs="Arial" w:eastAsia="Arial" w:hAnsi="Arial"/>
                <w:sz w:val="18"/>
                <w:szCs w:val="18"/>
                <w:color w:val="auto"/>
              </w:rPr>
              <w:t>Current assets</w:t>
            </w:r>
          </w:p>
        </w:tc>
        <w:tc>
          <w:tcPr>
            <w:tcW w:w="17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00" w:type="dxa"/>
            <w:vAlign w:val="bottom"/>
          </w:tcPr>
          <w:p>
            <w:pPr>
              <w:ind w:left="480"/>
              <w:spacing w:after="0"/>
              <w:rPr>
                <w:sz w:val="20"/>
                <w:szCs w:val="20"/>
                <w:color w:val="auto"/>
              </w:rPr>
            </w:pPr>
            <w:r>
              <w:rPr>
                <w:rFonts w:ascii="Arial" w:cs="Arial" w:eastAsia="Arial" w:hAnsi="Arial"/>
                <w:sz w:val="18"/>
                <w:szCs w:val="18"/>
                <w:color w:val="auto"/>
              </w:rPr>
              <w:t>Cash and cash equivalents</w:t>
            </w:r>
          </w:p>
        </w:tc>
        <w:tc>
          <w:tcPr>
            <w:tcW w:w="1780" w:type="dxa"/>
            <w:vAlign w:val="bottom"/>
          </w:tcPr>
          <w:p>
            <w:pPr>
              <w:spacing w:after="0"/>
              <w:rPr>
                <w:sz w:val="19"/>
                <w:szCs w:val="19"/>
                <w:color w:val="auto"/>
              </w:rPr>
            </w:pPr>
          </w:p>
        </w:tc>
        <w:tc>
          <w:tcPr>
            <w:tcW w:w="1300" w:type="dxa"/>
            <w:vAlign w:val="bottom"/>
          </w:tcPr>
          <w:p>
            <w:pPr>
              <w:jc w:val="right"/>
              <w:ind w:right="112"/>
              <w:spacing w:after="0"/>
              <w:rPr>
                <w:sz w:val="20"/>
                <w:szCs w:val="20"/>
                <w:color w:val="auto"/>
              </w:rPr>
            </w:pPr>
            <w:r>
              <w:rPr>
                <w:rFonts w:ascii="Arial" w:cs="Arial" w:eastAsia="Arial" w:hAnsi="Arial"/>
                <w:sz w:val="18"/>
                <w:szCs w:val="18"/>
                <w:color w:val="auto"/>
              </w:rPr>
              <w:t>6,802</w:t>
            </w:r>
          </w:p>
        </w:tc>
        <w:tc>
          <w:tcPr>
            <w:tcW w:w="1160" w:type="dxa"/>
            <w:vAlign w:val="bottom"/>
          </w:tcPr>
          <w:p>
            <w:pPr>
              <w:jc w:val="right"/>
              <w:spacing w:after="0"/>
              <w:rPr>
                <w:sz w:val="20"/>
                <w:szCs w:val="20"/>
                <w:color w:val="auto"/>
              </w:rPr>
            </w:pPr>
            <w:r>
              <w:rPr>
                <w:rFonts w:ascii="Arial" w:cs="Arial" w:eastAsia="Arial" w:hAnsi="Arial"/>
                <w:sz w:val="18"/>
                <w:szCs w:val="18"/>
                <w:color w:val="auto"/>
              </w:rPr>
              <w:t>4,364</w:t>
            </w:r>
          </w:p>
        </w:tc>
        <w:tc>
          <w:tcPr>
            <w:tcW w:w="0" w:type="dxa"/>
            <w:vAlign w:val="bottom"/>
          </w:tcPr>
          <w:p>
            <w:pPr>
              <w:spacing w:after="0"/>
              <w:rPr>
                <w:sz w:val="1"/>
                <w:szCs w:val="1"/>
                <w:color w:val="auto"/>
              </w:rPr>
            </w:pPr>
          </w:p>
        </w:tc>
      </w:tr>
      <w:tr>
        <w:trPr>
          <w:trHeight w:val="230"/>
        </w:trPr>
        <w:tc>
          <w:tcPr>
            <w:tcW w:w="7000" w:type="dxa"/>
            <w:vAlign w:val="bottom"/>
          </w:tcPr>
          <w:p>
            <w:pPr>
              <w:ind w:left="480"/>
              <w:spacing w:after="0"/>
              <w:rPr>
                <w:sz w:val="20"/>
                <w:szCs w:val="20"/>
                <w:color w:val="auto"/>
              </w:rPr>
            </w:pPr>
            <w:r>
              <w:rPr>
                <w:rFonts w:ascii="Arial" w:cs="Arial" w:eastAsia="Arial" w:hAnsi="Arial"/>
                <w:sz w:val="18"/>
                <w:szCs w:val="18"/>
                <w:color w:val="auto"/>
              </w:rPr>
              <w:t>Notes and accounts receivable - net</w:t>
            </w:r>
          </w:p>
        </w:tc>
        <w:tc>
          <w:tcPr>
            <w:tcW w:w="1780" w:type="dxa"/>
            <w:vAlign w:val="bottom"/>
          </w:tcPr>
          <w:p>
            <w:pPr>
              <w:jc w:val="center"/>
              <w:ind w:left="328"/>
              <w:spacing w:after="0"/>
              <w:rPr>
                <w:sz w:val="20"/>
                <w:szCs w:val="20"/>
                <w:color w:val="auto"/>
              </w:rPr>
            </w:pPr>
            <w:r>
              <w:rPr>
                <w:rFonts w:ascii="Arial" w:cs="Arial" w:eastAsia="Arial" w:hAnsi="Arial"/>
                <w:sz w:val="14"/>
                <w:szCs w:val="14"/>
                <w:color w:val="auto"/>
                <w:w w:val="76"/>
              </w:rPr>
              <w:t>6</w:t>
            </w:r>
          </w:p>
        </w:tc>
        <w:tc>
          <w:tcPr>
            <w:tcW w:w="1300" w:type="dxa"/>
            <w:vAlign w:val="bottom"/>
          </w:tcPr>
          <w:p>
            <w:pPr>
              <w:jc w:val="right"/>
              <w:ind w:right="112"/>
              <w:spacing w:after="0"/>
              <w:rPr>
                <w:sz w:val="20"/>
                <w:szCs w:val="20"/>
                <w:color w:val="auto"/>
              </w:rPr>
            </w:pPr>
            <w:r>
              <w:rPr>
                <w:rFonts w:ascii="Arial" w:cs="Arial" w:eastAsia="Arial" w:hAnsi="Arial"/>
                <w:sz w:val="18"/>
                <w:szCs w:val="18"/>
                <w:color w:val="auto"/>
              </w:rPr>
              <w:t>32,383</w:t>
            </w:r>
          </w:p>
        </w:tc>
        <w:tc>
          <w:tcPr>
            <w:tcW w:w="1160" w:type="dxa"/>
            <w:vAlign w:val="bottom"/>
          </w:tcPr>
          <w:p>
            <w:pPr>
              <w:jc w:val="right"/>
              <w:spacing w:after="0"/>
              <w:rPr>
                <w:sz w:val="20"/>
                <w:szCs w:val="20"/>
                <w:color w:val="auto"/>
              </w:rPr>
            </w:pPr>
            <w:r>
              <w:rPr>
                <w:rFonts w:ascii="Arial" w:cs="Arial" w:eastAsia="Arial" w:hAnsi="Arial"/>
                <w:sz w:val="18"/>
                <w:szCs w:val="18"/>
                <w:color w:val="auto"/>
              </w:rPr>
              <w:t>20,581</w:t>
            </w:r>
          </w:p>
        </w:tc>
        <w:tc>
          <w:tcPr>
            <w:tcW w:w="0" w:type="dxa"/>
            <w:vAlign w:val="bottom"/>
          </w:tcPr>
          <w:p>
            <w:pPr>
              <w:spacing w:after="0"/>
              <w:rPr>
                <w:sz w:val="1"/>
                <w:szCs w:val="1"/>
                <w:color w:val="auto"/>
              </w:rPr>
            </w:pPr>
          </w:p>
        </w:tc>
      </w:tr>
      <w:tr>
        <w:trPr>
          <w:trHeight w:val="229"/>
        </w:trPr>
        <w:tc>
          <w:tcPr>
            <w:tcW w:w="7000" w:type="dxa"/>
            <w:vAlign w:val="bottom"/>
          </w:tcPr>
          <w:p>
            <w:pPr>
              <w:ind w:left="480"/>
              <w:spacing w:after="0"/>
              <w:rPr>
                <w:sz w:val="20"/>
                <w:szCs w:val="20"/>
                <w:color w:val="auto"/>
              </w:rPr>
            </w:pPr>
            <w:r>
              <w:rPr>
                <w:rFonts w:ascii="Arial" w:cs="Arial" w:eastAsia="Arial" w:hAnsi="Arial"/>
                <w:sz w:val="18"/>
                <w:szCs w:val="18"/>
                <w:color w:val="auto"/>
              </w:rPr>
              <w:t>Inventories</w:t>
            </w:r>
          </w:p>
        </w:tc>
        <w:tc>
          <w:tcPr>
            <w:tcW w:w="17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tcPr>
          <w:p>
            <w:pPr>
              <w:ind w:left="680"/>
              <w:spacing w:after="0"/>
              <w:rPr>
                <w:sz w:val="20"/>
                <w:szCs w:val="20"/>
                <w:color w:val="auto"/>
              </w:rPr>
            </w:pPr>
            <w:r>
              <w:rPr>
                <w:rFonts w:ascii="Arial" w:cs="Arial" w:eastAsia="Arial" w:hAnsi="Arial"/>
                <w:sz w:val="18"/>
                <w:szCs w:val="18"/>
                <w:color w:val="auto"/>
              </w:rPr>
              <w:t>Crude oil, products and merchandise</w:t>
            </w:r>
          </w:p>
        </w:tc>
        <w:tc>
          <w:tcPr>
            <w:tcW w:w="1780" w:type="dxa"/>
            <w:vAlign w:val="bottom"/>
          </w:tcPr>
          <w:p>
            <w:pPr>
              <w:jc w:val="center"/>
              <w:ind w:left="328"/>
              <w:spacing w:after="0"/>
              <w:rPr>
                <w:sz w:val="20"/>
                <w:szCs w:val="20"/>
                <w:color w:val="auto"/>
              </w:rPr>
            </w:pPr>
            <w:r>
              <w:rPr>
                <w:rFonts w:ascii="Arial" w:cs="Arial" w:eastAsia="Arial" w:hAnsi="Arial"/>
                <w:sz w:val="14"/>
                <w:szCs w:val="14"/>
                <w:color w:val="auto"/>
                <w:w w:val="76"/>
              </w:rPr>
              <w:t>3</w:t>
            </w:r>
          </w:p>
        </w:tc>
        <w:tc>
          <w:tcPr>
            <w:tcW w:w="1300" w:type="dxa"/>
            <w:vAlign w:val="bottom"/>
          </w:tcPr>
          <w:p>
            <w:pPr>
              <w:jc w:val="right"/>
              <w:ind w:right="112"/>
              <w:spacing w:after="0"/>
              <w:rPr>
                <w:sz w:val="20"/>
                <w:szCs w:val="20"/>
                <w:color w:val="auto"/>
              </w:rPr>
            </w:pPr>
            <w:r>
              <w:rPr>
                <w:rFonts w:ascii="Arial" w:cs="Arial" w:eastAsia="Arial" w:hAnsi="Arial"/>
                <w:sz w:val="18"/>
                <w:szCs w:val="18"/>
                <w:color w:val="auto"/>
              </w:rPr>
              <w:t>14,519</w:t>
            </w:r>
          </w:p>
        </w:tc>
        <w:tc>
          <w:tcPr>
            <w:tcW w:w="1160" w:type="dxa"/>
            <w:vAlign w:val="bottom"/>
          </w:tcPr>
          <w:p>
            <w:pPr>
              <w:jc w:val="right"/>
              <w:spacing w:after="0"/>
              <w:rPr>
                <w:sz w:val="20"/>
                <w:szCs w:val="20"/>
                <w:color w:val="auto"/>
              </w:rPr>
            </w:pPr>
            <w:r>
              <w:rPr>
                <w:rFonts w:ascii="Arial" w:cs="Arial" w:eastAsia="Arial" w:hAnsi="Arial"/>
                <w:sz w:val="18"/>
                <w:szCs w:val="18"/>
                <w:color w:val="auto"/>
              </w:rPr>
              <w:t>14,169</w:t>
            </w:r>
          </w:p>
        </w:tc>
        <w:tc>
          <w:tcPr>
            <w:tcW w:w="0" w:type="dxa"/>
            <w:vAlign w:val="bottom"/>
          </w:tcPr>
          <w:p>
            <w:pPr>
              <w:spacing w:after="0"/>
              <w:rPr>
                <w:sz w:val="1"/>
                <w:szCs w:val="1"/>
                <w:color w:val="auto"/>
              </w:rPr>
            </w:pPr>
          </w:p>
        </w:tc>
      </w:tr>
      <w:tr>
        <w:trPr>
          <w:trHeight w:val="229"/>
        </w:trPr>
        <w:tc>
          <w:tcPr>
            <w:tcW w:w="7000" w:type="dxa"/>
            <w:vAlign w:val="bottom"/>
          </w:tcPr>
          <w:p>
            <w:pPr>
              <w:ind w:left="680"/>
              <w:spacing w:after="0"/>
              <w:rPr>
                <w:sz w:val="20"/>
                <w:szCs w:val="20"/>
                <w:color w:val="auto"/>
              </w:rPr>
            </w:pPr>
            <w:r>
              <w:rPr>
                <w:rFonts w:ascii="Arial" w:cs="Arial" w:eastAsia="Arial" w:hAnsi="Arial"/>
                <w:sz w:val="18"/>
                <w:szCs w:val="18"/>
                <w:color w:val="auto"/>
              </w:rPr>
              <w:t>Materials and supplies</w:t>
            </w:r>
          </w:p>
        </w:tc>
        <w:tc>
          <w:tcPr>
            <w:tcW w:w="1780" w:type="dxa"/>
            <w:vAlign w:val="bottom"/>
          </w:tcPr>
          <w:p>
            <w:pPr>
              <w:spacing w:after="0"/>
              <w:rPr>
                <w:sz w:val="19"/>
                <w:szCs w:val="19"/>
                <w:color w:val="auto"/>
              </w:rPr>
            </w:pPr>
          </w:p>
        </w:tc>
        <w:tc>
          <w:tcPr>
            <w:tcW w:w="1300" w:type="dxa"/>
            <w:vAlign w:val="bottom"/>
          </w:tcPr>
          <w:p>
            <w:pPr>
              <w:jc w:val="right"/>
              <w:ind w:right="112"/>
              <w:spacing w:after="0"/>
              <w:rPr>
                <w:sz w:val="20"/>
                <w:szCs w:val="20"/>
                <w:color w:val="auto"/>
              </w:rPr>
            </w:pPr>
            <w:r>
              <w:rPr>
                <w:rFonts w:ascii="Arial" w:cs="Arial" w:eastAsia="Arial" w:hAnsi="Arial"/>
                <w:sz w:val="18"/>
                <w:szCs w:val="18"/>
                <w:color w:val="auto"/>
              </w:rPr>
              <w:t>4,261</w:t>
            </w:r>
          </w:p>
        </w:tc>
        <w:tc>
          <w:tcPr>
            <w:tcW w:w="1160" w:type="dxa"/>
            <w:vAlign w:val="bottom"/>
          </w:tcPr>
          <w:p>
            <w:pPr>
              <w:jc w:val="right"/>
              <w:spacing w:after="0"/>
              <w:rPr>
                <w:sz w:val="20"/>
                <w:szCs w:val="20"/>
                <w:color w:val="auto"/>
              </w:rPr>
            </w:pPr>
            <w:r>
              <w:rPr>
                <w:rFonts w:ascii="Arial" w:cs="Arial" w:eastAsia="Arial" w:hAnsi="Arial"/>
                <w:sz w:val="18"/>
                <w:szCs w:val="18"/>
                <w:color w:val="auto"/>
              </w:rPr>
              <w:t>4,681</w:t>
            </w:r>
          </w:p>
        </w:tc>
        <w:tc>
          <w:tcPr>
            <w:tcW w:w="0" w:type="dxa"/>
            <w:vAlign w:val="bottom"/>
          </w:tcPr>
          <w:p>
            <w:pPr>
              <w:spacing w:after="0"/>
              <w:rPr>
                <w:sz w:val="1"/>
                <w:szCs w:val="1"/>
                <w:color w:val="auto"/>
              </w:rPr>
            </w:pPr>
          </w:p>
        </w:tc>
      </w:tr>
      <w:tr>
        <w:trPr>
          <w:trHeight w:val="230"/>
        </w:trPr>
        <w:tc>
          <w:tcPr>
            <w:tcW w:w="7000" w:type="dxa"/>
            <w:vAlign w:val="bottom"/>
          </w:tcPr>
          <w:p>
            <w:pPr>
              <w:ind w:left="480"/>
              <w:spacing w:after="0"/>
              <w:rPr>
                <w:sz w:val="20"/>
                <w:szCs w:val="20"/>
                <w:color w:val="auto"/>
              </w:rPr>
            </w:pPr>
            <w:r>
              <w:rPr>
                <w:rFonts w:ascii="Arial" w:cs="Arial" w:eastAsia="Arial" w:hAnsi="Arial"/>
                <w:sz w:val="18"/>
                <w:szCs w:val="18"/>
                <w:color w:val="auto"/>
              </w:rPr>
              <w:t>Other current assets</w:t>
            </w:r>
          </w:p>
        </w:tc>
        <w:tc>
          <w:tcPr>
            <w:tcW w:w="1780" w:type="dxa"/>
            <w:vAlign w:val="bottom"/>
          </w:tcPr>
          <w:p>
            <w:pPr>
              <w:spacing w:after="0"/>
              <w:rPr>
                <w:sz w:val="20"/>
                <w:szCs w:val="20"/>
                <w:color w:val="auto"/>
              </w:rPr>
            </w:pPr>
          </w:p>
        </w:tc>
        <w:tc>
          <w:tcPr>
            <w:tcW w:w="1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1,189</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1,098</w:t>
            </w:r>
          </w:p>
        </w:tc>
        <w:tc>
          <w:tcPr>
            <w:tcW w:w="0" w:type="dxa"/>
            <w:vAlign w:val="bottom"/>
          </w:tcPr>
          <w:p>
            <w:pPr>
              <w:spacing w:after="0"/>
              <w:rPr>
                <w:sz w:val="1"/>
                <w:szCs w:val="1"/>
                <w:color w:val="auto"/>
              </w:rPr>
            </w:pPr>
          </w:p>
        </w:tc>
      </w:tr>
      <w:tr>
        <w:trPr>
          <w:trHeight w:val="222"/>
        </w:trPr>
        <w:tc>
          <w:tcPr>
            <w:tcW w:w="7000" w:type="dxa"/>
            <w:vAlign w:val="bottom"/>
          </w:tcPr>
          <w:p>
            <w:pPr>
              <w:ind w:left="680"/>
              <w:spacing w:after="0"/>
              <w:rPr>
                <w:sz w:val="20"/>
                <w:szCs w:val="20"/>
                <w:color w:val="auto"/>
              </w:rPr>
            </w:pPr>
            <w:r>
              <w:rPr>
                <w:rFonts w:ascii="Arial" w:cs="Arial" w:eastAsia="Arial" w:hAnsi="Arial"/>
                <w:sz w:val="18"/>
                <w:szCs w:val="18"/>
                <w:color w:val="auto"/>
              </w:rPr>
              <w:t>Total current assets</w:t>
            </w:r>
          </w:p>
        </w:tc>
        <w:tc>
          <w:tcPr>
            <w:tcW w:w="1780" w:type="dxa"/>
            <w:vAlign w:val="bottom"/>
          </w:tcPr>
          <w:p>
            <w:pPr>
              <w:spacing w:after="0"/>
              <w:rPr>
                <w:sz w:val="19"/>
                <w:szCs w:val="19"/>
                <w:color w:val="auto"/>
              </w:rPr>
            </w:pPr>
          </w:p>
        </w:tc>
        <w:tc>
          <w:tcPr>
            <w:tcW w:w="1300" w:type="dxa"/>
            <w:vAlign w:val="bottom"/>
          </w:tcPr>
          <w:p>
            <w:pPr>
              <w:jc w:val="right"/>
              <w:ind w:right="112"/>
              <w:spacing w:after="0"/>
              <w:rPr>
                <w:sz w:val="20"/>
                <w:szCs w:val="20"/>
                <w:color w:val="auto"/>
              </w:rPr>
            </w:pPr>
            <w:r>
              <w:rPr>
                <w:rFonts w:ascii="Arial" w:cs="Arial" w:eastAsia="Arial" w:hAnsi="Arial"/>
                <w:sz w:val="18"/>
                <w:szCs w:val="18"/>
                <w:color w:val="auto"/>
              </w:rPr>
              <w:t>59,154</w:t>
            </w:r>
          </w:p>
        </w:tc>
        <w:tc>
          <w:tcPr>
            <w:tcW w:w="1160" w:type="dxa"/>
            <w:vAlign w:val="bottom"/>
          </w:tcPr>
          <w:p>
            <w:pPr>
              <w:jc w:val="right"/>
              <w:spacing w:after="0"/>
              <w:rPr>
                <w:sz w:val="20"/>
                <w:szCs w:val="20"/>
                <w:color w:val="auto"/>
              </w:rPr>
            </w:pPr>
            <w:r>
              <w:rPr>
                <w:rFonts w:ascii="Arial" w:cs="Arial" w:eastAsia="Arial" w:hAnsi="Arial"/>
                <w:sz w:val="18"/>
                <w:szCs w:val="18"/>
                <w:color w:val="auto"/>
              </w:rPr>
              <w:t>44,893</w:t>
            </w:r>
          </w:p>
        </w:tc>
        <w:tc>
          <w:tcPr>
            <w:tcW w:w="0" w:type="dxa"/>
            <w:vAlign w:val="bottom"/>
          </w:tcPr>
          <w:p>
            <w:pPr>
              <w:spacing w:after="0"/>
              <w:rPr>
                <w:sz w:val="1"/>
                <w:szCs w:val="1"/>
                <w:color w:val="auto"/>
              </w:rPr>
            </w:pPr>
          </w:p>
        </w:tc>
      </w:tr>
      <w:tr>
        <w:trPr>
          <w:trHeight w:val="229"/>
        </w:trPr>
        <w:tc>
          <w:tcPr>
            <w:tcW w:w="7000" w:type="dxa"/>
            <w:vAlign w:val="bottom"/>
          </w:tcPr>
          <w:p>
            <w:pPr>
              <w:ind w:left="220"/>
              <w:spacing w:after="0"/>
              <w:rPr>
                <w:sz w:val="20"/>
                <w:szCs w:val="20"/>
                <w:color w:val="auto"/>
              </w:rPr>
            </w:pPr>
            <w:r>
              <w:rPr>
                <w:rFonts w:ascii="Arial" w:cs="Arial" w:eastAsia="Arial" w:hAnsi="Arial"/>
                <w:sz w:val="18"/>
                <w:szCs w:val="18"/>
                <w:color w:val="auto"/>
              </w:rPr>
              <w:t>Investments, advances and long-term receivables</w:t>
            </w:r>
          </w:p>
        </w:tc>
        <w:tc>
          <w:tcPr>
            <w:tcW w:w="1780" w:type="dxa"/>
            <w:vAlign w:val="bottom"/>
          </w:tcPr>
          <w:p>
            <w:pPr>
              <w:jc w:val="center"/>
              <w:ind w:left="328"/>
              <w:spacing w:after="0"/>
              <w:rPr>
                <w:sz w:val="20"/>
                <w:szCs w:val="20"/>
                <w:color w:val="auto"/>
              </w:rPr>
            </w:pPr>
            <w:r>
              <w:rPr>
                <w:rFonts w:ascii="Arial" w:cs="Arial" w:eastAsia="Arial" w:hAnsi="Arial"/>
                <w:sz w:val="14"/>
                <w:szCs w:val="14"/>
                <w:color w:val="auto"/>
                <w:w w:val="76"/>
              </w:rPr>
              <w:t>8</w:t>
            </w:r>
          </w:p>
        </w:tc>
        <w:tc>
          <w:tcPr>
            <w:tcW w:w="1300" w:type="dxa"/>
            <w:vAlign w:val="bottom"/>
          </w:tcPr>
          <w:p>
            <w:pPr>
              <w:jc w:val="right"/>
              <w:ind w:right="112"/>
              <w:spacing w:after="0"/>
              <w:rPr>
                <w:sz w:val="20"/>
                <w:szCs w:val="20"/>
                <w:color w:val="auto"/>
              </w:rPr>
            </w:pPr>
            <w:r>
              <w:rPr>
                <w:rFonts w:ascii="Arial" w:cs="Arial" w:eastAsia="Arial" w:hAnsi="Arial"/>
                <w:sz w:val="18"/>
                <w:szCs w:val="18"/>
                <w:color w:val="auto"/>
              </w:rPr>
              <w:t>45,195</w:t>
            </w:r>
          </w:p>
        </w:tc>
        <w:tc>
          <w:tcPr>
            <w:tcW w:w="1160" w:type="dxa"/>
            <w:vAlign w:val="bottom"/>
          </w:tcPr>
          <w:p>
            <w:pPr>
              <w:jc w:val="right"/>
              <w:spacing w:after="0"/>
              <w:rPr>
                <w:sz w:val="20"/>
                <w:szCs w:val="20"/>
                <w:color w:val="auto"/>
              </w:rPr>
            </w:pPr>
            <w:r>
              <w:rPr>
                <w:rFonts w:ascii="Arial" w:cs="Arial" w:eastAsia="Arial" w:hAnsi="Arial"/>
                <w:sz w:val="18"/>
                <w:szCs w:val="18"/>
                <w:color w:val="auto"/>
              </w:rPr>
              <w:t>43,515</w:t>
            </w:r>
          </w:p>
        </w:tc>
        <w:tc>
          <w:tcPr>
            <w:tcW w:w="0" w:type="dxa"/>
            <w:vAlign w:val="bottom"/>
          </w:tcPr>
          <w:p>
            <w:pPr>
              <w:spacing w:after="0"/>
              <w:rPr>
                <w:sz w:val="1"/>
                <w:szCs w:val="1"/>
                <w:color w:val="auto"/>
              </w:rPr>
            </w:pPr>
          </w:p>
        </w:tc>
      </w:tr>
      <w:tr>
        <w:trPr>
          <w:trHeight w:val="230"/>
        </w:trPr>
        <w:tc>
          <w:tcPr>
            <w:tcW w:w="7000" w:type="dxa"/>
            <w:vAlign w:val="bottom"/>
          </w:tcPr>
          <w:p>
            <w:pPr>
              <w:ind w:left="220"/>
              <w:spacing w:after="0"/>
              <w:rPr>
                <w:sz w:val="20"/>
                <w:szCs w:val="20"/>
                <w:color w:val="auto"/>
              </w:rPr>
            </w:pPr>
            <w:r>
              <w:rPr>
                <w:rFonts w:ascii="Arial" w:cs="Arial" w:eastAsia="Arial" w:hAnsi="Arial"/>
                <w:sz w:val="18"/>
                <w:szCs w:val="18"/>
                <w:color w:val="auto"/>
              </w:rPr>
              <w:t>Property, plant and equipment, at cost, less accumulated depreciation and depletion</w:t>
            </w:r>
          </w:p>
        </w:tc>
        <w:tc>
          <w:tcPr>
            <w:tcW w:w="1780" w:type="dxa"/>
            <w:vAlign w:val="bottom"/>
          </w:tcPr>
          <w:p>
            <w:pPr>
              <w:jc w:val="center"/>
              <w:ind w:left="328"/>
              <w:spacing w:after="0"/>
              <w:rPr>
                <w:sz w:val="20"/>
                <w:szCs w:val="20"/>
                <w:color w:val="auto"/>
              </w:rPr>
            </w:pPr>
            <w:r>
              <w:rPr>
                <w:rFonts w:ascii="Arial" w:cs="Arial" w:eastAsia="Arial" w:hAnsi="Arial"/>
                <w:sz w:val="14"/>
                <w:szCs w:val="14"/>
                <w:color w:val="auto"/>
                <w:w w:val="76"/>
              </w:rPr>
              <w:t>9</w:t>
            </w:r>
          </w:p>
        </w:tc>
        <w:tc>
          <w:tcPr>
            <w:tcW w:w="1300" w:type="dxa"/>
            <w:vAlign w:val="bottom"/>
          </w:tcPr>
          <w:p>
            <w:pPr>
              <w:jc w:val="right"/>
              <w:ind w:right="112"/>
              <w:spacing w:after="0"/>
              <w:rPr>
                <w:sz w:val="20"/>
                <w:szCs w:val="20"/>
                <w:color w:val="auto"/>
              </w:rPr>
            </w:pPr>
            <w:r>
              <w:rPr>
                <w:rFonts w:ascii="Arial" w:cs="Arial" w:eastAsia="Arial" w:hAnsi="Arial"/>
                <w:sz w:val="18"/>
                <w:szCs w:val="18"/>
                <w:color w:val="auto"/>
              </w:rPr>
              <w:t>216,552</w:t>
            </w:r>
          </w:p>
        </w:tc>
        <w:tc>
          <w:tcPr>
            <w:tcW w:w="1160" w:type="dxa"/>
            <w:vAlign w:val="bottom"/>
          </w:tcPr>
          <w:p>
            <w:pPr>
              <w:jc w:val="right"/>
              <w:spacing w:after="0"/>
              <w:rPr>
                <w:sz w:val="20"/>
                <w:szCs w:val="20"/>
                <w:color w:val="auto"/>
              </w:rPr>
            </w:pPr>
            <w:r>
              <w:rPr>
                <w:rFonts w:ascii="Arial" w:cs="Arial" w:eastAsia="Arial" w:hAnsi="Arial"/>
                <w:sz w:val="18"/>
                <w:szCs w:val="18"/>
                <w:color w:val="auto"/>
              </w:rPr>
              <w:t>227,553</w:t>
            </w:r>
          </w:p>
        </w:tc>
        <w:tc>
          <w:tcPr>
            <w:tcW w:w="0" w:type="dxa"/>
            <w:vAlign w:val="bottom"/>
          </w:tcPr>
          <w:p>
            <w:pPr>
              <w:spacing w:after="0"/>
              <w:rPr>
                <w:sz w:val="1"/>
                <w:szCs w:val="1"/>
                <w:color w:val="auto"/>
              </w:rPr>
            </w:pPr>
          </w:p>
        </w:tc>
      </w:tr>
      <w:tr>
        <w:trPr>
          <w:trHeight w:val="230"/>
        </w:trPr>
        <w:tc>
          <w:tcPr>
            <w:tcW w:w="7000" w:type="dxa"/>
            <w:vAlign w:val="bottom"/>
          </w:tcPr>
          <w:p>
            <w:pPr>
              <w:ind w:left="220"/>
              <w:spacing w:after="0"/>
              <w:rPr>
                <w:sz w:val="20"/>
                <w:szCs w:val="20"/>
                <w:color w:val="auto"/>
              </w:rPr>
            </w:pPr>
            <w:r>
              <w:rPr>
                <w:rFonts w:ascii="Arial" w:cs="Arial" w:eastAsia="Arial" w:hAnsi="Arial"/>
                <w:sz w:val="18"/>
                <w:szCs w:val="18"/>
                <w:color w:val="auto"/>
              </w:rPr>
              <w:t>Other assets, including intangibles - net</w:t>
            </w:r>
          </w:p>
        </w:tc>
        <w:tc>
          <w:tcPr>
            <w:tcW w:w="1780" w:type="dxa"/>
            <w:vAlign w:val="bottom"/>
          </w:tcPr>
          <w:p>
            <w:pPr>
              <w:spacing w:after="0"/>
              <w:rPr>
                <w:sz w:val="20"/>
                <w:szCs w:val="20"/>
                <w:color w:val="auto"/>
              </w:rPr>
            </w:pPr>
          </w:p>
        </w:tc>
        <w:tc>
          <w:tcPr>
            <w:tcW w:w="1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18,022</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16,789</w:t>
            </w:r>
          </w:p>
        </w:tc>
        <w:tc>
          <w:tcPr>
            <w:tcW w:w="0" w:type="dxa"/>
            <w:vAlign w:val="bottom"/>
          </w:tcPr>
          <w:p>
            <w:pPr>
              <w:spacing w:after="0"/>
              <w:rPr>
                <w:sz w:val="1"/>
                <w:szCs w:val="1"/>
                <w:color w:val="auto"/>
              </w:rPr>
            </w:pPr>
          </w:p>
        </w:tc>
      </w:tr>
      <w:tr>
        <w:trPr>
          <w:trHeight w:val="223"/>
        </w:trPr>
        <w:tc>
          <w:tcPr>
            <w:tcW w:w="7000" w:type="dxa"/>
            <w:vAlign w:val="bottom"/>
          </w:tcPr>
          <w:p>
            <w:pPr>
              <w:ind w:left="680"/>
              <w:spacing w:after="0"/>
              <w:rPr>
                <w:sz w:val="20"/>
                <w:szCs w:val="20"/>
                <w:color w:val="auto"/>
              </w:rPr>
            </w:pPr>
            <w:r>
              <w:rPr>
                <w:rFonts w:ascii="Arial" w:cs="Arial" w:eastAsia="Arial" w:hAnsi="Arial"/>
                <w:sz w:val="18"/>
                <w:szCs w:val="18"/>
                <w:color w:val="auto"/>
              </w:rPr>
              <w:t>Total assets</w:t>
            </w:r>
          </w:p>
        </w:tc>
        <w:tc>
          <w:tcPr>
            <w:tcW w:w="1780" w:type="dxa"/>
            <w:vAlign w:val="bottom"/>
          </w:tcPr>
          <w:p>
            <w:pPr>
              <w:spacing w:after="0"/>
              <w:rPr>
                <w:sz w:val="19"/>
                <w:szCs w:val="19"/>
                <w:color w:val="auto"/>
              </w:rPr>
            </w:pPr>
          </w:p>
        </w:tc>
        <w:tc>
          <w:tcPr>
            <w:tcW w:w="1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338,923</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332,750</w:t>
            </w:r>
          </w:p>
        </w:tc>
        <w:tc>
          <w:tcPr>
            <w:tcW w:w="0" w:type="dxa"/>
            <w:vAlign w:val="bottom"/>
          </w:tcPr>
          <w:p>
            <w:pPr>
              <w:spacing w:after="0"/>
              <w:rPr>
                <w:sz w:val="1"/>
                <w:szCs w:val="1"/>
                <w:color w:val="auto"/>
              </w:rPr>
            </w:pPr>
          </w:p>
        </w:tc>
      </w:tr>
      <w:tr>
        <w:trPr>
          <w:trHeight w:val="479"/>
        </w:trPr>
        <w:tc>
          <w:tcPr>
            <w:tcW w:w="700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17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7000" w:type="dxa"/>
            <w:vAlign w:val="bottom"/>
          </w:tcPr>
          <w:p>
            <w:pPr>
              <w:ind w:left="220"/>
              <w:spacing w:after="0"/>
              <w:rPr>
                <w:sz w:val="20"/>
                <w:szCs w:val="20"/>
                <w:color w:val="auto"/>
              </w:rPr>
            </w:pPr>
            <w:r>
              <w:rPr>
                <w:rFonts w:ascii="Arial" w:cs="Arial" w:eastAsia="Arial" w:hAnsi="Arial"/>
                <w:sz w:val="18"/>
                <w:szCs w:val="18"/>
                <w:color w:val="auto"/>
              </w:rPr>
              <w:t>Current liabilities</w:t>
            </w:r>
          </w:p>
        </w:tc>
        <w:tc>
          <w:tcPr>
            <w:tcW w:w="17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tcPr>
          <w:p>
            <w:pPr>
              <w:ind w:left="480"/>
              <w:spacing w:after="0"/>
              <w:rPr>
                <w:sz w:val="20"/>
                <w:szCs w:val="20"/>
                <w:color w:val="auto"/>
              </w:rPr>
            </w:pPr>
            <w:r>
              <w:rPr>
                <w:rFonts w:ascii="Arial" w:cs="Arial" w:eastAsia="Arial" w:hAnsi="Arial"/>
                <w:sz w:val="18"/>
                <w:szCs w:val="18"/>
                <w:color w:val="auto"/>
              </w:rPr>
              <w:t>Notes and loans payable</w:t>
            </w:r>
          </w:p>
        </w:tc>
        <w:tc>
          <w:tcPr>
            <w:tcW w:w="1780" w:type="dxa"/>
            <w:vAlign w:val="bottom"/>
          </w:tcPr>
          <w:p>
            <w:pPr>
              <w:jc w:val="center"/>
              <w:ind w:left="328"/>
              <w:spacing w:after="0"/>
              <w:rPr>
                <w:sz w:val="20"/>
                <w:szCs w:val="20"/>
                <w:color w:val="auto"/>
              </w:rPr>
            </w:pPr>
            <w:r>
              <w:rPr>
                <w:rFonts w:ascii="Arial" w:cs="Arial" w:eastAsia="Arial" w:hAnsi="Arial"/>
                <w:sz w:val="14"/>
                <w:szCs w:val="14"/>
                <w:color w:val="auto"/>
                <w:w w:val="76"/>
              </w:rPr>
              <w:t>6</w:t>
            </w:r>
          </w:p>
        </w:tc>
        <w:tc>
          <w:tcPr>
            <w:tcW w:w="1300" w:type="dxa"/>
            <w:vAlign w:val="bottom"/>
          </w:tcPr>
          <w:p>
            <w:pPr>
              <w:jc w:val="right"/>
              <w:ind w:right="112"/>
              <w:spacing w:after="0"/>
              <w:rPr>
                <w:sz w:val="20"/>
                <w:szCs w:val="20"/>
                <w:color w:val="auto"/>
              </w:rPr>
            </w:pPr>
            <w:r>
              <w:rPr>
                <w:rFonts w:ascii="Arial" w:cs="Arial" w:eastAsia="Arial" w:hAnsi="Arial"/>
                <w:sz w:val="18"/>
                <w:szCs w:val="18"/>
                <w:color w:val="auto"/>
              </w:rPr>
              <w:t>4,276</w:t>
            </w:r>
          </w:p>
        </w:tc>
        <w:tc>
          <w:tcPr>
            <w:tcW w:w="1160" w:type="dxa"/>
            <w:vAlign w:val="bottom"/>
          </w:tcPr>
          <w:p>
            <w:pPr>
              <w:jc w:val="right"/>
              <w:spacing w:after="0"/>
              <w:rPr>
                <w:sz w:val="20"/>
                <w:szCs w:val="20"/>
                <w:color w:val="auto"/>
              </w:rPr>
            </w:pPr>
            <w:r>
              <w:rPr>
                <w:rFonts w:ascii="Arial" w:cs="Arial" w:eastAsia="Arial" w:hAnsi="Arial"/>
                <w:sz w:val="18"/>
                <w:szCs w:val="18"/>
                <w:color w:val="auto"/>
              </w:rPr>
              <w:t>20,458</w:t>
            </w:r>
          </w:p>
        </w:tc>
        <w:tc>
          <w:tcPr>
            <w:tcW w:w="0" w:type="dxa"/>
            <w:vAlign w:val="bottom"/>
          </w:tcPr>
          <w:p>
            <w:pPr>
              <w:spacing w:after="0"/>
              <w:rPr>
                <w:sz w:val="1"/>
                <w:szCs w:val="1"/>
                <w:color w:val="auto"/>
              </w:rPr>
            </w:pPr>
          </w:p>
        </w:tc>
      </w:tr>
      <w:tr>
        <w:trPr>
          <w:trHeight w:val="229"/>
        </w:trPr>
        <w:tc>
          <w:tcPr>
            <w:tcW w:w="7000" w:type="dxa"/>
            <w:vAlign w:val="bottom"/>
          </w:tcPr>
          <w:p>
            <w:pPr>
              <w:ind w:left="480"/>
              <w:spacing w:after="0"/>
              <w:rPr>
                <w:sz w:val="20"/>
                <w:szCs w:val="20"/>
                <w:color w:val="auto"/>
              </w:rPr>
            </w:pPr>
            <w:r>
              <w:rPr>
                <w:rFonts w:ascii="Arial" w:cs="Arial" w:eastAsia="Arial" w:hAnsi="Arial"/>
                <w:sz w:val="18"/>
                <w:szCs w:val="18"/>
                <w:color w:val="auto"/>
              </w:rPr>
              <w:t>Accounts payable and accrued liabilities</w:t>
            </w:r>
          </w:p>
        </w:tc>
        <w:tc>
          <w:tcPr>
            <w:tcW w:w="1780" w:type="dxa"/>
            <w:vAlign w:val="bottom"/>
          </w:tcPr>
          <w:p>
            <w:pPr>
              <w:jc w:val="center"/>
              <w:ind w:left="328"/>
              <w:spacing w:after="0"/>
              <w:rPr>
                <w:sz w:val="20"/>
                <w:szCs w:val="20"/>
                <w:color w:val="auto"/>
              </w:rPr>
            </w:pPr>
            <w:r>
              <w:rPr>
                <w:rFonts w:ascii="Arial" w:cs="Arial" w:eastAsia="Arial" w:hAnsi="Arial"/>
                <w:sz w:val="14"/>
                <w:szCs w:val="14"/>
                <w:color w:val="auto"/>
                <w:w w:val="76"/>
              </w:rPr>
              <w:t>6</w:t>
            </w:r>
          </w:p>
        </w:tc>
        <w:tc>
          <w:tcPr>
            <w:tcW w:w="1300" w:type="dxa"/>
            <w:vAlign w:val="bottom"/>
          </w:tcPr>
          <w:p>
            <w:pPr>
              <w:jc w:val="right"/>
              <w:ind w:right="112"/>
              <w:spacing w:after="0"/>
              <w:rPr>
                <w:sz w:val="20"/>
                <w:szCs w:val="20"/>
                <w:color w:val="auto"/>
              </w:rPr>
            </w:pPr>
            <w:r>
              <w:rPr>
                <w:rFonts w:ascii="Arial" w:cs="Arial" w:eastAsia="Arial" w:hAnsi="Arial"/>
                <w:sz w:val="18"/>
                <w:szCs w:val="18"/>
                <w:color w:val="auto"/>
              </w:rPr>
              <w:t>50,766</w:t>
            </w:r>
          </w:p>
        </w:tc>
        <w:tc>
          <w:tcPr>
            <w:tcW w:w="1160" w:type="dxa"/>
            <w:vAlign w:val="bottom"/>
          </w:tcPr>
          <w:p>
            <w:pPr>
              <w:jc w:val="right"/>
              <w:spacing w:after="0"/>
              <w:rPr>
                <w:sz w:val="20"/>
                <w:szCs w:val="20"/>
                <w:color w:val="auto"/>
              </w:rPr>
            </w:pPr>
            <w:r>
              <w:rPr>
                <w:rFonts w:ascii="Arial" w:cs="Arial" w:eastAsia="Arial" w:hAnsi="Arial"/>
                <w:sz w:val="18"/>
                <w:szCs w:val="18"/>
                <w:color w:val="auto"/>
              </w:rPr>
              <w:t>35,221</w:t>
            </w:r>
          </w:p>
        </w:tc>
        <w:tc>
          <w:tcPr>
            <w:tcW w:w="0" w:type="dxa"/>
            <w:vAlign w:val="bottom"/>
          </w:tcPr>
          <w:p>
            <w:pPr>
              <w:spacing w:after="0"/>
              <w:rPr>
                <w:sz w:val="1"/>
                <w:szCs w:val="1"/>
                <w:color w:val="auto"/>
              </w:rPr>
            </w:pPr>
          </w:p>
        </w:tc>
      </w:tr>
      <w:tr>
        <w:trPr>
          <w:trHeight w:val="230"/>
        </w:trPr>
        <w:tc>
          <w:tcPr>
            <w:tcW w:w="7000" w:type="dxa"/>
            <w:vAlign w:val="bottom"/>
          </w:tcPr>
          <w:p>
            <w:pPr>
              <w:ind w:left="480"/>
              <w:spacing w:after="0"/>
              <w:rPr>
                <w:sz w:val="20"/>
                <w:szCs w:val="20"/>
                <w:color w:val="auto"/>
              </w:rPr>
            </w:pPr>
            <w:r>
              <w:rPr>
                <w:rFonts w:ascii="Arial" w:cs="Arial" w:eastAsia="Arial" w:hAnsi="Arial"/>
                <w:sz w:val="18"/>
                <w:szCs w:val="18"/>
                <w:color w:val="auto"/>
              </w:rPr>
              <w:t>Income taxes payable</w:t>
            </w:r>
          </w:p>
        </w:tc>
        <w:tc>
          <w:tcPr>
            <w:tcW w:w="1780" w:type="dxa"/>
            <w:vAlign w:val="bottom"/>
          </w:tcPr>
          <w:p>
            <w:pPr>
              <w:spacing w:after="0"/>
              <w:rPr>
                <w:sz w:val="20"/>
                <w:szCs w:val="20"/>
                <w:color w:val="auto"/>
              </w:rPr>
            </w:pPr>
          </w:p>
        </w:tc>
        <w:tc>
          <w:tcPr>
            <w:tcW w:w="1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1,601</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222"/>
        </w:trPr>
        <w:tc>
          <w:tcPr>
            <w:tcW w:w="7000" w:type="dxa"/>
            <w:vAlign w:val="bottom"/>
          </w:tcPr>
          <w:p>
            <w:pPr>
              <w:ind w:left="680"/>
              <w:spacing w:after="0"/>
              <w:rPr>
                <w:sz w:val="20"/>
                <w:szCs w:val="20"/>
                <w:color w:val="auto"/>
              </w:rPr>
            </w:pPr>
            <w:r>
              <w:rPr>
                <w:rFonts w:ascii="Arial" w:cs="Arial" w:eastAsia="Arial" w:hAnsi="Arial"/>
                <w:sz w:val="18"/>
                <w:szCs w:val="18"/>
                <w:color w:val="auto"/>
              </w:rPr>
              <w:t>Total current liabilities</w:t>
            </w:r>
          </w:p>
        </w:tc>
        <w:tc>
          <w:tcPr>
            <w:tcW w:w="1780" w:type="dxa"/>
            <w:vAlign w:val="bottom"/>
          </w:tcPr>
          <w:p>
            <w:pPr>
              <w:spacing w:after="0"/>
              <w:rPr>
                <w:sz w:val="19"/>
                <w:szCs w:val="19"/>
                <w:color w:val="auto"/>
              </w:rPr>
            </w:pPr>
          </w:p>
        </w:tc>
        <w:tc>
          <w:tcPr>
            <w:tcW w:w="1300" w:type="dxa"/>
            <w:vAlign w:val="bottom"/>
          </w:tcPr>
          <w:p>
            <w:pPr>
              <w:jc w:val="right"/>
              <w:ind w:right="112"/>
              <w:spacing w:after="0"/>
              <w:rPr>
                <w:sz w:val="20"/>
                <w:szCs w:val="20"/>
                <w:color w:val="auto"/>
              </w:rPr>
            </w:pPr>
            <w:r>
              <w:rPr>
                <w:rFonts w:ascii="Arial" w:cs="Arial" w:eastAsia="Arial" w:hAnsi="Arial"/>
                <w:sz w:val="18"/>
                <w:szCs w:val="18"/>
                <w:color w:val="auto"/>
              </w:rPr>
              <w:t>56,643</w:t>
            </w:r>
          </w:p>
        </w:tc>
        <w:tc>
          <w:tcPr>
            <w:tcW w:w="1160" w:type="dxa"/>
            <w:vAlign w:val="bottom"/>
          </w:tcPr>
          <w:p>
            <w:pPr>
              <w:jc w:val="right"/>
              <w:spacing w:after="0"/>
              <w:rPr>
                <w:sz w:val="20"/>
                <w:szCs w:val="20"/>
                <w:color w:val="auto"/>
              </w:rPr>
            </w:pPr>
            <w:r>
              <w:rPr>
                <w:rFonts w:ascii="Arial" w:cs="Arial" w:eastAsia="Arial" w:hAnsi="Arial"/>
                <w:sz w:val="18"/>
                <w:szCs w:val="18"/>
                <w:color w:val="auto"/>
              </w:rPr>
              <w:t>56,363</w:t>
            </w:r>
          </w:p>
        </w:tc>
        <w:tc>
          <w:tcPr>
            <w:tcW w:w="0" w:type="dxa"/>
            <w:vAlign w:val="bottom"/>
          </w:tcPr>
          <w:p>
            <w:pPr>
              <w:spacing w:after="0"/>
              <w:rPr>
                <w:sz w:val="1"/>
                <w:szCs w:val="1"/>
                <w:color w:val="auto"/>
              </w:rPr>
            </w:pPr>
          </w:p>
        </w:tc>
      </w:tr>
      <w:tr>
        <w:trPr>
          <w:trHeight w:val="230"/>
        </w:trPr>
        <w:tc>
          <w:tcPr>
            <w:tcW w:w="7000" w:type="dxa"/>
            <w:vAlign w:val="bottom"/>
          </w:tcPr>
          <w:p>
            <w:pPr>
              <w:ind w:left="220"/>
              <w:spacing w:after="0"/>
              <w:rPr>
                <w:sz w:val="20"/>
                <w:szCs w:val="20"/>
                <w:color w:val="auto"/>
              </w:rPr>
            </w:pPr>
            <w:r>
              <w:rPr>
                <w:rFonts w:ascii="Arial" w:cs="Arial" w:eastAsia="Arial" w:hAnsi="Arial"/>
                <w:sz w:val="18"/>
                <w:szCs w:val="18"/>
                <w:color w:val="auto"/>
              </w:rPr>
              <w:t>Long-term debt</w:t>
            </w:r>
          </w:p>
        </w:tc>
        <w:tc>
          <w:tcPr>
            <w:tcW w:w="1780" w:type="dxa"/>
            <w:vAlign w:val="bottom"/>
          </w:tcPr>
          <w:p>
            <w:pPr>
              <w:jc w:val="center"/>
              <w:ind w:left="328"/>
              <w:spacing w:after="0"/>
              <w:rPr>
                <w:sz w:val="20"/>
                <w:szCs w:val="20"/>
                <w:color w:val="auto"/>
              </w:rPr>
            </w:pPr>
            <w:r>
              <w:rPr>
                <w:rFonts w:ascii="Arial" w:cs="Arial" w:eastAsia="Arial" w:hAnsi="Arial"/>
                <w:sz w:val="14"/>
                <w:szCs w:val="14"/>
                <w:color w:val="auto"/>
                <w:w w:val="89"/>
              </w:rPr>
              <w:t>14</w:t>
            </w:r>
          </w:p>
        </w:tc>
        <w:tc>
          <w:tcPr>
            <w:tcW w:w="1300" w:type="dxa"/>
            <w:vAlign w:val="bottom"/>
          </w:tcPr>
          <w:p>
            <w:pPr>
              <w:jc w:val="right"/>
              <w:ind w:right="112"/>
              <w:spacing w:after="0"/>
              <w:rPr>
                <w:sz w:val="20"/>
                <w:szCs w:val="20"/>
                <w:color w:val="auto"/>
              </w:rPr>
            </w:pPr>
            <w:r>
              <w:rPr>
                <w:rFonts w:ascii="Arial" w:cs="Arial" w:eastAsia="Arial" w:hAnsi="Arial"/>
                <w:sz w:val="18"/>
                <w:szCs w:val="18"/>
                <w:color w:val="auto"/>
              </w:rPr>
              <w:t>43,428</w:t>
            </w:r>
          </w:p>
        </w:tc>
        <w:tc>
          <w:tcPr>
            <w:tcW w:w="1160" w:type="dxa"/>
            <w:vAlign w:val="bottom"/>
          </w:tcPr>
          <w:p>
            <w:pPr>
              <w:jc w:val="right"/>
              <w:spacing w:after="0"/>
              <w:rPr>
                <w:sz w:val="20"/>
                <w:szCs w:val="20"/>
                <w:color w:val="auto"/>
              </w:rPr>
            </w:pPr>
            <w:r>
              <w:rPr>
                <w:rFonts w:ascii="Arial" w:cs="Arial" w:eastAsia="Arial" w:hAnsi="Arial"/>
                <w:sz w:val="18"/>
                <w:szCs w:val="18"/>
                <w:color w:val="auto"/>
              </w:rPr>
              <w:t>47,182</w:t>
            </w:r>
          </w:p>
        </w:tc>
        <w:tc>
          <w:tcPr>
            <w:tcW w:w="0" w:type="dxa"/>
            <w:vAlign w:val="bottom"/>
          </w:tcPr>
          <w:p>
            <w:pPr>
              <w:spacing w:after="0"/>
              <w:rPr>
                <w:sz w:val="1"/>
                <w:szCs w:val="1"/>
                <w:color w:val="auto"/>
              </w:rPr>
            </w:pPr>
          </w:p>
        </w:tc>
      </w:tr>
      <w:tr>
        <w:trPr>
          <w:trHeight w:val="230"/>
        </w:trPr>
        <w:tc>
          <w:tcPr>
            <w:tcW w:w="7000" w:type="dxa"/>
            <w:vAlign w:val="bottom"/>
          </w:tcPr>
          <w:p>
            <w:pPr>
              <w:ind w:left="220"/>
              <w:spacing w:after="0"/>
              <w:rPr>
                <w:sz w:val="20"/>
                <w:szCs w:val="20"/>
                <w:color w:val="auto"/>
              </w:rPr>
            </w:pPr>
            <w:r>
              <w:rPr>
                <w:rFonts w:ascii="Arial" w:cs="Arial" w:eastAsia="Arial" w:hAnsi="Arial"/>
                <w:sz w:val="18"/>
                <w:szCs w:val="18"/>
                <w:color w:val="auto"/>
              </w:rPr>
              <w:t>Postretirement benefits reserves</w:t>
            </w:r>
          </w:p>
        </w:tc>
        <w:tc>
          <w:tcPr>
            <w:tcW w:w="1780" w:type="dxa"/>
            <w:vAlign w:val="bottom"/>
          </w:tcPr>
          <w:p>
            <w:pPr>
              <w:jc w:val="center"/>
              <w:ind w:left="328"/>
              <w:spacing w:after="0"/>
              <w:rPr>
                <w:sz w:val="20"/>
                <w:szCs w:val="20"/>
                <w:color w:val="auto"/>
              </w:rPr>
            </w:pPr>
            <w:r>
              <w:rPr>
                <w:rFonts w:ascii="Arial" w:cs="Arial" w:eastAsia="Arial" w:hAnsi="Arial"/>
                <w:sz w:val="14"/>
                <w:szCs w:val="14"/>
                <w:color w:val="auto"/>
                <w:w w:val="89"/>
              </w:rPr>
              <w:t>17</w:t>
            </w:r>
          </w:p>
        </w:tc>
        <w:tc>
          <w:tcPr>
            <w:tcW w:w="1300" w:type="dxa"/>
            <w:vAlign w:val="bottom"/>
          </w:tcPr>
          <w:p>
            <w:pPr>
              <w:jc w:val="right"/>
              <w:ind w:right="112"/>
              <w:spacing w:after="0"/>
              <w:rPr>
                <w:sz w:val="20"/>
                <w:szCs w:val="20"/>
                <w:color w:val="auto"/>
              </w:rPr>
            </w:pPr>
            <w:r>
              <w:rPr>
                <w:rFonts w:ascii="Arial" w:cs="Arial" w:eastAsia="Arial" w:hAnsi="Arial"/>
                <w:sz w:val="18"/>
                <w:szCs w:val="18"/>
                <w:color w:val="auto"/>
              </w:rPr>
              <w:t>18,430</w:t>
            </w:r>
          </w:p>
        </w:tc>
        <w:tc>
          <w:tcPr>
            <w:tcW w:w="1160" w:type="dxa"/>
            <w:vAlign w:val="bottom"/>
          </w:tcPr>
          <w:p>
            <w:pPr>
              <w:jc w:val="right"/>
              <w:spacing w:after="0"/>
              <w:rPr>
                <w:sz w:val="20"/>
                <w:szCs w:val="20"/>
                <w:color w:val="auto"/>
              </w:rPr>
            </w:pPr>
            <w:r>
              <w:rPr>
                <w:rFonts w:ascii="Arial" w:cs="Arial" w:eastAsia="Arial" w:hAnsi="Arial"/>
                <w:sz w:val="18"/>
                <w:szCs w:val="18"/>
                <w:color w:val="auto"/>
              </w:rPr>
              <w:t>22,415</w:t>
            </w:r>
          </w:p>
        </w:tc>
        <w:tc>
          <w:tcPr>
            <w:tcW w:w="0" w:type="dxa"/>
            <w:vAlign w:val="bottom"/>
          </w:tcPr>
          <w:p>
            <w:pPr>
              <w:spacing w:after="0"/>
              <w:rPr>
                <w:sz w:val="1"/>
                <w:szCs w:val="1"/>
                <w:color w:val="auto"/>
              </w:rPr>
            </w:pPr>
          </w:p>
        </w:tc>
      </w:tr>
      <w:tr>
        <w:trPr>
          <w:trHeight w:val="229"/>
        </w:trPr>
        <w:tc>
          <w:tcPr>
            <w:tcW w:w="7000" w:type="dxa"/>
            <w:vAlign w:val="bottom"/>
          </w:tcPr>
          <w:p>
            <w:pPr>
              <w:ind w:left="220"/>
              <w:spacing w:after="0"/>
              <w:rPr>
                <w:sz w:val="20"/>
                <w:szCs w:val="20"/>
                <w:color w:val="auto"/>
              </w:rPr>
            </w:pPr>
            <w:r>
              <w:rPr>
                <w:rFonts w:ascii="Arial" w:cs="Arial" w:eastAsia="Arial" w:hAnsi="Arial"/>
                <w:sz w:val="18"/>
                <w:szCs w:val="18"/>
                <w:color w:val="auto"/>
              </w:rPr>
              <w:t>Deferred income tax liabilities</w:t>
            </w:r>
          </w:p>
        </w:tc>
        <w:tc>
          <w:tcPr>
            <w:tcW w:w="1780" w:type="dxa"/>
            <w:vAlign w:val="bottom"/>
          </w:tcPr>
          <w:p>
            <w:pPr>
              <w:jc w:val="center"/>
              <w:ind w:left="328"/>
              <w:spacing w:after="0"/>
              <w:rPr>
                <w:sz w:val="20"/>
                <w:szCs w:val="20"/>
                <w:color w:val="auto"/>
              </w:rPr>
            </w:pPr>
            <w:r>
              <w:rPr>
                <w:rFonts w:ascii="Arial" w:cs="Arial" w:eastAsia="Arial" w:hAnsi="Arial"/>
                <w:sz w:val="14"/>
                <w:szCs w:val="14"/>
                <w:color w:val="auto"/>
                <w:w w:val="89"/>
              </w:rPr>
              <w:t>19</w:t>
            </w:r>
          </w:p>
        </w:tc>
        <w:tc>
          <w:tcPr>
            <w:tcW w:w="1300" w:type="dxa"/>
            <w:vAlign w:val="bottom"/>
          </w:tcPr>
          <w:p>
            <w:pPr>
              <w:jc w:val="right"/>
              <w:ind w:right="112"/>
              <w:spacing w:after="0"/>
              <w:rPr>
                <w:sz w:val="20"/>
                <w:szCs w:val="20"/>
                <w:color w:val="auto"/>
              </w:rPr>
            </w:pPr>
            <w:r>
              <w:rPr>
                <w:rFonts w:ascii="Arial" w:cs="Arial" w:eastAsia="Arial" w:hAnsi="Arial"/>
                <w:sz w:val="18"/>
                <w:szCs w:val="18"/>
                <w:color w:val="auto"/>
              </w:rPr>
              <w:t>20,165</w:t>
            </w:r>
          </w:p>
        </w:tc>
        <w:tc>
          <w:tcPr>
            <w:tcW w:w="1160" w:type="dxa"/>
            <w:vAlign w:val="bottom"/>
          </w:tcPr>
          <w:p>
            <w:pPr>
              <w:jc w:val="right"/>
              <w:spacing w:after="0"/>
              <w:rPr>
                <w:sz w:val="20"/>
                <w:szCs w:val="20"/>
                <w:color w:val="auto"/>
              </w:rPr>
            </w:pPr>
            <w:r>
              <w:rPr>
                <w:rFonts w:ascii="Arial" w:cs="Arial" w:eastAsia="Arial" w:hAnsi="Arial"/>
                <w:sz w:val="18"/>
                <w:szCs w:val="18"/>
                <w:color w:val="auto"/>
              </w:rPr>
              <w:t>18,165</w:t>
            </w:r>
          </w:p>
        </w:tc>
        <w:tc>
          <w:tcPr>
            <w:tcW w:w="0" w:type="dxa"/>
            <w:vAlign w:val="bottom"/>
          </w:tcPr>
          <w:p>
            <w:pPr>
              <w:spacing w:after="0"/>
              <w:rPr>
                <w:sz w:val="1"/>
                <w:szCs w:val="1"/>
                <w:color w:val="auto"/>
              </w:rPr>
            </w:pPr>
          </w:p>
        </w:tc>
      </w:tr>
      <w:tr>
        <w:trPr>
          <w:trHeight w:val="230"/>
        </w:trPr>
        <w:tc>
          <w:tcPr>
            <w:tcW w:w="7000" w:type="dxa"/>
            <w:vAlign w:val="bottom"/>
          </w:tcPr>
          <w:p>
            <w:pPr>
              <w:ind w:left="220"/>
              <w:spacing w:after="0"/>
              <w:rPr>
                <w:sz w:val="20"/>
                <w:szCs w:val="20"/>
                <w:color w:val="auto"/>
              </w:rPr>
            </w:pPr>
            <w:r>
              <w:rPr>
                <w:rFonts w:ascii="Arial" w:cs="Arial" w:eastAsia="Arial" w:hAnsi="Arial"/>
                <w:sz w:val="18"/>
                <w:szCs w:val="18"/>
                <w:color w:val="auto"/>
              </w:rPr>
              <w:t>Long-term obligations to equity companies</w:t>
            </w:r>
          </w:p>
        </w:tc>
        <w:tc>
          <w:tcPr>
            <w:tcW w:w="1780" w:type="dxa"/>
            <w:vAlign w:val="bottom"/>
          </w:tcPr>
          <w:p>
            <w:pPr>
              <w:spacing w:after="0"/>
              <w:rPr>
                <w:sz w:val="19"/>
                <w:szCs w:val="19"/>
                <w:color w:val="auto"/>
              </w:rPr>
            </w:pPr>
          </w:p>
        </w:tc>
        <w:tc>
          <w:tcPr>
            <w:tcW w:w="1300" w:type="dxa"/>
            <w:vAlign w:val="bottom"/>
          </w:tcPr>
          <w:p>
            <w:pPr>
              <w:jc w:val="right"/>
              <w:ind w:right="112"/>
              <w:spacing w:after="0"/>
              <w:rPr>
                <w:sz w:val="20"/>
                <w:szCs w:val="20"/>
                <w:color w:val="auto"/>
              </w:rPr>
            </w:pPr>
            <w:r>
              <w:rPr>
                <w:rFonts w:ascii="Arial" w:cs="Arial" w:eastAsia="Arial" w:hAnsi="Arial"/>
                <w:sz w:val="18"/>
                <w:szCs w:val="18"/>
                <w:color w:val="auto"/>
              </w:rPr>
              <w:t>2,857</w:t>
            </w:r>
          </w:p>
        </w:tc>
        <w:tc>
          <w:tcPr>
            <w:tcW w:w="1160" w:type="dxa"/>
            <w:vAlign w:val="bottom"/>
          </w:tcPr>
          <w:p>
            <w:pPr>
              <w:jc w:val="right"/>
              <w:spacing w:after="0"/>
              <w:rPr>
                <w:sz w:val="20"/>
                <w:szCs w:val="20"/>
                <w:color w:val="auto"/>
              </w:rPr>
            </w:pPr>
            <w:r>
              <w:rPr>
                <w:rFonts w:ascii="Arial" w:cs="Arial" w:eastAsia="Arial" w:hAnsi="Arial"/>
                <w:sz w:val="18"/>
                <w:szCs w:val="18"/>
                <w:color w:val="auto"/>
              </w:rPr>
              <w:t>3,253</w:t>
            </w:r>
          </w:p>
        </w:tc>
        <w:tc>
          <w:tcPr>
            <w:tcW w:w="0" w:type="dxa"/>
            <w:vAlign w:val="bottom"/>
          </w:tcPr>
          <w:p>
            <w:pPr>
              <w:spacing w:after="0"/>
              <w:rPr>
                <w:sz w:val="1"/>
                <w:szCs w:val="1"/>
                <w:color w:val="auto"/>
              </w:rPr>
            </w:pPr>
          </w:p>
        </w:tc>
      </w:tr>
      <w:tr>
        <w:trPr>
          <w:trHeight w:val="230"/>
        </w:trPr>
        <w:tc>
          <w:tcPr>
            <w:tcW w:w="7000" w:type="dxa"/>
            <w:vAlign w:val="bottom"/>
          </w:tcPr>
          <w:p>
            <w:pPr>
              <w:ind w:left="220"/>
              <w:spacing w:after="0"/>
              <w:rPr>
                <w:sz w:val="20"/>
                <w:szCs w:val="20"/>
                <w:color w:val="auto"/>
              </w:rPr>
            </w:pPr>
            <w:r>
              <w:rPr>
                <w:rFonts w:ascii="Arial" w:cs="Arial" w:eastAsia="Arial" w:hAnsi="Arial"/>
                <w:sz w:val="18"/>
                <w:szCs w:val="18"/>
                <w:color w:val="auto"/>
              </w:rPr>
              <w:t>Other long-term obligations</w:t>
            </w:r>
          </w:p>
        </w:tc>
        <w:tc>
          <w:tcPr>
            <w:tcW w:w="1780" w:type="dxa"/>
            <w:vAlign w:val="bottom"/>
          </w:tcPr>
          <w:p>
            <w:pPr>
              <w:spacing w:after="0"/>
              <w:rPr>
                <w:sz w:val="20"/>
                <w:szCs w:val="20"/>
                <w:color w:val="auto"/>
              </w:rPr>
            </w:pPr>
          </w:p>
        </w:tc>
        <w:tc>
          <w:tcPr>
            <w:tcW w:w="1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21,717</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21,242</w:t>
            </w:r>
          </w:p>
        </w:tc>
        <w:tc>
          <w:tcPr>
            <w:tcW w:w="0" w:type="dxa"/>
            <w:vAlign w:val="bottom"/>
          </w:tcPr>
          <w:p>
            <w:pPr>
              <w:spacing w:after="0"/>
              <w:rPr>
                <w:sz w:val="1"/>
                <w:szCs w:val="1"/>
                <w:color w:val="auto"/>
              </w:rPr>
            </w:pPr>
          </w:p>
        </w:tc>
      </w:tr>
      <w:tr>
        <w:trPr>
          <w:trHeight w:val="223"/>
        </w:trPr>
        <w:tc>
          <w:tcPr>
            <w:tcW w:w="7000" w:type="dxa"/>
            <w:vAlign w:val="bottom"/>
          </w:tcPr>
          <w:p>
            <w:pPr>
              <w:ind w:left="680"/>
              <w:spacing w:after="0"/>
              <w:rPr>
                <w:sz w:val="20"/>
                <w:szCs w:val="20"/>
                <w:color w:val="auto"/>
              </w:rPr>
            </w:pPr>
            <w:r>
              <w:rPr>
                <w:rFonts w:ascii="Arial" w:cs="Arial" w:eastAsia="Arial" w:hAnsi="Arial"/>
                <w:sz w:val="18"/>
                <w:szCs w:val="18"/>
                <w:color w:val="auto"/>
              </w:rPr>
              <w:t>Total liabilities</w:t>
            </w:r>
          </w:p>
        </w:tc>
        <w:tc>
          <w:tcPr>
            <w:tcW w:w="1780" w:type="dxa"/>
            <w:vAlign w:val="bottom"/>
          </w:tcPr>
          <w:p>
            <w:pPr>
              <w:spacing w:after="0"/>
              <w:rPr>
                <w:sz w:val="19"/>
                <w:szCs w:val="19"/>
                <w:color w:val="auto"/>
              </w:rPr>
            </w:pPr>
          </w:p>
        </w:tc>
        <w:tc>
          <w:tcPr>
            <w:tcW w:w="1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163,240</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168,620</w:t>
            </w:r>
          </w:p>
        </w:tc>
        <w:tc>
          <w:tcPr>
            <w:tcW w:w="0" w:type="dxa"/>
            <w:vAlign w:val="bottom"/>
          </w:tcPr>
          <w:p>
            <w:pPr>
              <w:spacing w:after="0"/>
              <w:rPr>
                <w:sz w:val="1"/>
                <w:szCs w:val="1"/>
                <w:color w:val="auto"/>
              </w:rPr>
            </w:pPr>
          </w:p>
        </w:tc>
      </w:tr>
      <w:tr>
        <w:trPr>
          <w:trHeight w:val="480"/>
        </w:trPr>
        <w:tc>
          <w:tcPr>
            <w:tcW w:w="7000" w:type="dxa"/>
            <w:vAlign w:val="bottom"/>
          </w:tcPr>
          <w:p>
            <w:pPr>
              <w:ind w:left="20"/>
              <w:spacing w:after="0"/>
              <w:rPr>
                <w:sz w:val="20"/>
                <w:szCs w:val="20"/>
                <w:color w:val="auto"/>
              </w:rPr>
            </w:pPr>
            <w:r>
              <w:rPr>
                <w:rFonts w:ascii="Arial" w:cs="Arial" w:eastAsia="Arial" w:hAnsi="Arial"/>
                <w:sz w:val="18"/>
                <w:szCs w:val="18"/>
                <w:color w:val="auto"/>
              </w:rPr>
              <w:t>Commitments and contingencies</w:t>
            </w:r>
          </w:p>
        </w:tc>
        <w:tc>
          <w:tcPr>
            <w:tcW w:w="1780" w:type="dxa"/>
            <w:vAlign w:val="bottom"/>
          </w:tcPr>
          <w:p>
            <w:pPr>
              <w:jc w:val="center"/>
              <w:ind w:left="328"/>
              <w:spacing w:after="0"/>
              <w:rPr>
                <w:sz w:val="20"/>
                <w:szCs w:val="20"/>
                <w:color w:val="auto"/>
              </w:rPr>
            </w:pPr>
            <w:r>
              <w:rPr>
                <w:rFonts w:ascii="Arial" w:cs="Arial" w:eastAsia="Arial" w:hAnsi="Arial"/>
                <w:sz w:val="14"/>
                <w:szCs w:val="14"/>
                <w:color w:val="auto"/>
                <w:w w:val="89"/>
              </w:rPr>
              <w:t>16</w:t>
            </w:r>
          </w:p>
        </w:tc>
        <w:tc>
          <w:tcPr>
            <w:tcW w:w="1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7000" w:type="dxa"/>
            <w:vAlign w:val="bottom"/>
          </w:tcPr>
          <w:p>
            <w:pPr>
              <w:ind w:left="20"/>
              <w:spacing w:after="0"/>
              <w:rPr>
                <w:sz w:val="20"/>
                <w:szCs w:val="20"/>
                <w:color w:val="auto"/>
              </w:rPr>
            </w:pPr>
            <w:r>
              <w:rPr>
                <w:rFonts w:ascii="Arial" w:cs="Arial" w:eastAsia="Arial" w:hAnsi="Arial"/>
                <w:sz w:val="18"/>
                <w:szCs w:val="18"/>
                <w:color w:val="auto"/>
              </w:rPr>
              <w:t>Equity</w:t>
            </w:r>
          </w:p>
        </w:tc>
        <w:tc>
          <w:tcPr>
            <w:tcW w:w="17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7000" w:type="dxa"/>
            <w:vAlign w:val="bottom"/>
          </w:tcPr>
          <w:p>
            <w:pPr>
              <w:ind w:left="220"/>
              <w:spacing w:after="0" w:line="176" w:lineRule="exact"/>
              <w:rPr>
                <w:sz w:val="20"/>
                <w:szCs w:val="20"/>
                <w:color w:val="auto"/>
              </w:rPr>
            </w:pPr>
            <w:r>
              <w:rPr>
                <w:rFonts w:ascii="Arial" w:cs="Arial" w:eastAsia="Arial" w:hAnsi="Arial"/>
                <w:sz w:val="18"/>
                <w:szCs w:val="18"/>
                <w:color w:val="auto"/>
              </w:rPr>
              <w:t>Common stock without par value</w:t>
            </w:r>
          </w:p>
        </w:tc>
        <w:tc>
          <w:tcPr>
            <w:tcW w:w="1780" w:type="dxa"/>
            <w:vAlign w:val="bottom"/>
          </w:tcPr>
          <w:p>
            <w:pPr>
              <w:spacing w:after="0"/>
              <w:rPr>
                <w:sz w:val="15"/>
                <w:szCs w:val="15"/>
                <w:color w:val="auto"/>
              </w:rPr>
            </w:pPr>
          </w:p>
        </w:tc>
        <w:tc>
          <w:tcPr>
            <w:tcW w:w="1300" w:type="dxa"/>
            <w:vAlign w:val="bottom"/>
            <w:vMerge w:val="restart"/>
          </w:tcPr>
          <w:p>
            <w:pPr>
              <w:jc w:val="right"/>
              <w:ind w:right="112"/>
              <w:spacing w:after="0"/>
              <w:rPr>
                <w:sz w:val="20"/>
                <w:szCs w:val="20"/>
                <w:color w:val="auto"/>
              </w:rPr>
            </w:pPr>
            <w:r>
              <w:rPr>
                <w:rFonts w:ascii="Arial" w:cs="Arial" w:eastAsia="Arial" w:hAnsi="Arial"/>
                <w:sz w:val="18"/>
                <w:szCs w:val="18"/>
                <w:color w:val="auto"/>
              </w:rPr>
              <w:t>15,746</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15,688</w:t>
            </w:r>
          </w:p>
        </w:tc>
        <w:tc>
          <w:tcPr>
            <w:tcW w:w="0" w:type="dxa"/>
            <w:vAlign w:val="bottom"/>
          </w:tcPr>
          <w:p>
            <w:pPr>
              <w:spacing w:after="0"/>
              <w:rPr>
                <w:sz w:val="1"/>
                <w:szCs w:val="1"/>
                <w:color w:val="auto"/>
              </w:rPr>
            </w:pPr>
          </w:p>
        </w:tc>
      </w:tr>
      <w:tr>
        <w:trPr>
          <w:trHeight w:val="229"/>
        </w:trPr>
        <w:tc>
          <w:tcPr>
            <w:tcW w:w="7000" w:type="dxa"/>
            <w:vAlign w:val="bottom"/>
          </w:tcPr>
          <w:p>
            <w:pPr>
              <w:ind w:left="480"/>
              <w:spacing w:after="0"/>
              <w:rPr>
                <w:sz w:val="20"/>
                <w:szCs w:val="20"/>
                <w:color w:val="auto"/>
              </w:rPr>
            </w:pPr>
            <w:r>
              <w:rPr>
                <w:rFonts w:ascii="Arial" w:cs="Arial" w:eastAsia="Arial" w:hAnsi="Arial"/>
                <w:sz w:val="18"/>
                <w:szCs w:val="18"/>
                <w:color w:val="auto"/>
              </w:rPr>
              <w:t>(9,000 million shares authorized, 8,019 million shares issued)</w:t>
            </w:r>
          </w:p>
        </w:tc>
        <w:tc>
          <w:tcPr>
            <w:tcW w:w="178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tcPr>
          <w:p>
            <w:pPr>
              <w:ind w:left="220"/>
              <w:spacing w:after="0"/>
              <w:rPr>
                <w:sz w:val="20"/>
                <w:szCs w:val="20"/>
                <w:color w:val="auto"/>
              </w:rPr>
            </w:pPr>
            <w:r>
              <w:rPr>
                <w:rFonts w:ascii="Arial" w:cs="Arial" w:eastAsia="Arial" w:hAnsi="Arial"/>
                <w:sz w:val="18"/>
                <w:szCs w:val="18"/>
                <w:color w:val="auto"/>
              </w:rPr>
              <w:t>Earnings reinvested</w:t>
            </w:r>
          </w:p>
        </w:tc>
        <w:tc>
          <w:tcPr>
            <w:tcW w:w="1780" w:type="dxa"/>
            <w:vAlign w:val="bottom"/>
          </w:tcPr>
          <w:p>
            <w:pPr>
              <w:spacing w:after="0"/>
              <w:rPr>
                <w:sz w:val="19"/>
                <w:szCs w:val="19"/>
                <w:color w:val="auto"/>
              </w:rPr>
            </w:pPr>
          </w:p>
        </w:tc>
        <w:tc>
          <w:tcPr>
            <w:tcW w:w="1300" w:type="dxa"/>
            <w:vAlign w:val="bottom"/>
          </w:tcPr>
          <w:p>
            <w:pPr>
              <w:jc w:val="right"/>
              <w:ind w:right="112"/>
              <w:spacing w:after="0"/>
              <w:rPr>
                <w:sz w:val="20"/>
                <w:szCs w:val="20"/>
                <w:color w:val="auto"/>
              </w:rPr>
            </w:pPr>
            <w:r>
              <w:rPr>
                <w:rFonts w:ascii="Arial" w:cs="Arial" w:eastAsia="Arial" w:hAnsi="Arial"/>
                <w:sz w:val="18"/>
                <w:szCs w:val="18"/>
                <w:color w:val="auto"/>
              </w:rPr>
              <w:t>392,059</w:t>
            </w:r>
          </w:p>
        </w:tc>
        <w:tc>
          <w:tcPr>
            <w:tcW w:w="1160" w:type="dxa"/>
            <w:vAlign w:val="bottom"/>
          </w:tcPr>
          <w:p>
            <w:pPr>
              <w:jc w:val="right"/>
              <w:spacing w:after="0"/>
              <w:rPr>
                <w:sz w:val="20"/>
                <w:szCs w:val="20"/>
                <w:color w:val="auto"/>
              </w:rPr>
            </w:pPr>
            <w:r>
              <w:rPr>
                <w:rFonts w:ascii="Arial" w:cs="Arial" w:eastAsia="Arial" w:hAnsi="Arial"/>
                <w:sz w:val="18"/>
                <w:szCs w:val="18"/>
                <w:color w:val="auto"/>
              </w:rPr>
              <w:t>383,943</w:t>
            </w:r>
          </w:p>
        </w:tc>
        <w:tc>
          <w:tcPr>
            <w:tcW w:w="0" w:type="dxa"/>
            <w:vAlign w:val="bottom"/>
          </w:tcPr>
          <w:p>
            <w:pPr>
              <w:spacing w:after="0"/>
              <w:rPr>
                <w:sz w:val="1"/>
                <w:szCs w:val="1"/>
                <w:color w:val="auto"/>
              </w:rPr>
            </w:pPr>
          </w:p>
        </w:tc>
      </w:tr>
      <w:tr>
        <w:trPr>
          <w:trHeight w:val="230"/>
        </w:trPr>
        <w:tc>
          <w:tcPr>
            <w:tcW w:w="7000" w:type="dxa"/>
            <w:vAlign w:val="bottom"/>
          </w:tcPr>
          <w:p>
            <w:pPr>
              <w:ind w:left="220"/>
              <w:spacing w:after="0"/>
              <w:rPr>
                <w:sz w:val="20"/>
                <w:szCs w:val="20"/>
                <w:color w:val="auto"/>
              </w:rPr>
            </w:pPr>
            <w:r>
              <w:rPr>
                <w:rFonts w:ascii="Arial" w:cs="Arial" w:eastAsia="Arial" w:hAnsi="Arial"/>
                <w:sz w:val="18"/>
                <w:szCs w:val="18"/>
                <w:color w:val="auto"/>
              </w:rPr>
              <w:t>Accumulated other comprehensive income</w:t>
            </w:r>
          </w:p>
        </w:tc>
        <w:tc>
          <w:tcPr>
            <w:tcW w:w="1780" w:type="dxa"/>
            <w:vAlign w:val="bottom"/>
          </w:tcPr>
          <w:p>
            <w:pPr>
              <w:spacing w:after="0"/>
              <w:rPr>
                <w:sz w:val="19"/>
                <w:szCs w:val="19"/>
                <w:color w:val="auto"/>
              </w:rPr>
            </w:pPr>
          </w:p>
        </w:tc>
        <w:tc>
          <w:tcPr>
            <w:tcW w:w="1300" w:type="dxa"/>
            <w:vAlign w:val="bottom"/>
          </w:tcPr>
          <w:p>
            <w:pPr>
              <w:jc w:val="right"/>
              <w:ind w:right="52"/>
              <w:spacing w:after="0"/>
              <w:rPr>
                <w:sz w:val="20"/>
                <w:szCs w:val="20"/>
                <w:color w:val="auto"/>
              </w:rPr>
            </w:pPr>
            <w:r>
              <w:rPr>
                <w:rFonts w:ascii="Arial" w:cs="Arial" w:eastAsia="Arial" w:hAnsi="Arial"/>
                <w:sz w:val="18"/>
                <w:szCs w:val="18"/>
                <w:color w:val="auto"/>
              </w:rPr>
              <w:t>(13,764)</w:t>
            </w:r>
          </w:p>
        </w:tc>
        <w:tc>
          <w:tcPr>
            <w:tcW w:w="1160" w:type="dxa"/>
            <w:vAlign w:val="bottom"/>
          </w:tcPr>
          <w:p>
            <w:pPr>
              <w:jc w:val="right"/>
              <w:spacing w:after="0"/>
              <w:rPr>
                <w:sz w:val="20"/>
                <w:szCs w:val="20"/>
                <w:color w:val="auto"/>
              </w:rPr>
            </w:pPr>
            <w:r>
              <w:rPr>
                <w:rFonts w:ascii="Arial" w:cs="Arial" w:eastAsia="Arial" w:hAnsi="Arial"/>
                <w:sz w:val="18"/>
                <w:szCs w:val="18"/>
                <w:color w:val="auto"/>
              </w:rPr>
              <w:t>(16,705)</w:t>
            </w:r>
          </w:p>
        </w:tc>
        <w:tc>
          <w:tcPr>
            <w:tcW w:w="0" w:type="dxa"/>
            <w:vAlign w:val="bottom"/>
          </w:tcPr>
          <w:p>
            <w:pPr>
              <w:spacing w:after="0"/>
              <w:rPr>
                <w:sz w:val="1"/>
                <w:szCs w:val="1"/>
                <w:color w:val="auto"/>
              </w:rPr>
            </w:pPr>
          </w:p>
        </w:tc>
      </w:tr>
      <w:tr>
        <w:trPr>
          <w:trHeight w:val="176"/>
        </w:trPr>
        <w:tc>
          <w:tcPr>
            <w:tcW w:w="7000" w:type="dxa"/>
            <w:vAlign w:val="bottom"/>
          </w:tcPr>
          <w:p>
            <w:pPr>
              <w:ind w:left="220"/>
              <w:spacing w:after="0" w:line="176" w:lineRule="exact"/>
              <w:rPr>
                <w:sz w:val="20"/>
                <w:szCs w:val="20"/>
                <w:color w:val="auto"/>
              </w:rPr>
            </w:pPr>
            <w:r>
              <w:rPr>
                <w:rFonts w:ascii="Arial" w:cs="Arial" w:eastAsia="Arial" w:hAnsi="Arial"/>
                <w:sz w:val="18"/>
                <w:szCs w:val="18"/>
                <w:color w:val="auto"/>
              </w:rPr>
              <w:t>Common stock held in treasury</w:t>
            </w:r>
          </w:p>
        </w:tc>
        <w:tc>
          <w:tcPr>
            <w:tcW w:w="1780" w:type="dxa"/>
            <w:vAlign w:val="bottom"/>
          </w:tcPr>
          <w:p>
            <w:pPr>
              <w:spacing w:after="0"/>
              <w:rPr>
                <w:sz w:val="15"/>
                <w:szCs w:val="15"/>
                <w:color w:val="auto"/>
              </w:rPr>
            </w:pPr>
          </w:p>
        </w:tc>
        <w:tc>
          <w:tcPr>
            <w:tcW w:w="1300" w:type="dxa"/>
            <w:vAlign w:val="bottom"/>
            <w:vMerge w:val="restart"/>
          </w:tcPr>
          <w:p>
            <w:pPr>
              <w:jc w:val="right"/>
              <w:ind w:right="52"/>
              <w:spacing w:after="0"/>
              <w:rPr>
                <w:sz w:val="20"/>
                <w:szCs w:val="20"/>
                <w:color w:val="auto"/>
              </w:rPr>
            </w:pPr>
            <w:r>
              <w:rPr>
                <w:rFonts w:ascii="Arial" w:cs="Arial" w:eastAsia="Arial" w:hAnsi="Arial"/>
                <w:sz w:val="18"/>
                <w:szCs w:val="18"/>
                <w:color w:val="auto"/>
              </w:rPr>
              <w:t>(225,464)</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(225,776)</w:t>
            </w:r>
          </w:p>
        </w:tc>
        <w:tc>
          <w:tcPr>
            <w:tcW w:w="0" w:type="dxa"/>
            <w:vAlign w:val="bottom"/>
          </w:tcPr>
          <w:p>
            <w:pPr>
              <w:spacing w:after="0"/>
              <w:rPr>
                <w:sz w:val="1"/>
                <w:szCs w:val="1"/>
                <w:color w:val="auto"/>
              </w:rPr>
            </w:pPr>
          </w:p>
        </w:tc>
      </w:tr>
      <w:tr>
        <w:trPr>
          <w:trHeight w:val="235"/>
        </w:trPr>
        <w:tc>
          <w:tcPr>
            <w:tcW w:w="7000" w:type="dxa"/>
            <w:vAlign w:val="bottom"/>
          </w:tcPr>
          <w:p>
            <w:pPr>
              <w:ind w:left="480"/>
              <w:spacing w:after="0"/>
              <w:rPr>
                <w:sz w:val="20"/>
                <w:szCs w:val="20"/>
                <w:color w:val="auto"/>
              </w:rPr>
            </w:pPr>
            <w:r>
              <w:rPr>
                <w:rFonts w:ascii="Arial" w:cs="Arial" w:eastAsia="Arial" w:hAnsi="Arial"/>
                <w:sz w:val="18"/>
                <w:szCs w:val="18"/>
                <w:color w:val="auto"/>
              </w:rPr>
              <w:t>(3,780 million shares in 2021 and 3,786 million shares in 2020)</w:t>
            </w:r>
          </w:p>
        </w:tc>
        <w:tc>
          <w:tcPr>
            <w:tcW w:w="1780" w:type="dxa"/>
            <w:vAlign w:val="bottom"/>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000" w:type="dxa"/>
            <w:vAlign w:val="bottom"/>
          </w:tcPr>
          <w:p>
            <w:pPr>
              <w:ind w:left="680"/>
              <w:spacing w:after="0"/>
              <w:rPr>
                <w:sz w:val="20"/>
                <w:szCs w:val="20"/>
                <w:color w:val="auto"/>
              </w:rPr>
            </w:pPr>
            <w:r>
              <w:rPr>
                <w:rFonts w:ascii="Arial" w:cs="Arial" w:eastAsia="Arial" w:hAnsi="Arial"/>
                <w:sz w:val="18"/>
                <w:szCs w:val="18"/>
                <w:color w:val="auto"/>
              </w:rPr>
              <w:t>ExxonMobil share of equity</w:t>
            </w:r>
          </w:p>
        </w:tc>
        <w:tc>
          <w:tcPr>
            <w:tcW w:w="1780" w:type="dxa"/>
            <w:vAlign w:val="bottom"/>
          </w:tcPr>
          <w:p>
            <w:pPr>
              <w:spacing w:after="0"/>
              <w:rPr>
                <w:sz w:val="19"/>
                <w:szCs w:val="19"/>
                <w:color w:val="auto"/>
              </w:rPr>
            </w:pPr>
          </w:p>
        </w:tc>
        <w:tc>
          <w:tcPr>
            <w:tcW w:w="1300" w:type="dxa"/>
            <w:vAlign w:val="bottom"/>
          </w:tcPr>
          <w:p>
            <w:pPr>
              <w:jc w:val="right"/>
              <w:ind w:right="112"/>
              <w:spacing w:after="0"/>
              <w:rPr>
                <w:sz w:val="20"/>
                <w:szCs w:val="20"/>
                <w:color w:val="auto"/>
              </w:rPr>
            </w:pPr>
            <w:r>
              <w:rPr>
                <w:rFonts w:ascii="Arial" w:cs="Arial" w:eastAsia="Arial" w:hAnsi="Arial"/>
                <w:sz w:val="18"/>
                <w:szCs w:val="18"/>
                <w:color w:val="auto"/>
              </w:rPr>
              <w:t>168,577</w:t>
            </w:r>
          </w:p>
        </w:tc>
        <w:tc>
          <w:tcPr>
            <w:tcW w:w="1160" w:type="dxa"/>
            <w:vAlign w:val="bottom"/>
          </w:tcPr>
          <w:p>
            <w:pPr>
              <w:jc w:val="right"/>
              <w:spacing w:after="0"/>
              <w:rPr>
                <w:sz w:val="20"/>
                <w:szCs w:val="20"/>
                <w:color w:val="auto"/>
              </w:rPr>
            </w:pPr>
            <w:r>
              <w:rPr>
                <w:rFonts w:ascii="Arial" w:cs="Arial" w:eastAsia="Arial" w:hAnsi="Arial"/>
                <w:sz w:val="18"/>
                <w:szCs w:val="18"/>
                <w:color w:val="auto"/>
              </w:rPr>
              <w:t>157,150</w:t>
            </w:r>
          </w:p>
        </w:tc>
        <w:tc>
          <w:tcPr>
            <w:tcW w:w="0" w:type="dxa"/>
            <w:vAlign w:val="bottom"/>
          </w:tcPr>
          <w:p>
            <w:pPr>
              <w:spacing w:after="0"/>
              <w:rPr>
                <w:sz w:val="1"/>
                <w:szCs w:val="1"/>
                <w:color w:val="auto"/>
              </w:rPr>
            </w:pPr>
          </w:p>
        </w:tc>
      </w:tr>
      <w:tr>
        <w:trPr>
          <w:trHeight w:val="230"/>
        </w:trPr>
        <w:tc>
          <w:tcPr>
            <w:tcW w:w="7000" w:type="dxa"/>
            <w:vAlign w:val="bottom"/>
          </w:tcPr>
          <w:p>
            <w:pPr>
              <w:ind w:left="220"/>
              <w:spacing w:after="0"/>
              <w:rPr>
                <w:sz w:val="20"/>
                <w:szCs w:val="20"/>
                <w:color w:val="auto"/>
              </w:rPr>
            </w:pPr>
            <w:r>
              <w:rPr>
                <w:rFonts w:ascii="Arial" w:cs="Arial" w:eastAsia="Arial" w:hAnsi="Arial"/>
                <w:sz w:val="18"/>
                <w:szCs w:val="18"/>
                <w:color w:val="auto"/>
              </w:rPr>
              <w:t>Noncontrolling interests</w:t>
            </w:r>
          </w:p>
        </w:tc>
        <w:tc>
          <w:tcPr>
            <w:tcW w:w="1780" w:type="dxa"/>
            <w:vAlign w:val="bottom"/>
          </w:tcPr>
          <w:p>
            <w:pPr>
              <w:spacing w:after="0"/>
              <w:rPr>
                <w:sz w:val="20"/>
                <w:szCs w:val="20"/>
                <w:color w:val="auto"/>
              </w:rPr>
            </w:pPr>
          </w:p>
        </w:tc>
        <w:tc>
          <w:tcPr>
            <w:tcW w:w="1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7,106</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6,980</w:t>
            </w:r>
          </w:p>
        </w:tc>
        <w:tc>
          <w:tcPr>
            <w:tcW w:w="0" w:type="dxa"/>
            <w:vAlign w:val="bottom"/>
          </w:tcPr>
          <w:p>
            <w:pPr>
              <w:spacing w:after="0"/>
              <w:rPr>
                <w:sz w:val="1"/>
                <w:szCs w:val="1"/>
                <w:color w:val="auto"/>
              </w:rPr>
            </w:pPr>
          </w:p>
        </w:tc>
      </w:tr>
      <w:tr>
        <w:trPr>
          <w:trHeight w:val="223"/>
        </w:trPr>
        <w:tc>
          <w:tcPr>
            <w:tcW w:w="7000" w:type="dxa"/>
            <w:vAlign w:val="bottom"/>
          </w:tcPr>
          <w:p>
            <w:pPr>
              <w:ind w:left="680"/>
              <w:spacing w:after="0"/>
              <w:rPr>
                <w:sz w:val="20"/>
                <w:szCs w:val="20"/>
                <w:color w:val="auto"/>
              </w:rPr>
            </w:pPr>
            <w:r>
              <w:rPr>
                <w:rFonts w:ascii="Arial" w:cs="Arial" w:eastAsia="Arial" w:hAnsi="Arial"/>
                <w:sz w:val="18"/>
                <w:szCs w:val="18"/>
                <w:color w:val="auto"/>
              </w:rPr>
              <w:t>Total equity</w:t>
            </w:r>
          </w:p>
        </w:tc>
        <w:tc>
          <w:tcPr>
            <w:tcW w:w="1780" w:type="dxa"/>
            <w:vAlign w:val="bottom"/>
          </w:tcPr>
          <w:p>
            <w:pPr>
              <w:spacing w:after="0"/>
              <w:rPr>
                <w:sz w:val="19"/>
                <w:szCs w:val="19"/>
                <w:color w:val="auto"/>
              </w:rPr>
            </w:pPr>
          </w:p>
        </w:tc>
        <w:tc>
          <w:tcPr>
            <w:tcW w:w="1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175,683</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164,130</w:t>
            </w:r>
          </w:p>
        </w:tc>
        <w:tc>
          <w:tcPr>
            <w:tcW w:w="0" w:type="dxa"/>
            <w:vAlign w:val="bottom"/>
          </w:tcPr>
          <w:p>
            <w:pPr>
              <w:spacing w:after="0"/>
              <w:rPr>
                <w:sz w:val="1"/>
                <w:szCs w:val="1"/>
                <w:color w:val="auto"/>
              </w:rPr>
            </w:pPr>
          </w:p>
        </w:tc>
      </w:tr>
      <w:tr>
        <w:trPr>
          <w:trHeight w:val="223"/>
        </w:trPr>
        <w:tc>
          <w:tcPr>
            <w:tcW w:w="7000" w:type="dxa"/>
            <w:vAlign w:val="bottom"/>
          </w:tcPr>
          <w:p>
            <w:pPr>
              <w:ind w:left="680"/>
              <w:spacing w:after="0"/>
              <w:rPr>
                <w:sz w:val="20"/>
                <w:szCs w:val="20"/>
                <w:color w:val="auto"/>
              </w:rPr>
            </w:pPr>
            <w:r>
              <w:rPr>
                <w:rFonts w:ascii="Arial" w:cs="Arial" w:eastAsia="Arial" w:hAnsi="Arial"/>
                <w:sz w:val="18"/>
                <w:szCs w:val="18"/>
                <w:color w:val="auto"/>
              </w:rPr>
              <w:t>Total liabilities and equity</w:t>
            </w:r>
          </w:p>
        </w:tc>
        <w:tc>
          <w:tcPr>
            <w:tcW w:w="1780" w:type="dxa"/>
            <w:vAlign w:val="bottom"/>
          </w:tcPr>
          <w:p>
            <w:pPr>
              <w:spacing w:after="0"/>
              <w:rPr>
                <w:sz w:val="19"/>
                <w:szCs w:val="19"/>
                <w:color w:val="auto"/>
              </w:rPr>
            </w:pPr>
          </w:p>
        </w:tc>
        <w:tc>
          <w:tcPr>
            <w:tcW w:w="1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338,923</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332,750</w:t>
            </w:r>
          </w:p>
        </w:tc>
        <w:tc>
          <w:tcPr>
            <w:tcW w:w="0" w:type="dxa"/>
            <w:vAlign w:val="bottom"/>
          </w:tcPr>
          <w:p>
            <w:pPr>
              <w:spacing w:after="0"/>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information in the Notes to Consolidated Financial Statements is an integral part of these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CONSOLIDATED STATEMENT OF CASH FLOWS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720" w:type="dxa"/>
            <w:vAlign w:val="bottom"/>
          </w:tcPr>
          <w:p>
            <w:pPr>
              <w:jc w:val="center"/>
              <w:ind w:left="308"/>
              <w:spacing w:after="0"/>
              <w:rPr>
                <w:sz w:val="20"/>
                <w:szCs w:val="20"/>
                <w:color w:val="auto"/>
              </w:rPr>
            </w:pPr>
            <w:r>
              <w:rPr>
                <w:rFonts w:ascii="Arial" w:cs="Arial" w:eastAsia="Arial" w:hAnsi="Arial"/>
                <w:sz w:val="14"/>
                <w:szCs w:val="14"/>
                <w:b w:val="1"/>
                <w:bCs w:val="1"/>
                <w:color w:val="auto"/>
                <w:w w:val="91"/>
              </w:rPr>
              <w:t>Note Reference</w:t>
            </w:r>
          </w:p>
        </w:tc>
        <w:tc>
          <w:tcPr>
            <w:tcW w:w="11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1560" w:type="dxa"/>
            <w:vAlign w:val="bottom"/>
            <w:vMerge w:val="restart"/>
          </w:tcPr>
          <w:p>
            <w:pPr>
              <w:jc w:val="right"/>
              <w:ind w:right="280"/>
              <w:spacing w:after="0"/>
              <w:rPr>
                <w:sz w:val="20"/>
                <w:szCs w:val="20"/>
                <w:color w:val="auto"/>
              </w:rPr>
            </w:pPr>
            <w:r>
              <w:rPr>
                <w:rFonts w:ascii="Arial" w:cs="Arial" w:eastAsia="Arial" w:hAnsi="Arial"/>
                <w:sz w:val="14"/>
                <w:szCs w:val="14"/>
                <w:b w:val="1"/>
                <w:bCs w:val="1"/>
                <w:color w:val="auto"/>
              </w:rPr>
              <w:t>2020</w:t>
            </w: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8"/>
        </w:trPr>
        <w:tc>
          <w:tcPr>
            <w:tcW w:w="31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center"/>
              <w:ind w:left="308"/>
              <w:spacing w:after="0"/>
              <w:rPr>
                <w:sz w:val="20"/>
                <w:szCs w:val="20"/>
                <w:color w:val="auto"/>
              </w:rPr>
            </w:pPr>
            <w:r>
              <w:rPr>
                <w:rFonts w:ascii="Arial" w:cs="Arial" w:eastAsia="Arial" w:hAnsi="Arial"/>
                <w:sz w:val="14"/>
                <w:szCs w:val="14"/>
                <w:b w:val="1"/>
                <w:bCs w:val="1"/>
                <w:color w:val="auto"/>
                <w:w w:val="94"/>
              </w:rPr>
              <w:t>Number</w:t>
            </w:r>
          </w:p>
        </w:tc>
        <w:tc>
          <w:tcPr>
            <w:tcW w:w="1180" w:type="dxa"/>
            <w:vAlign w:val="bottom"/>
            <w:tcBorders>
              <w:bottom w:val="single" w:sz="8" w:color="auto"/>
            </w:tcBorders>
            <w:vMerge w:val="continue"/>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18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560" w:type="dxa"/>
            <w:vAlign w:val="bottom"/>
          </w:tcPr>
          <w:p>
            <w:pPr>
              <w:jc w:val="right"/>
              <w:ind w:right="260"/>
              <w:spacing w:after="0"/>
              <w:rPr>
                <w:sz w:val="20"/>
                <w:szCs w:val="20"/>
                <w:color w:val="auto"/>
              </w:rPr>
            </w:pPr>
            <w:r>
              <w:rPr>
                <w:rFonts w:ascii="Arial" w:cs="Arial" w:eastAsia="Arial" w:hAnsi="Arial"/>
                <w:sz w:val="14"/>
                <w:szCs w:val="14"/>
                <w:i w:val="1"/>
                <w:iCs w:val="1"/>
                <w:color w:val="auto"/>
              </w:rPr>
              <w:t>(millions of dollars)</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180" w:type="dxa"/>
            <w:vAlign w:val="bottom"/>
          </w:tcPr>
          <w:p>
            <w:pPr>
              <w:ind w:left="20"/>
              <w:spacing w:after="0"/>
              <w:rPr>
                <w:sz w:val="20"/>
                <w:szCs w:val="20"/>
                <w:color w:val="auto"/>
              </w:rPr>
            </w:pPr>
            <w:r>
              <w:rPr>
                <w:rFonts w:ascii="Arial" w:cs="Arial" w:eastAsia="Arial" w:hAnsi="Arial"/>
                <w:sz w:val="16"/>
                <w:szCs w:val="16"/>
                <w:color w:val="auto"/>
              </w:rPr>
              <w:t>Cash flows from operating activities</w:t>
            </w:r>
          </w:p>
        </w:tc>
        <w:tc>
          <w:tcPr>
            <w:tcW w:w="266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840" w:type="dxa"/>
            <w:vAlign w:val="bottom"/>
            <w:gridSpan w:val="2"/>
          </w:tcPr>
          <w:p>
            <w:pPr>
              <w:ind w:left="220"/>
              <w:spacing w:after="0"/>
              <w:rPr>
                <w:sz w:val="20"/>
                <w:szCs w:val="20"/>
                <w:color w:val="auto"/>
              </w:rPr>
            </w:pPr>
            <w:r>
              <w:rPr>
                <w:rFonts w:ascii="Arial" w:cs="Arial" w:eastAsia="Arial" w:hAnsi="Arial"/>
                <w:sz w:val="16"/>
                <w:szCs w:val="16"/>
                <w:color w:val="auto"/>
              </w:rPr>
              <w:t>Net income (loss) including noncontrolling interests</w:t>
            </w:r>
          </w:p>
        </w:tc>
        <w:tc>
          <w:tcPr>
            <w:tcW w:w="1720" w:type="dxa"/>
            <w:vAlign w:val="bottom"/>
          </w:tcPr>
          <w:p>
            <w:pPr>
              <w:spacing w:after="0"/>
              <w:rPr>
                <w:sz w:val="18"/>
                <w:szCs w:val="18"/>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23,598</w:t>
            </w:r>
          </w:p>
        </w:tc>
        <w:tc>
          <w:tcPr>
            <w:tcW w:w="1560" w:type="dxa"/>
            <w:vAlign w:val="bottom"/>
          </w:tcPr>
          <w:p>
            <w:pPr>
              <w:jc w:val="right"/>
              <w:ind w:right="280"/>
              <w:spacing w:after="0"/>
              <w:rPr>
                <w:sz w:val="20"/>
                <w:szCs w:val="20"/>
                <w:color w:val="auto"/>
              </w:rPr>
            </w:pPr>
            <w:r>
              <w:rPr>
                <w:rFonts w:ascii="Arial" w:cs="Arial" w:eastAsia="Arial" w:hAnsi="Arial"/>
                <w:sz w:val="16"/>
                <w:szCs w:val="16"/>
                <w:color w:val="auto"/>
              </w:rPr>
              <w:t>(23,251)</w:t>
            </w:r>
          </w:p>
        </w:tc>
        <w:tc>
          <w:tcPr>
            <w:tcW w:w="920" w:type="dxa"/>
            <w:vAlign w:val="bottom"/>
          </w:tcPr>
          <w:p>
            <w:pPr>
              <w:jc w:val="right"/>
              <w:spacing w:after="0"/>
              <w:rPr>
                <w:sz w:val="20"/>
                <w:szCs w:val="20"/>
                <w:color w:val="auto"/>
              </w:rPr>
            </w:pPr>
            <w:r>
              <w:rPr>
                <w:rFonts w:ascii="Arial" w:cs="Arial" w:eastAsia="Arial" w:hAnsi="Arial"/>
                <w:sz w:val="16"/>
                <w:szCs w:val="16"/>
                <w:color w:val="auto"/>
              </w:rPr>
              <w:t>14,774</w:t>
            </w:r>
          </w:p>
        </w:tc>
        <w:tc>
          <w:tcPr>
            <w:tcW w:w="0" w:type="dxa"/>
            <w:vAlign w:val="bottom"/>
          </w:tcPr>
          <w:p>
            <w:pPr>
              <w:spacing w:after="0"/>
              <w:rPr>
                <w:sz w:val="1"/>
                <w:szCs w:val="1"/>
                <w:color w:val="auto"/>
              </w:rPr>
            </w:pPr>
          </w:p>
        </w:tc>
      </w:tr>
      <w:tr>
        <w:trPr>
          <w:trHeight w:val="216"/>
        </w:trPr>
        <w:tc>
          <w:tcPr>
            <w:tcW w:w="3180" w:type="dxa"/>
            <w:vAlign w:val="bottom"/>
          </w:tcPr>
          <w:p>
            <w:pPr>
              <w:ind w:left="220"/>
              <w:spacing w:after="0"/>
              <w:rPr>
                <w:sz w:val="20"/>
                <w:szCs w:val="20"/>
                <w:color w:val="auto"/>
              </w:rPr>
            </w:pPr>
            <w:r>
              <w:rPr>
                <w:rFonts w:ascii="Arial" w:cs="Arial" w:eastAsia="Arial" w:hAnsi="Arial"/>
                <w:sz w:val="16"/>
                <w:szCs w:val="16"/>
                <w:color w:val="auto"/>
              </w:rPr>
              <w:t>Adjustments for noncash transactions</w:t>
            </w:r>
          </w:p>
        </w:tc>
        <w:tc>
          <w:tcPr>
            <w:tcW w:w="26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gridSpan w:val="2"/>
          </w:tcPr>
          <w:p>
            <w:pPr>
              <w:ind w:left="480"/>
              <w:spacing w:after="0"/>
              <w:rPr>
                <w:sz w:val="20"/>
                <w:szCs w:val="20"/>
                <w:color w:val="auto"/>
              </w:rPr>
            </w:pPr>
            <w:r>
              <w:rPr>
                <w:rFonts w:ascii="Arial" w:cs="Arial" w:eastAsia="Arial" w:hAnsi="Arial"/>
                <w:sz w:val="16"/>
                <w:szCs w:val="16"/>
                <w:color w:val="auto"/>
              </w:rPr>
              <w:t>Depreciation and depletion (includes impairments)</w:t>
            </w:r>
          </w:p>
        </w:tc>
        <w:tc>
          <w:tcPr>
            <w:tcW w:w="1720" w:type="dxa"/>
            <w:vAlign w:val="bottom"/>
          </w:tcPr>
          <w:p>
            <w:pPr>
              <w:jc w:val="center"/>
              <w:ind w:left="308"/>
              <w:spacing w:after="0"/>
              <w:rPr>
                <w:sz w:val="20"/>
                <w:szCs w:val="20"/>
                <w:color w:val="auto"/>
              </w:rPr>
            </w:pPr>
            <w:r>
              <w:rPr>
                <w:rFonts w:ascii="Arial" w:cs="Arial" w:eastAsia="Arial" w:hAnsi="Arial"/>
                <w:sz w:val="14"/>
                <w:szCs w:val="14"/>
                <w:color w:val="auto"/>
                <w:w w:val="94"/>
              </w:rPr>
              <w:t>3, 9</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20,607</w:t>
            </w:r>
          </w:p>
        </w:tc>
        <w:tc>
          <w:tcPr>
            <w:tcW w:w="1560" w:type="dxa"/>
            <w:vAlign w:val="bottom"/>
          </w:tcPr>
          <w:p>
            <w:pPr>
              <w:jc w:val="right"/>
              <w:ind w:right="320"/>
              <w:spacing w:after="0"/>
              <w:rPr>
                <w:sz w:val="20"/>
                <w:szCs w:val="20"/>
                <w:color w:val="auto"/>
              </w:rPr>
            </w:pPr>
            <w:r>
              <w:rPr>
                <w:rFonts w:ascii="Arial" w:cs="Arial" w:eastAsia="Arial" w:hAnsi="Arial"/>
                <w:sz w:val="16"/>
                <w:szCs w:val="16"/>
                <w:color w:val="auto"/>
              </w:rPr>
              <w:t>46,009</w:t>
            </w:r>
          </w:p>
        </w:tc>
        <w:tc>
          <w:tcPr>
            <w:tcW w:w="920" w:type="dxa"/>
            <w:vAlign w:val="bottom"/>
          </w:tcPr>
          <w:p>
            <w:pPr>
              <w:jc w:val="right"/>
              <w:spacing w:after="0"/>
              <w:rPr>
                <w:sz w:val="20"/>
                <w:szCs w:val="20"/>
                <w:color w:val="auto"/>
              </w:rPr>
            </w:pPr>
            <w:r>
              <w:rPr>
                <w:rFonts w:ascii="Arial" w:cs="Arial" w:eastAsia="Arial" w:hAnsi="Arial"/>
                <w:sz w:val="16"/>
                <w:szCs w:val="16"/>
                <w:color w:val="auto"/>
              </w:rPr>
              <w:t>18,998</w:t>
            </w:r>
          </w:p>
        </w:tc>
        <w:tc>
          <w:tcPr>
            <w:tcW w:w="0" w:type="dxa"/>
            <w:vAlign w:val="bottom"/>
          </w:tcPr>
          <w:p>
            <w:pPr>
              <w:spacing w:after="0"/>
              <w:rPr>
                <w:sz w:val="1"/>
                <w:szCs w:val="1"/>
                <w:color w:val="auto"/>
              </w:rPr>
            </w:pPr>
          </w:p>
        </w:tc>
      </w:tr>
      <w:tr>
        <w:trPr>
          <w:trHeight w:val="216"/>
        </w:trPr>
        <w:tc>
          <w:tcPr>
            <w:tcW w:w="3180" w:type="dxa"/>
            <w:vAlign w:val="bottom"/>
          </w:tcPr>
          <w:p>
            <w:pPr>
              <w:ind w:left="480"/>
              <w:spacing w:after="0"/>
              <w:rPr>
                <w:sz w:val="20"/>
                <w:szCs w:val="20"/>
                <w:color w:val="auto"/>
              </w:rPr>
            </w:pPr>
            <w:r>
              <w:rPr>
                <w:rFonts w:ascii="Arial" w:cs="Arial" w:eastAsia="Arial" w:hAnsi="Arial"/>
                <w:sz w:val="16"/>
                <w:szCs w:val="16"/>
                <w:color w:val="auto"/>
              </w:rPr>
              <w:t>Deferred income tax charges/(credits)</w:t>
            </w:r>
          </w:p>
        </w:tc>
        <w:tc>
          <w:tcPr>
            <w:tcW w:w="2660" w:type="dxa"/>
            <w:vAlign w:val="bottom"/>
          </w:tcPr>
          <w:p>
            <w:pPr>
              <w:spacing w:after="0"/>
              <w:rPr>
                <w:sz w:val="18"/>
                <w:szCs w:val="18"/>
                <w:color w:val="auto"/>
              </w:rPr>
            </w:pPr>
          </w:p>
        </w:tc>
        <w:tc>
          <w:tcPr>
            <w:tcW w:w="1720" w:type="dxa"/>
            <w:vAlign w:val="bottom"/>
          </w:tcPr>
          <w:p>
            <w:pPr>
              <w:jc w:val="center"/>
              <w:ind w:left="308"/>
              <w:spacing w:after="0"/>
              <w:rPr>
                <w:sz w:val="20"/>
                <w:szCs w:val="20"/>
                <w:color w:val="auto"/>
              </w:rPr>
            </w:pPr>
            <w:r>
              <w:rPr>
                <w:rFonts w:ascii="Arial" w:cs="Arial" w:eastAsia="Arial" w:hAnsi="Arial"/>
                <w:sz w:val="14"/>
                <w:szCs w:val="14"/>
                <w:color w:val="auto"/>
                <w:w w:val="89"/>
              </w:rPr>
              <w:t>19</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303</w:t>
            </w:r>
          </w:p>
        </w:tc>
        <w:tc>
          <w:tcPr>
            <w:tcW w:w="1560" w:type="dxa"/>
            <w:vAlign w:val="bottom"/>
          </w:tcPr>
          <w:p>
            <w:pPr>
              <w:jc w:val="right"/>
              <w:ind w:right="280"/>
              <w:spacing w:after="0"/>
              <w:rPr>
                <w:sz w:val="20"/>
                <w:szCs w:val="20"/>
                <w:color w:val="auto"/>
              </w:rPr>
            </w:pPr>
            <w:r>
              <w:rPr>
                <w:rFonts w:ascii="Arial" w:cs="Arial" w:eastAsia="Arial" w:hAnsi="Arial"/>
                <w:sz w:val="16"/>
                <w:szCs w:val="16"/>
                <w:color w:val="auto"/>
              </w:rPr>
              <w:t>(8,856)</w:t>
            </w:r>
          </w:p>
        </w:tc>
        <w:tc>
          <w:tcPr>
            <w:tcW w:w="920" w:type="dxa"/>
            <w:vAlign w:val="bottom"/>
          </w:tcPr>
          <w:p>
            <w:pPr>
              <w:jc w:val="right"/>
              <w:spacing w:after="0"/>
              <w:rPr>
                <w:sz w:val="20"/>
                <w:szCs w:val="20"/>
                <w:color w:val="auto"/>
              </w:rPr>
            </w:pPr>
            <w:r>
              <w:rPr>
                <w:rFonts w:ascii="Arial" w:cs="Arial" w:eastAsia="Arial" w:hAnsi="Arial"/>
                <w:sz w:val="16"/>
                <w:szCs w:val="16"/>
                <w:color w:val="auto"/>
              </w:rPr>
              <w:t>(944)</w:t>
            </w:r>
          </w:p>
        </w:tc>
        <w:tc>
          <w:tcPr>
            <w:tcW w:w="0" w:type="dxa"/>
            <w:vAlign w:val="bottom"/>
          </w:tcPr>
          <w:p>
            <w:pPr>
              <w:spacing w:after="0"/>
              <w:rPr>
                <w:sz w:val="1"/>
                <w:szCs w:val="1"/>
                <w:color w:val="auto"/>
              </w:rPr>
            </w:pPr>
          </w:p>
        </w:tc>
      </w:tr>
      <w:tr>
        <w:trPr>
          <w:trHeight w:val="172"/>
        </w:trPr>
        <w:tc>
          <w:tcPr>
            <w:tcW w:w="3180" w:type="dxa"/>
            <w:vAlign w:val="bottom"/>
          </w:tcPr>
          <w:p>
            <w:pPr>
              <w:ind w:left="480"/>
              <w:spacing w:after="0" w:line="171" w:lineRule="exact"/>
              <w:rPr>
                <w:sz w:val="20"/>
                <w:szCs w:val="20"/>
                <w:color w:val="auto"/>
              </w:rPr>
            </w:pPr>
            <w:r>
              <w:rPr>
                <w:rFonts w:ascii="Arial" w:cs="Arial" w:eastAsia="Arial" w:hAnsi="Arial"/>
                <w:sz w:val="16"/>
                <w:szCs w:val="16"/>
                <w:color w:val="auto"/>
              </w:rPr>
              <w:t>Postretirement benefits expense</w:t>
            </w:r>
          </w:p>
        </w:tc>
        <w:tc>
          <w:tcPr>
            <w:tcW w:w="26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180" w:type="dxa"/>
            <w:vAlign w:val="bottom"/>
            <w:vMerge w:val="restart"/>
          </w:tcPr>
          <w:p>
            <w:pPr>
              <w:jc w:val="right"/>
              <w:ind w:right="19"/>
              <w:spacing w:after="0"/>
              <w:rPr>
                <w:sz w:val="20"/>
                <w:szCs w:val="20"/>
                <w:color w:val="auto"/>
              </w:rPr>
            </w:pPr>
            <w:r>
              <w:rPr>
                <w:rFonts w:ascii="Arial" w:cs="Arial" w:eastAsia="Arial" w:hAnsi="Arial"/>
                <w:sz w:val="16"/>
                <w:szCs w:val="16"/>
                <w:color w:val="auto"/>
              </w:rPr>
              <w:t>754</w:t>
            </w:r>
          </w:p>
        </w:tc>
        <w:tc>
          <w:tcPr>
            <w:tcW w:w="1560" w:type="dxa"/>
            <w:vAlign w:val="bottom"/>
            <w:vMerge w:val="restart"/>
          </w:tcPr>
          <w:p>
            <w:pPr>
              <w:jc w:val="right"/>
              <w:ind w:right="320"/>
              <w:spacing w:after="0"/>
              <w:rPr>
                <w:sz w:val="20"/>
                <w:szCs w:val="20"/>
                <w:color w:val="auto"/>
              </w:rPr>
            </w:pPr>
            <w:r>
              <w:rPr>
                <w:rFonts w:ascii="Arial" w:cs="Arial" w:eastAsia="Arial" w:hAnsi="Arial"/>
                <w:sz w:val="16"/>
                <w:szCs w:val="16"/>
                <w:color w:val="auto"/>
              </w:rPr>
              <w:t>498</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206"/>
        </w:trPr>
        <w:tc>
          <w:tcPr>
            <w:tcW w:w="3180" w:type="dxa"/>
            <w:vAlign w:val="bottom"/>
          </w:tcPr>
          <w:p>
            <w:pPr>
              <w:ind w:left="800"/>
              <w:spacing w:after="0"/>
              <w:rPr>
                <w:sz w:val="20"/>
                <w:szCs w:val="20"/>
                <w:color w:val="auto"/>
              </w:rPr>
            </w:pPr>
            <w:r>
              <w:rPr>
                <w:rFonts w:ascii="Arial" w:cs="Arial" w:eastAsia="Arial" w:hAnsi="Arial"/>
                <w:sz w:val="16"/>
                <w:szCs w:val="16"/>
                <w:color w:val="auto"/>
                <w:w w:val="89"/>
              </w:rPr>
              <w:t>in excess of/(less than) net payments</w:t>
            </w:r>
          </w:p>
        </w:tc>
        <w:tc>
          <w:tcPr>
            <w:tcW w:w="26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156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3180" w:type="dxa"/>
            <w:vAlign w:val="bottom"/>
          </w:tcPr>
          <w:p>
            <w:pPr>
              <w:ind w:left="480"/>
              <w:spacing w:after="0" w:line="171" w:lineRule="exact"/>
              <w:rPr>
                <w:sz w:val="20"/>
                <w:szCs w:val="20"/>
                <w:color w:val="auto"/>
              </w:rPr>
            </w:pPr>
            <w:r>
              <w:rPr>
                <w:rFonts w:ascii="Arial" w:cs="Arial" w:eastAsia="Arial" w:hAnsi="Arial"/>
                <w:sz w:val="16"/>
                <w:szCs w:val="16"/>
                <w:color w:val="auto"/>
              </w:rPr>
              <w:t>Other long-term obligation provisions</w:t>
            </w:r>
          </w:p>
        </w:tc>
        <w:tc>
          <w:tcPr>
            <w:tcW w:w="26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180" w:type="dxa"/>
            <w:vAlign w:val="bottom"/>
            <w:vMerge w:val="restart"/>
          </w:tcPr>
          <w:p>
            <w:pPr>
              <w:jc w:val="right"/>
              <w:ind w:right="19"/>
              <w:spacing w:after="0"/>
              <w:rPr>
                <w:sz w:val="20"/>
                <w:szCs w:val="20"/>
                <w:color w:val="auto"/>
              </w:rPr>
            </w:pPr>
            <w:r>
              <w:rPr>
                <w:rFonts w:ascii="Arial" w:cs="Arial" w:eastAsia="Arial" w:hAnsi="Arial"/>
                <w:sz w:val="16"/>
                <w:szCs w:val="16"/>
                <w:color w:val="auto"/>
              </w:rPr>
              <w:t>50</w:t>
            </w:r>
          </w:p>
        </w:tc>
        <w:tc>
          <w:tcPr>
            <w:tcW w:w="1560" w:type="dxa"/>
            <w:vAlign w:val="bottom"/>
            <w:vMerge w:val="restart"/>
          </w:tcPr>
          <w:p>
            <w:pPr>
              <w:jc w:val="right"/>
              <w:ind w:right="280"/>
              <w:spacing w:after="0"/>
              <w:rPr>
                <w:sz w:val="20"/>
                <w:szCs w:val="20"/>
                <w:color w:val="auto"/>
              </w:rPr>
            </w:pPr>
            <w:r>
              <w:rPr>
                <w:rFonts w:ascii="Arial" w:cs="Arial" w:eastAsia="Arial" w:hAnsi="Arial"/>
                <w:sz w:val="16"/>
                <w:szCs w:val="16"/>
                <w:color w:val="auto"/>
              </w:rPr>
              <w:t>(1,269)</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(3,038)</w:t>
            </w:r>
          </w:p>
        </w:tc>
        <w:tc>
          <w:tcPr>
            <w:tcW w:w="0" w:type="dxa"/>
            <w:vAlign w:val="bottom"/>
          </w:tcPr>
          <w:p>
            <w:pPr>
              <w:spacing w:after="0"/>
              <w:rPr>
                <w:sz w:val="1"/>
                <w:szCs w:val="1"/>
                <w:color w:val="auto"/>
              </w:rPr>
            </w:pPr>
          </w:p>
        </w:tc>
      </w:tr>
      <w:tr>
        <w:trPr>
          <w:trHeight w:val="206"/>
        </w:trPr>
        <w:tc>
          <w:tcPr>
            <w:tcW w:w="3180" w:type="dxa"/>
            <w:vAlign w:val="bottom"/>
          </w:tcPr>
          <w:p>
            <w:pPr>
              <w:ind w:left="800"/>
              <w:spacing w:after="0"/>
              <w:rPr>
                <w:sz w:val="20"/>
                <w:szCs w:val="20"/>
                <w:color w:val="auto"/>
              </w:rPr>
            </w:pPr>
            <w:r>
              <w:rPr>
                <w:rFonts w:ascii="Arial" w:cs="Arial" w:eastAsia="Arial" w:hAnsi="Arial"/>
                <w:sz w:val="16"/>
                <w:szCs w:val="16"/>
                <w:color w:val="auto"/>
                <w:w w:val="99"/>
              </w:rPr>
              <w:t>in excess of/(less than) payments</w:t>
            </w:r>
          </w:p>
        </w:tc>
        <w:tc>
          <w:tcPr>
            <w:tcW w:w="26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156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5840" w:type="dxa"/>
            <w:vAlign w:val="bottom"/>
            <w:gridSpan w:val="2"/>
          </w:tcPr>
          <w:p>
            <w:pPr>
              <w:ind w:left="220"/>
              <w:spacing w:after="0" w:line="171" w:lineRule="exact"/>
              <w:rPr>
                <w:sz w:val="20"/>
                <w:szCs w:val="20"/>
                <w:color w:val="auto"/>
              </w:rPr>
            </w:pPr>
            <w:r>
              <w:rPr>
                <w:rFonts w:ascii="Arial" w:cs="Arial" w:eastAsia="Arial" w:hAnsi="Arial"/>
                <w:sz w:val="16"/>
                <w:szCs w:val="16"/>
                <w:color w:val="auto"/>
              </w:rPr>
              <w:t>Dividends received greater than/(less than) equity in current</w:t>
            </w:r>
          </w:p>
        </w:tc>
        <w:tc>
          <w:tcPr>
            <w:tcW w:w="172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(668)</w:t>
            </w:r>
          </w:p>
        </w:tc>
        <w:tc>
          <w:tcPr>
            <w:tcW w:w="1560" w:type="dxa"/>
            <w:vAlign w:val="bottom"/>
            <w:vMerge w:val="restart"/>
          </w:tcPr>
          <w:p>
            <w:pPr>
              <w:jc w:val="right"/>
              <w:ind w:right="320"/>
              <w:spacing w:after="0"/>
              <w:rPr>
                <w:sz w:val="20"/>
                <w:szCs w:val="20"/>
                <w:color w:val="auto"/>
              </w:rPr>
            </w:pPr>
            <w:r>
              <w:rPr>
                <w:rFonts w:ascii="Arial" w:cs="Arial" w:eastAsia="Arial" w:hAnsi="Arial"/>
                <w:sz w:val="16"/>
                <w:szCs w:val="16"/>
                <w:color w:val="auto"/>
              </w:rPr>
              <w:t>979</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(936)</w:t>
            </w:r>
          </w:p>
        </w:tc>
        <w:tc>
          <w:tcPr>
            <w:tcW w:w="0" w:type="dxa"/>
            <w:vAlign w:val="bottom"/>
          </w:tcPr>
          <w:p>
            <w:pPr>
              <w:spacing w:after="0"/>
              <w:rPr>
                <w:sz w:val="1"/>
                <w:szCs w:val="1"/>
                <w:color w:val="auto"/>
              </w:rPr>
            </w:pPr>
          </w:p>
        </w:tc>
      </w:tr>
      <w:tr>
        <w:trPr>
          <w:trHeight w:val="206"/>
        </w:trPr>
        <w:tc>
          <w:tcPr>
            <w:tcW w:w="3180" w:type="dxa"/>
            <w:vAlign w:val="bottom"/>
          </w:tcPr>
          <w:p>
            <w:pPr>
              <w:ind w:left="760"/>
              <w:spacing w:after="0"/>
              <w:rPr>
                <w:sz w:val="20"/>
                <w:szCs w:val="20"/>
                <w:color w:val="auto"/>
              </w:rPr>
            </w:pPr>
            <w:r>
              <w:rPr>
                <w:rFonts w:ascii="Arial" w:cs="Arial" w:eastAsia="Arial" w:hAnsi="Arial"/>
                <w:sz w:val="16"/>
                <w:szCs w:val="16"/>
                <w:color w:val="auto"/>
              </w:rPr>
              <w:t>earnings of equity companies</w:t>
            </w:r>
          </w:p>
        </w:tc>
        <w:tc>
          <w:tcPr>
            <w:tcW w:w="26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156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gridSpan w:val="2"/>
          </w:tcPr>
          <w:p>
            <w:pPr>
              <w:ind w:left="220"/>
              <w:spacing w:after="0"/>
              <w:rPr>
                <w:sz w:val="20"/>
                <w:szCs w:val="20"/>
                <w:color w:val="auto"/>
              </w:rPr>
            </w:pPr>
            <w:r>
              <w:rPr>
                <w:rFonts w:ascii="Arial" w:cs="Arial" w:eastAsia="Arial" w:hAnsi="Arial"/>
                <w:sz w:val="16"/>
                <w:szCs w:val="16"/>
                <w:color w:val="auto"/>
              </w:rPr>
              <w:t>Changes in operational working capital, excluding cash and debt</w:t>
            </w:r>
          </w:p>
        </w:tc>
        <w:tc>
          <w:tcPr>
            <w:tcW w:w="17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ind w:left="480"/>
              <w:spacing w:after="0"/>
              <w:rPr>
                <w:sz w:val="20"/>
                <w:szCs w:val="20"/>
                <w:color w:val="auto"/>
              </w:rPr>
            </w:pPr>
            <w:r>
              <w:rPr>
                <w:rFonts w:ascii="Arial" w:cs="Arial" w:eastAsia="Arial" w:hAnsi="Arial"/>
                <w:sz w:val="16"/>
                <w:szCs w:val="16"/>
                <w:color w:val="auto"/>
              </w:rPr>
              <w:t>Reduction/(increase)</w:t>
            </w:r>
          </w:p>
        </w:tc>
        <w:tc>
          <w:tcPr>
            <w:tcW w:w="2660" w:type="dxa"/>
            <w:vAlign w:val="bottom"/>
          </w:tcPr>
          <w:p>
            <w:pPr>
              <w:spacing w:after="0"/>
              <w:rPr>
                <w:sz w:val="20"/>
                <w:szCs w:val="20"/>
                <w:color w:val="auto"/>
              </w:rPr>
            </w:pPr>
            <w:r>
              <w:rPr>
                <w:rFonts w:ascii="Arial" w:cs="Arial" w:eastAsia="Arial" w:hAnsi="Arial"/>
                <w:sz w:val="16"/>
                <w:szCs w:val="16"/>
                <w:color w:val="auto"/>
              </w:rPr>
              <w:t>- Notes and accounts receivable</w:t>
            </w:r>
          </w:p>
        </w:tc>
        <w:tc>
          <w:tcPr>
            <w:tcW w:w="17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(12,098)</w:t>
            </w:r>
          </w:p>
        </w:tc>
        <w:tc>
          <w:tcPr>
            <w:tcW w:w="1560" w:type="dxa"/>
            <w:vAlign w:val="bottom"/>
          </w:tcPr>
          <w:p>
            <w:pPr>
              <w:jc w:val="right"/>
              <w:ind w:right="320"/>
              <w:spacing w:after="0"/>
              <w:rPr>
                <w:sz w:val="20"/>
                <w:szCs w:val="20"/>
                <w:color w:val="auto"/>
              </w:rPr>
            </w:pPr>
            <w:r>
              <w:rPr>
                <w:rFonts w:ascii="Arial" w:cs="Arial" w:eastAsia="Arial" w:hAnsi="Arial"/>
                <w:sz w:val="16"/>
                <w:szCs w:val="16"/>
                <w:color w:val="auto"/>
              </w:rPr>
              <w:t>5,384</w:t>
            </w:r>
          </w:p>
        </w:tc>
        <w:tc>
          <w:tcPr>
            <w:tcW w:w="920" w:type="dxa"/>
            <w:vAlign w:val="bottom"/>
          </w:tcPr>
          <w:p>
            <w:pPr>
              <w:jc w:val="right"/>
              <w:spacing w:after="0"/>
              <w:rPr>
                <w:sz w:val="20"/>
                <w:szCs w:val="20"/>
                <w:color w:val="auto"/>
              </w:rPr>
            </w:pPr>
            <w:r>
              <w:rPr>
                <w:rFonts w:ascii="Arial" w:cs="Arial" w:eastAsia="Arial" w:hAnsi="Arial"/>
                <w:sz w:val="16"/>
                <w:szCs w:val="16"/>
                <w:color w:val="auto"/>
              </w:rPr>
              <w:t>(2,640)</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6"/>
                <w:szCs w:val="16"/>
                <w:color w:val="auto"/>
              </w:rPr>
              <w:t>- Inventories</w:t>
            </w:r>
          </w:p>
        </w:tc>
        <w:tc>
          <w:tcPr>
            <w:tcW w:w="17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(489)</w:t>
            </w:r>
          </w:p>
        </w:tc>
        <w:tc>
          <w:tcPr>
            <w:tcW w:w="1560" w:type="dxa"/>
            <w:vAlign w:val="bottom"/>
          </w:tcPr>
          <w:p>
            <w:pPr>
              <w:jc w:val="right"/>
              <w:ind w:right="280"/>
              <w:spacing w:after="0"/>
              <w:rPr>
                <w:sz w:val="20"/>
                <w:szCs w:val="20"/>
                <w:color w:val="auto"/>
              </w:rPr>
            </w:pPr>
            <w:r>
              <w:rPr>
                <w:rFonts w:ascii="Arial" w:cs="Arial" w:eastAsia="Arial" w:hAnsi="Arial"/>
                <w:sz w:val="16"/>
                <w:szCs w:val="16"/>
                <w:color w:val="auto"/>
              </w:rPr>
              <w:t>(315)</w:t>
            </w:r>
          </w:p>
        </w:tc>
        <w:tc>
          <w:tcPr>
            <w:tcW w:w="920" w:type="dxa"/>
            <w:vAlign w:val="bottom"/>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6"/>
                <w:szCs w:val="16"/>
                <w:color w:val="auto"/>
              </w:rPr>
              <w:t>- Other current assets</w:t>
            </w:r>
          </w:p>
        </w:tc>
        <w:tc>
          <w:tcPr>
            <w:tcW w:w="17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(71)</w:t>
            </w:r>
          </w:p>
        </w:tc>
        <w:tc>
          <w:tcPr>
            <w:tcW w:w="1560" w:type="dxa"/>
            <w:vAlign w:val="bottom"/>
          </w:tcPr>
          <w:p>
            <w:pPr>
              <w:jc w:val="right"/>
              <w:ind w:right="320"/>
              <w:spacing w:after="0"/>
              <w:rPr>
                <w:sz w:val="20"/>
                <w:szCs w:val="20"/>
                <w:color w:val="auto"/>
              </w:rPr>
            </w:pPr>
            <w:r>
              <w:rPr>
                <w:rFonts w:ascii="Arial" w:cs="Arial" w:eastAsia="Arial" w:hAnsi="Arial"/>
                <w:sz w:val="16"/>
                <w:szCs w:val="16"/>
                <w:color w:val="auto"/>
              </w:rPr>
              <w:t>420</w:t>
            </w:r>
          </w:p>
        </w:tc>
        <w:tc>
          <w:tcPr>
            <w:tcW w:w="920" w:type="dxa"/>
            <w:vAlign w:val="bottom"/>
          </w:tcPr>
          <w:p>
            <w:pPr>
              <w:jc w:val="right"/>
              <w:spacing w:after="0"/>
              <w:rPr>
                <w:sz w:val="20"/>
                <w:szCs w:val="20"/>
                <w:color w:val="auto"/>
              </w:rPr>
            </w:pPr>
            <w:r>
              <w:rPr>
                <w:rFonts w:ascii="Arial" w:cs="Arial" w:eastAsia="Arial" w:hAnsi="Arial"/>
                <w:sz w:val="16"/>
                <w:szCs w:val="16"/>
                <w:color w:val="auto"/>
              </w:rPr>
              <w:t>(234)</w:t>
            </w:r>
          </w:p>
        </w:tc>
        <w:tc>
          <w:tcPr>
            <w:tcW w:w="0" w:type="dxa"/>
            <w:vAlign w:val="bottom"/>
          </w:tcPr>
          <w:p>
            <w:pPr>
              <w:spacing w:after="0"/>
              <w:rPr>
                <w:sz w:val="1"/>
                <w:szCs w:val="1"/>
                <w:color w:val="auto"/>
              </w:rPr>
            </w:pPr>
          </w:p>
        </w:tc>
      </w:tr>
      <w:tr>
        <w:trPr>
          <w:trHeight w:val="216"/>
        </w:trPr>
        <w:tc>
          <w:tcPr>
            <w:tcW w:w="3180" w:type="dxa"/>
            <w:vAlign w:val="bottom"/>
          </w:tcPr>
          <w:p>
            <w:pPr>
              <w:ind w:left="480"/>
              <w:spacing w:after="0"/>
              <w:rPr>
                <w:sz w:val="20"/>
                <w:szCs w:val="20"/>
                <w:color w:val="auto"/>
              </w:rPr>
            </w:pPr>
            <w:r>
              <w:rPr>
                <w:rFonts w:ascii="Arial" w:cs="Arial" w:eastAsia="Arial" w:hAnsi="Arial"/>
                <w:sz w:val="16"/>
                <w:szCs w:val="16"/>
                <w:color w:val="auto"/>
              </w:rPr>
              <w:t>Increase/(reduction)</w:t>
            </w:r>
          </w:p>
        </w:tc>
        <w:tc>
          <w:tcPr>
            <w:tcW w:w="2660" w:type="dxa"/>
            <w:vAlign w:val="bottom"/>
          </w:tcPr>
          <w:p>
            <w:pPr>
              <w:spacing w:after="0"/>
              <w:rPr>
                <w:sz w:val="20"/>
                <w:szCs w:val="20"/>
                <w:color w:val="auto"/>
              </w:rPr>
            </w:pPr>
            <w:r>
              <w:rPr>
                <w:rFonts w:ascii="Arial" w:cs="Arial" w:eastAsia="Arial" w:hAnsi="Arial"/>
                <w:sz w:val="16"/>
                <w:szCs w:val="16"/>
                <w:color w:val="auto"/>
              </w:rPr>
              <w:t>- Accounts and other payables</w:t>
            </w:r>
          </w:p>
        </w:tc>
        <w:tc>
          <w:tcPr>
            <w:tcW w:w="1720" w:type="dxa"/>
            <w:vAlign w:val="bottom"/>
          </w:tcPr>
          <w:p>
            <w:pPr>
              <w:spacing w:after="0"/>
              <w:rPr>
                <w:sz w:val="18"/>
                <w:szCs w:val="18"/>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16,820</w:t>
            </w:r>
          </w:p>
        </w:tc>
        <w:tc>
          <w:tcPr>
            <w:tcW w:w="1560" w:type="dxa"/>
            <w:vAlign w:val="bottom"/>
          </w:tcPr>
          <w:p>
            <w:pPr>
              <w:jc w:val="right"/>
              <w:ind w:right="280"/>
              <w:spacing w:after="0"/>
              <w:rPr>
                <w:sz w:val="20"/>
                <w:szCs w:val="20"/>
                <w:color w:val="auto"/>
              </w:rPr>
            </w:pPr>
            <w:r>
              <w:rPr>
                <w:rFonts w:ascii="Arial" w:cs="Arial" w:eastAsia="Arial" w:hAnsi="Arial"/>
                <w:sz w:val="16"/>
                <w:szCs w:val="16"/>
                <w:color w:val="auto"/>
              </w:rPr>
              <w:t>(7,142)</w:t>
            </w:r>
          </w:p>
        </w:tc>
        <w:tc>
          <w:tcPr>
            <w:tcW w:w="920" w:type="dxa"/>
            <w:vAlign w:val="bottom"/>
          </w:tcPr>
          <w:p>
            <w:pPr>
              <w:jc w:val="right"/>
              <w:spacing w:after="0"/>
              <w:rPr>
                <w:sz w:val="20"/>
                <w:szCs w:val="20"/>
                <w:color w:val="auto"/>
              </w:rPr>
            </w:pPr>
            <w:r>
              <w:rPr>
                <w:rFonts w:ascii="Arial" w:cs="Arial" w:eastAsia="Arial" w:hAnsi="Arial"/>
                <w:sz w:val="16"/>
                <w:szCs w:val="16"/>
                <w:color w:val="auto"/>
              </w:rPr>
              <w:t>3,725</w:t>
            </w:r>
          </w:p>
        </w:tc>
        <w:tc>
          <w:tcPr>
            <w:tcW w:w="0" w:type="dxa"/>
            <w:vAlign w:val="bottom"/>
          </w:tcPr>
          <w:p>
            <w:pPr>
              <w:spacing w:after="0"/>
              <w:rPr>
                <w:sz w:val="1"/>
                <w:szCs w:val="1"/>
                <w:color w:val="auto"/>
              </w:rPr>
            </w:pPr>
          </w:p>
        </w:tc>
      </w:tr>
      <w:tr>
        <w:trPr>
          <w:trHeight w:val="216"/>
        </w:trPr>
        <w:tc>
          <w:tcPr>
            <w:tcW w:w="3180" w:type="dxa"/>
            <w:vAlign w:val="bottom"/>
          </w:tcPr>
          <w:p>
            <w:pPr>
              <w:ind w:left="220"/>
              <w:spacing w:after="0"/>
              <w:rPr>
                <w:sz w:val="20"/>
                <w:szCs w:val="20"/>
                <w:color w:val="auto"/>
              </w:rPr>
            </w:pPr>
            <w:r>
              <w:rPr>
                <w:rFonts w:ascii="Arial" w:cs="Arial" w:eastAsia="Arial" w:hAnsi="Arial"/>
                <w:sz w:val="16"/>
                <w:szCs w:val="16"/>
                <w:color w:val="auto"/>
              </w:rPr>
              <w:t>Net (gain)/loss on asset sales</w:t>
            </w:r>
          </w:p>
        </w:tc>
        <w:tc>
          <w:tcPr>
            <w:tcW w:w="2660" w:type="dxa"/>
            <w:vAlign w:val="bottom"/>
          </w:tcPr>
          <w:p>
            <w:pPr>
              <w:spacing w:after="0"/>
              <w:rPr>
                <w:sz w:val="18"/>
                <w:szCs w:val="18"/>
                <w:color w:val="auto"/>
              </w:rPr>
            </w:pPr>
          </w:p>
        </w:tc>
        <w:tc>
          <w:tcPr>
            <w:tcW w:w="1720" w:type="dxa"/>
            <w:vAlign w:val="bottom"/>
          </w:tcPr>
          <w:p>
            <w:pPr>
              <w:jc w:val="center"/>
              <w:ind w:left="308"/>
              <w:spacing w:after="0"/>
              <w:rPr>
                <w:sz w:val="20"/>
                <w:szCs w:val="20"/>
                <w:color w:val="auto"/>
              </w:rPr>
            </w:pPr>
            <w:r>
              <w:rPr>
                <w:rFonts w:ascii="Arial" w:cs="Arial" w:eastAsia="Arial" w:hAnsi="Arial"/>
                <w:sz w:val="14"/>
                <w:szCs w:val="14"/>
                <w:color w:val="auto"/>
                <w:w w:val="76"/>
              </w:rPr>
              <w:t>5</w:t>
            </w:r>
          </w:p>
        </w:tc>
        <w:tc>
          <w:tcPr>
            <w:tcW w:w="1180" w:type="dxa"/>
            <w:vAlign w:val="bottom"/>
          </w:tcPr>
          <w:p>
            <w:pPr>
              <w:jc w:val="right"/>
              <w:spacing w:after="0"/>
              <w:rPr>
                <w:sz w:val="20"/>
                <w:szCs w:val="20"/>
                <w:color w:val="auto"/>
              </w:rPr>
            </w:pPr>
            <w:r>
              <w:rPr>
                <w:rFonts w:ascii="Arial" w:cs="Arial" w:eastAsia="Arial" w:hAnsi="Arial"/>
                <w:sz w:val="16"/>
                <w:szCs w:val="16"/>
                <w:color w:val="auto"/>
              </w:rPr>
              <w:t>(1,207)</w:t>
            </w:r>
          </w:p>
        </w:tc>
        <w:tc>
          <w:tcPr>
            <w:tcW w:w="1560" w:type="dxa"/>
            <w:vAlign w:val="bottom"/>
          </w:tcPr>
          <w:p>
            <w:pPr>
              <w:jc w:val="right"/>
              <w:ind w:right="320"/>
              <w:spacing w:after="0"/>
              <w:rPr>
                <w:sz w:val="20"/>
                <w:szCs w:val="20"/>
                <w:color w:val="auto"/>
              </w:rPr>
            </w:pPr>
            <w:r>
              <w:rPr>
                <w:rFonts w:ascii="Arial" w:cs="Arial" w:eastAsia="Arial" w:hAnsi="Arial"/>
                <w:sz w:val="16"/>
                <w:szCs w:val="16"/>
                <w:color w:val="auto"/>
              </w:rPr>
              <w:t>4</w:t>
            </w:r>
          </w:p>
        </w:tc>
        <w:tc>
          <w:tcPr>
            <w:tcW w:w="920" w:type="dxa"/>
            <w:vAlign w:val="bottom"/>
          </w:tcPr>
          <w:p>
            <w:pPr>
              <w:jc w:val="right"/>
              <w:spacing w:after="0"/>
              <w:rPr>
                <w:sz w:val="20"/>
                <w:szCs w:val="20"/>
                <w:color w:val="auto"/>
              </w:rPr>
            </w:pPr>
            <w:r>
              <w:rPr>
                <w:rFonts w:ascii="Arial" w:cs="Arial" w:eastAsia="Arial" w:hAnsi="Arial"/>
                <w:sz w:val="16"/>
                <w:szCs w:val="16"/>
                <w:color w:val="auto"/>
              </w:rPr>
              <w:t>(1,710)</w:t>
            </w:r>
          </w:p>
        </w:tc>
        <w:tc>
          <w:tcPr>
            <w:tcW w:w="0" w:type="dxa"/>
            <w:vAlign w:val="bottom"/>
          </w:tcPr>
          <w:p>
            <w:pPr>
              <w:spacing w:after="0"/>
              <w:rPr>
                <w:sz w:val="1"/>
                <w:szCs w:val="1"/>
                <w:color w:val="auto"/>
              </w:rPr>
            </w:pPr>
          </w:p>
        </w:tc>
      </w:tr>
      <w:tr>
        <w:trPr>
          <w:trHeight w:val="216"/>
        </w:trPr>
        <w:tc>
          <w:tcPr>
            <w:tcW w:w="3180" w:type="dxa"/>
            <w:vAlign w:val="bottom"/>
          </w:tcPr>
          <w:p>
            <w:pPr>
              <w:ind w:left="220"/>
              <w:spacing w:after="0"/>
              <w:rPr>
                <w:sz w:val="20"/>
                <w:szCs w:val="20"/>
                <w:color w:val="auto"/>
              </w:rPr>
            </w:pPr>
            <w:r>
              <w:rPr>
                <w:rFonts w:ascii="Arial" w:cs="Arial" w:eastAsia="Arial" w:hAnsi="Arial"/>
                <w:sz w:val="16"/>
                <w:szCs w:val="16"/>
                <w:color w:val="auto"/>
              </w:rPr>
              <w:t>All other items - net</w:t>
            </w:r>
          </w:p>
        </w:tc>
        <w:tc>
          <w:tcPr>
            <w:tcW w:w="26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530</w:t>
            </w:r>
          </w:p>
        </w:tc>
        <w:tc>
          <w:tcPr>
            <w:tcW w:w="156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color w:val="auto"/>
              </w:rPr>
              <w:t>2,207</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1,540</w:t>
            </w:r>
          </w:p>
        </w:tc>
        <w:tc>
          <w:tcPr>
            <w:tcW w:w="0" w:type="dxa"/>
            <w:vAlign w:val="bottom"/>
          </w:tcPr>
          <w:p>
            <w:pPr>
              <w:spacing w:after="0"/>
              <w:rPr>
                <w:sz w:val="1"/>
                <w:szCs w:val="1"/>
                <w:color w:val="auto"/>
              </w:rPr>
            </w:pPr>
          </w:p>
        </w:tc>
      </w:tr>
      <w:tr>
        <w:trPr>
          <w:trHeight w:val="210"/>
        </w:trPr>
        <w:tc>
          <w:tcPr>
            <w:tcW w:w="3180" w:type="dxa"/>
            <w:vAlign w:val="bottom"/>
          </w:tcPr>
          <w:p>
            <w:pPr>
              <w:ind w:left="480"/>
              <w:spacing w:after="0"/>
              <w:rPr>
                <w:sz w:val="20"/>
                <w:szCs w:val="20"/>
                <w:color w:val="auto"/>
              </w:rPr>
            </w:pPr>
            <w:r>
              <w:rPr>
                <w:rFonts w:ascii="Arial" w:cs="Arial" w:eastAsia="Arial" w:hAnsi="Arial"/>
                <w:sz w:val="16"/>
                <w:szCs w:val="16"/>
                <w:color w:val="auto"/>
                <w:w w:val="93"/>
              </w:rPr>
              <w:t>Net cash provided by operating activities</w:t>
            </w:r>
          </w:p>
        </w:tc>
        <w:tc>
          <w:tcPr>
            <w:tcW w:w="26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48,129</w:t>
            </w:r>
          </w:p>
        </w:tc>
        <w:tc>
          <w:tcPr>
            <w:tcW w:w="156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color w:val="auto"/>
              </w:rPr>
              <w:t>14,668</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29,716</w:t>
            </w:r>
          </w:p>
        </w:tc>
        <w:tc>
          <w:tcPr>
            <w:tcW w:w="0" w:type="dxa"/>
            <w:vAlign w:val="bottom"/>
          </w:tcPr>
          <w:p>
            <w:pPr>
              <w:spacing w:after="0"/>
              <w:rPr>
                <w:sz w:val="1"/>
                <w:szCs w:val="1"/>
                <w:color w:val="auto"/>
              </w:rPr>
            </w:pPr>
          </w:p>
        </w:tc>
      </w:tr>
      <w:tr>
        <w:trPr>
          <w:trHeight w:val="196"/>
        </w:trPr>
        <w:tc>
          <w:tcPr>
            <w:tcW w:w="3180" w:type="dxa"/>
            <w:vAlign w:val="bottom"/>
          </w:tcPr>
          <w:p>
            <w:pPr>
              <w:ind w:left="20"/>
              <w:spacing w:after="0"/>
              <w:rPr>
                <w:sz w:val="20"/>
                <w:szCs w:val="20"/>
                <w:color w:val="auto"/>
              </w:rPr>
            </w:pPr>
            <w:r>
              <w:rPr>
                <w:rFonts w:ascii="Arial" w:cs="Arial" w:eastAsia="Arial" w:hAnsi="Arial"/>
                <w:sz w:val="16"/>
                <w:szCs w:val="16"/>
                <w:color w:val="auto"/>
              </w:rPr>
              <w:t>Cash flows from investing activities</w:t>
            </w:r>
          </w:p>
        </w:tc>
        <w:tc>
          <w:tcPr>
            <w:tcW w:w="26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80" w:type="dxa"/>
            <w:vAlign w:val="bottom"/>
          </w:tcPr>
          <w:p>
            <w:pPr>
              <w:ind w:left="220"/>
              <w:spacing w:after="0"/>
              <w:rPr>
                <w:sz w:val="20"/>
                <w:szCs w:val="20"/>
                <w:color w:val="auto"/>
              </w:rPr>
            </w:pPr>
            <w:r>
              <w:rPr>
                <w:rFonts w:ascii="Arial" w:cs="Arial" w:eastAsia="Arial" w:hAnsi="Arial"/>
                <w:sz w:val="16"/>
                <w:szCs w:val="16"/>
                <w:color w:val="auto"/>
                <w:w w:val="97"/>
              </w:rPr>
              <w:t>Additions to property, plant and equipment</w:t>
            </w:r>
          </w:p>
        </w:tc>
        <w:tc>
          <w:tcPr>
            <w:tcW w:w="26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(12,076)</w:t>
            </w:r>
          </w:p>
        </w:tc>
        <w:tc>
          <w:tcPr>
            <w:tcW w:w="1560" w:type="dxa"/>
            <w:vAlign w:val="bottom"/>
          </w:tcPr>
          <w:p>
            <w:pPr>
              <w:jc w:val="right"/>
              <w:ind w:right="280"/>
              <w:spacing w:after="0"/>
              <w:rPr>
                <w:sz w:val="20"/>
                <w:szCs w:val="20"/>
                <w:color w:val="auto"/>
              </w:rPr>
            </w:pPr>
            <w:r>
              <w:rPr>
                <w:rFonts w:ascii="Arial" w:cs="Arial" w:eastAsia="Arial" w:hAnsi="Arial"/>
                <w:sz w:val="16"/>
                <w:szCs w:val="16"/>
                <w:color w:val="auto"/>
              </w:rPr>
              <w:t>(17,282)</w:t>
            </w:r>
          </w:p>
        </w:tc>
        <w:tc>
          <w:tcPr>
            <w:tcW w:w="920" w:type="dxa"/>
            <w:vAlign w:val="bottom"/>
          </w:tcPr>
          <w:p>
            <w:pPr>
              <w:jc w:val="right"/>
              <w:spacing w:after="0"/>
              <w:rPr>
                <w:sz w:val="20"/>
                <w:szCs w:val="20"/>
                <w:color w:val="auto"/>
              </w:rPr>
            </w:pPr>
            <w:r>
              <w:rPr>
                <w:rFonts w:ascii="Arial" w:cs="Arial" w:eastAsia="Arial" w:hAnsi="Arial"/>
                <w:sz w:val="16"/>
                <w:szCs w:val="16"/>
                <w:color w:val="auto"/>
              </w:rPr>
              <w:t>(24,361)</w:t>
            </w:r>
          </w:p>
        </w:tc>
        <w:tc>
          <w:tcPr>
            <w:tcW w:w="0" w:type="dxa"/>
            <w:vAlign w:val="bottom"/>
          </w:tcPr>
          <w:p>
            <w:pPr>
              <w:spacing w:after="0"/>
              <w:rPr>
                <w:sz w:val="1"/>
                <w:szCs w:val="1"/>
                <w:color w:val="auto"/>
              </w:rPr>
            </w:pPr>
          </w:p>
        </w:tc>
      </w:tr>
      <w:tr>
        <w:trPr>
          <w:trHeight w:val="216"/>
        </w:trPr>
        <w:tc>
          <w:tcPr>
            <w:tcW w:w="5840" w:type="dxa"/>
            <w:vAlign w:val="bottom"/>
            <w:gridSpan w:val="2"/>
          </w:tcPr>
          <w:p>
            <w:pPr>
              <w:ind w:left="220"/>
              <w:spacing w:after="0"/>
              <w:rPr>
                <w:sz w:val="20"/>
                <w:szCs w:val="20"/>
                <w:color w:val="auto"/>
              </w:rPr>
            </w:pPr>
            <w:r>
              <w:rPr>
                <w:rFonts w:ascii="Arial" w:cs="Arial" w:eastAsia="Arial" w:hAnsi="Arial"/>
                <w:sz w:val="16"/>
                <w:szCs w:val="16"/>
                <w:color w:val="auto"/>
              </w:rPr>
              <w:t>Proceeds from asset sales and returns of investments</w:t>
            </w:r>
          </w:p>
        </w:tc>
        <w:tc>
          <w:tcPr>
            <w:tcW w:w="1720" w:type="dxa"/>
            <w:vAlign w:val="bottom"/>
          </w:tcPr>
          <w:p>
            <w:pPr>
              <w:spacing w:after="0"/>
              <w:rPr>
                <w:sz w:val="18"/>
                <w:szCs w:val="18"/>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3,176</w:t>
            </w:r>
          </w:p>
        </w:tc>
        <w:tc>
          <w:tcPr>
            <w:tcW w:w="1560" w:type="dxa"/>
            <w:vAlign w:val="bottom"/>
          </w:tcPr>
          <w:p>
            <w:pPr>
              <w:jc w:val="right"/>
              <w:ind w:right="320"/>
              <w:spacing w:after="0"/>
              <w:rPr>
                <w:sz w:val="20"/>
                <w:szCs w:val="20"/>
                <w:color w:val="auto"/>
              </w:rPr>
            </w:pPr>
            <w:r>
              <w:rPr>
                <w:rFonts w:ascii="Arial" w:cs="Arial" w:eastAsia="Arial" w:hAnsi="Arial"/>
                <w:sz w:val="16"/>
                <w:szCs w:val="16"/>
                <w:color w:val="auto"/>
              </w:rPr>
              <w:t>999</w:t>
            </w:r>
          </w:p>
        </w:tc>
        <w:tc>
          <w:tcPr>
            <w:tcW w:w="920" w:type="dxa"/>
            <w:vAlign w:val="bottom"/>
          </w:tcPr>
          <w:p>
            <w:pPr>
              <w:jc w:val="right"/>
              <w:spacing w:after="0"/>
              <w:rPr>
                <w:sz w:val="20"/>
                <w:szCs w:val="20"/>
                <w:color w:val="auto"/>
              </w:rPr>
            </w:pPr>
            <w:r>
              <w:rPr>
                <w:rFonts w:ascii="Arial" w:cs="Arial" w:eastAsia="Arial" w:hAnsi="Arial"/>
                <w:sz w:val="16"/>
                <w:szCs w:val="16"/>
                <w:color w:val="auto"/>
              </w:rPr>
              <w:t>3,692</w:t>
            </w:r>
          </w:p>
        </w:tc>
        <w:tc>
          <w:tcPr>
            <w:tcW w:w="0" w:type="dxa"/>
            <w:vAlign w:val="bottom"/>
          </w:tcPr>
          <w:p>
            <w:pPr>
              <w:spacing w:after="0"/>
              <w:rPr>
                <w:sz w:val="1"/>
                <w:szCs w:val="1"/>
                <w:color w:val="auto"/>
              </w:rPr>
            </w:pPr>
          </w:p>
        </w:tc>
      </w:tr>
      <w:tr>
        <w:trPr>
          <w:trHeight w:val="216"/>
        </w:trPr>
        <w:tc>
          <w:tcPr>
            <w:tcW w:w="3180" w:type="dxa"/>
            <w:vAlign w:val="bottom"/>
          </w:tcPr>
          <w:p>
            <w:pPr>
              <w:ind w:left="220"/>
              <w:spacing w:after="0"/>
              <w:rPr>
                <w:sz w:val="20"/>
                <w:szCs w:val="20"/>
                <w:color w:val="auto"/>
              </w:rPr>
            </w:pPr>
            <w:r>
              <w:rPr>
                <w:rFonts w:ascii="Arial" w:cs="Arial" w:eastAsia="Arial" w:hAnsi="Arial"/>
                <w:sz w:val="16"/>
                <w:szCs w:val="16"/>
                <w:color w:val="auto"/>
              </w:rPr>
              <w:t>Additional investments and advances</w:t>
            </w:r>
          </w:p>
        </w:tc>
        <w:tc>
          <w:tcPr>
            <w:tcW w:w="26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(2,817)</w:t>
            </w:r>
          </w:p>
        </w:tc>
        <w:tc>
          <w:tcPr>
            <w:tcW w:w="1560" w:type="dxa"/>
            <w:vAlign w:val="bottom"/>
          </w:tcPr>
          <w:p>
            <w:pPr>
              <w:jc w:val="right"/>
              <w:ind w:right="280"/>
              <w:spacing w:after="0"/>
              <w:rPr>
                <w:sz w:val="20"/>
                <w:szCs w:val="20"/>
                <w:color w:val="auto"/>
              </w:rPr>
            </w:pPr>
            <w:r>
              <w:rPr>
                <w:rFonts w:ascii="Arial" w:cs="Arial" w:eastAsia="Arial" w:hAnsi="Arial"/>
                <w:sz w:val="16"/>
                <w:szCs w:val="16"/>
                <w:color w:val="auto"/>
              </w:rPr>
              <w:t>(4,857)</w:t>
            </w:r>
          </w:p>
        </w:tc>
        <w:tc>
          <w:tcPr>
            <w:tcW w:w="920" w:type="dxa"/>
            <w:vAlign w:val="bottom"/>
          </w:tcPr>
          <w:p>
            <w:pPr>
              <w:jc w:val="right"/>
              <w:spacing w:after="0"/>
              <w:rPr>
                <w:sz w:val="20"/>
                <w:szCs w:val="20"/>
                <w:color w:val="auto"/>
              </w:rPr>
            </w:pPr>
            <w:r>
              <w:rPr>
                <w:rFonts w:ascii="Arial" w:cs="Arial" w:eastAsia="Arial" w:hAnsi="Arial"/>
                <w:sz w:val="16"/>
                <w:szCs w:val="16"/>
                <w:color w:val="auto"/>
              </w:rPr>
              <w:t>(3,905)</w:t>
            </w:r>
          </w:p>
        </w:tc>
        <w:tc>
          <w:tcPr>
            <w:tcW w:w="0" w:type="dxa"/>
            <w:vAlign w:val="bottom"/>
          </w:tcPr>
          <w:p>
            <w:pPr>
              <w:spacing w:after="0"/>
              <w:rPr>
                <w:sz w:val="1"/>
                <w:szCs w:val="1"/>
                <w:color w:val="auto"/>
              </w:rPr>
            </w:pPr>
          </w:p>
        </w:tc>
      </w:tr>
      <w:tr>
        <w:trPr>
          <w:trHeight w:val="216"/>
        </w:trPr>
        <w:tc>
          <w:tcPr>
            <w:tcW w:w="5840" w:type="dxa"/>
            <w:vAlign w:val="bottom"/>
            <w:gridSpan w:val="2"/>
          </w:tcPr>
          <w:p>
            <w:pPr>
              <w:ind w:left="220"/>
              <w:spacing w:after="0"/>
              <w:rPr>
                <w:sz w:val="20"/>
                <w:szCs w:val="20"/>
                <w:color w:val="auto"/>
              </w:rPr>
            </w:pPr>
            <w:r>
              <w:rPr>
                <w:rFonts w:ascii="Arial" w:cs="Arial" w:eastAsia="Arial" w:hAnsi="Arial"/>
                <w:sz w:val="16"/>
                <w:szCs w:val="16"/>
                <w:color w:val="auto"/>
              </w:rPr>
              <w:t>Other investing activities including collection of advances</w:t>
            </w:r>
          </w:p>
        </w:tc>
        <w:tc>
          <w:tcPr>
            <w:tcW w:w="1720" w:type="dxa"/>
            <w:vAlign w:val="bottom"/>
          </w:tcPr>
          <w:p>
            <w:pPr>
              <w:spacing w:after="0"/>
              <w:rPr>
                <w:sz w:val="18"/>
                <w:szCs w:val="18"/>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1,482</w:t>
            </w:r>
          </w:p>
        </w:tc>
        <w:tc>
          <w:tcPr>
            <w:tcW w:w="156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color w:val="auto"/>
              </w:rPr>
              <w:t>2,681</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1,490</w:t>
            </w:r>
          </w:p>
        </w:tc>
        <w:tc>
          <w:tcPr>
            <w:tcW w:w="0" w:type="dxa"/>
            <w:vAlign w:val="bottom"/>
          </w:tcPr>
          <w:p>
            <w:pPr>
              <w:spacing w:after="0"/>
              <w:rPr>
                <w:sz w:val="1"/>
                <w:szCs w:val="1"/>
                <w:color w:val="auto"/>
              </w:rPr>
            </w:pPr>
          </w:p>
        </w:tc>
      </w:tr>
      <w:tr>
        <w:trPr>
          <w:trHeight w:val="210"/>
        </w:trPr>
        <w:tc>
          <w:tcPr>
            <w:tcW w:w="3180" w:type="dxa"/>
            <w:vAlign w:val="bottom"/>
          </w:tcPr>
          <w:p>
            <w:pPr>
              <w:ind w:left="680"/>
              <w:spacing w:after="0"/>
              <w:rPr>
                <w:sz w:val="20"/>
                <w:szCs w:val="20"/>
                <w:color w:val="auto"/>
              </w:rPr>
            </w:pPr>
            <w:r>
              <w:rPr>
                <w:rFonts w:ascii="Arial" w:cs="Arial" w:eastAsia="Arial" w:hAnsi="Arial"/>
                <w:sz w:val="16"/>
                <w:szCs w:val="16"/>
                <w:color w:val="auto"/>
                <w:w w:val="98"/>
              </w:rPr>
              <w:t>Net cash used in investing activities</w:t>
            </w:r>
          </w:p>
        </w:tc>
        <w:tc>
          <w:tcPr>
            <w:tcW w:w="26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(10,235)</w:t>
            </w:r>
          </w:p>
        </w:tc>
        <w:tc>
          <w:tcPr>
            <w:tcW w:w="156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color w:val="auto"/>
              </w:rPr>
              <w:t>(18,459)</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(23,084)</w:t>
            </w:r>
          </w:p>
        </w:tc>
        <w:tc>
          <w:tcPr>
            <w:tcW w:w="0" w:type="dxa"/>
            <w:vAlign w:val="bottom"/>
          </w:tcPr>
          <w:p>
            <w:pPr>
              <w:spacing w:after="0"/>
              <w:rPr>
                <w:sz w:val="1"/>
                <w:szCs w:val="1"/>
                <w:color w:val="auto"/>
              </w:rPr>
            </w:pPr>
          </w:p>
        </w:tc>
      </w:tr>
      <w:tr>
        <w:trPr>
          <w:trHeight w:val="196"/>
        </w:trPr>
        <w:tc>
          <w:tcPr>
            <w:tcW w:w="3180" w:type="dxa"/>
            <w:vAlign w:val="bottom"/>
          </w:tcPr>
          <w:p>
            <w:pPr>
              <w:ind w:left="20"/>
              <w:spacing w:after="0"/>
              <w:rPr>
                <w:sz w:val="20"/>
                <w:szCs w:val="20"/>
                <w:color w:val="auto"/>
              </w:rPr>
            </w:pPr>
            <w:r>
              <w:rPr>
                <w:rFonts w:ascii="Arial" w:cs="Arial" w:eastAsia="Arial" w:hAnsi="Arial"/>
                <w:sz w:val="16"/>
                <w:szCs w:val="16"/>
                <w:color w:val="auto"/>
              </w:rPr>
              <w:t>Cash flows from financing activities</w:t>
            </w:r>
          </w:p>
        </w:tc>
        <w:tc>
          <w:tcPr>
            <w:tcW w:w="26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80" w:type="dxa"/>
            <w:vAlign w:val="bottom"/>
          </w:tcPr>
          <w:p>
            <w:pPr>
              <w:ind w:left="220"/>
              <w:spacing w:after="0"/>
              <w:rPr>
                <w:sz w:val="20"/>
                <w:szCs w:val="20"/>
                <w:color w:val="auto"/>
              </w:rPr>
            </w:pPr>
            <w:r>
              <w:rPr>
                <w:rFonts w:ascii="Arial" w:cs="Arial" w:eastAsia="Arial" w:hAnsi="Arial"/>
                <w:sz w:val="16"/>
                <w:szCs w:val="16"/>
                <w:color w:val="auto"/>
              </w:rPr>
              <w:t>Additions to long-term debt</w:t>
            </w:r>
          </w:p>
        </w:tc>
        <w:tc>
          <w:tcPr>
            <w:tcW w:w="26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46</w:t>
            </w:r>
          </w:p>
        </w:tc>
        <w:tc>
          <w:tcPr>
            <w:tcW w:w="1560" w:type="dxa"/>
            <w:vAlign w:val="bottom"/>
          </w:tcPr>
          <w:p>
            <w:pPr>
              <w:jc w:val="right"/>
              <w:ind w:right="320"/>
              <w:spacing w:after="0"/>
              <w:rPr>
                <w:sz w:val="20"/>
                <w:szCs w:val="20"/>
                <w:color w:val="auto"/>
              </w:rPr>
            </w:pPr>
            <w:r>
              <w:rPr>
                <w:rFonts w:ascii="Arial" w:cs="Arial" w:eastAsia="Arial" w:hAnsi="Arial"/>
                <w:sz w:val="16"/>
                <w:szCs w:val="16"/>
                <w:color w:val="auto"/>
              </w:rPr>
              <w:t>23,186</w:t>
            </w:r>
          </w:p>
        </w:tc>
        <w:tc>
          <w:tcPr>
            <w:tcW w:w="920" w:type="dxa"/>
            <w:vAlign w:val="bottom"/>
          </w:tcPr>
          <w:p>
            <w:pPr>
              <w:jc w:val="right"/>
              <w:spacing w:after="0"/>
              <w:rPr>
                <w:sz w:val="20"/>
                <w:szCs w:val="20"/>
                <w:color w:val="auto"/>
              </w:rPr>
            </w:pPr>
            <w:r>
              <w:rPr>
                <w:rFonts w:ascii="Arial" w:cs="Arial" w:eastAsia="Arial" w:hAnsi="Arial"/>
                <w:sz w:val="16"/>
                <w:szCs w:val="16"/>
                <w:color w:val="auto"/>
              </w:rPr>
              <w:t>7,052</w:t>
            </w:r>
          </w:p>
        </w:tc>
        <w:tc>
          <w:tcPr>
            <w:tcW w:w="0" w:type="dxa"/>
            <w:vAlign w:val="bottom"/>
          </w:tcPr>
          <w:p>
            <w:pPr>
              <w:spacing w:after="0"/>
              <w:rPr>
                <w:sz w:val="1"/>
                <w:szCs w:val="1"/>
                <w:color w:val="auto"/>
              </w:rPr>
            </w:pPr>
          </w:p>
        </w:tc>
      </w:tr>
      <w:tr>
        <w:trPr>
          <w:trHeight w:val="216"/>
        </w:trPr>
        <w:tc>
          <w:tcPr>
            <w:tcW w:w="3180" w:type="dxa"/>
            <w:vAlign w:val="bottom"/>
          </w:tcPr>
          <w:p>
            <w:pPr>
              <w:ind w:left="220"/>
              <w:spacing w:after="0"/>
              <w:rPr>
                <w:sz w:val="20"/>
                <w:szCs w:val="20"/>
                <w:color w:val="auto"/>
              </w:rPr>
            </w:pPr>
            <w:r>
              <w:rPr>
                <w:rFonts w:ascii="Arial" w:cs="Arial" w:eastAsia="Arial" w:hAnsi="Arial"/>
                <w:sz w:val="16"/>
                <w:szCs w:val="16"/>
                <w:color w:val="auto"/>
              </w:rPr>
              <w:t>Reductions in long-term debt</w:t>
            </w:r>
          </w:p>
        </w:tc>
        <w:tc>
          <w:tcPr>
            <w:tcW w:w="26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w:t>
            </w:r>
          </w:p>
        </w:tc>
        <w:tc>
          <w:tcPr>
            <w:tcW w:w="1560" w:type="dxa"/>
            <w:vAlign w:val="bottom"/>
          </w:tcPr>
          <w:p>
            <w:pPr>
              <w:jc w:val="right"/>
              <w:ind w:right="280"/>
              <w:spacing w:after="0"/>
              <w:rPr>
                <w:sz w:val="20"/>
                <w:szCs w:val="20"/>
                <w:color w:val="auto"/>
              </w:rPr>
            </w:pPr>
            <w:r>
              <w:rPr>
                <w:rFonts w:ascii="Arial" w:cs="Arial" w:eastAsia="Arial" w:hAnsi="Arial"/>
                <w:sz w:val="16"/>
                <w:szCs w:val="16"/>
                <w:color w:val="auto"/>
              </w:rPr>
              <w:t>(8)</w:t>
            </w:r>
          </w:p>
        </w:tc>
        <w:tc>
          <w:tcPr>
            <w:tcW w:w="92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6"/>
        </w:trPr>
        <w:tc>
          <w:tcPr>
            <w:tcW w:w="3180" w:type="dxa"/>
            <w:vAlign w:val="bottom"/>
          </w:tcPr>
          <w:p>
            <w:pPr>
              <w:ind w:left="220"/>
              <w:spacing w:after="0"/>
              <w:rPr>
                <w:sz w:val="20"/>
                <w:szCs w:val="20"/>
                <w:color w:val="auto"/>
              </w:rPr>
            </w:pPr>
            <w:r>
              <w:rPr>
                <w:rFonts w:ascii="Arial" w:cs="Arial" w:eastAsia="Arial" w:hAnsi="Arial"/>
                <w:sz w:val="16"/>
                <w:szCs w:val="16"/>
                <w:color w:val="auto"/>
              </w:rPr>
              <w:t xml:space="preserve">Additions to short-term debt </w:t>
            </w:r>
            <w:r>
              <w:rPr>
                <w:rFonts w:ascii="Arial" w:cs="Arial" w:eastAsia="Arial" w:hAnsi="Arial"/>
                <w:sz w:val="14"/>
                <w:szCs w:val="14"/>
                <w:i w:val="1"/>
                <w:iCs w:val="1"/>
                <w:color w:val="auto"/>
              </w:rPr>
              <w:t>(1)</w:t>
            </w:r>
          </w:p>
        </w:tc>
        <w:tc>
          <w:tcPr>
            <w:tcW w:w="26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12,687</w:t>
            </w:r>
          </w:p>
        </w:tc>
        <w:tc>
          <w:tcPr>
            <w:tcW w:w="1560" w:type="dxa"/>
            <w:vAlign w:val="bottom"/>
          </w:tcPr>
          <w:p>
            <w:pPr>
              <w:jc w:val="right"/>
              <w:ind w:right="320"/>
              <w:spacing w:after="0"/>
              <w:rPr>
                <w:sz w:val="20"/>
                <w:szCs w:val="20"/>
                <w:color w:val="auto"/>
              </w:rPr>
            </w:pPr>
            <w:r>
              <w:rPr>
                <w:rFonts w:ascii="Arial" w:cs="Arial" w:eastAsia="Arial" w:hAnsi="Arial"/>
                <w:sz w:val="16"/>
                <w:szCs w:val="16"/>
                <w:color w:val="auto"/>
              </w:rPr>
              <w:t>35,396</w:t>
            </w:r>
          </w:p>
        </w:tc>
        <w:tc>
          <w:tcPr>
            <w:tcW w:w="920" w:type="dxa"/>
            <w:vAlign w:val="bottom"/>
          </w:tcPr>
          <w:p>
            <w:pPr>
              <w:jc w:val="right"/>
              <w:spacing w:after="0"/>
              <w:rPr>
                <w:sz w:val="20"/>
                <w:szCs w:val="20"/>
                <w:color w:val="auto"/>
              </w:rPr>
            </w:pPr>
            <w:r>
              <w:rPr>
                <w:rFonts w:ascii="Arial" w:cs="Arial" w:eastAsia="Arial" w:hAnsi="Arial"/>
                <w:sz w:val="16"/>
                <w:szCs w:val="16"/>
                <w:color w:val="auto"/>
              </w:rPr>
              <w:t>18,967</w:t>
            </w:r>
          </w:p>
        </w:tc>
        <w:tc>
          <w:tcPr>
            <w:tcW w:w="0" w:type="dxa"/>
            <w:vAlign w:val="bottom"/>
          </w:tcPr>
          <w:p>
            <w:pPr>
              <w:spacing w:after="0"/>
              <w:rPr>
                <w:sz w:val="1"/>
                <w:szCs w:val="1"/>
                <w:color w:val="auto"/>
              </w:rPr>
            </w:pPr>
          </w:p>
        </w:tc>
      </w:tr>
      <w:tr>
        <w:trPr>
          <w:trHeight w:val="216"/>
        </w:trPr>
        <w:tc>
          <w:tcPr>
            <w:tcW w:w="3180" w:type="dxa"/>
            <w:vAlign w:val="bottom"/>
          </w:tcPr>
          <w:p>
            <w:pPr>
              <w:ind w:left="220"/>
              <w:spacing w:after="0"/>
              <w:rPr>
                <w:sz w:val="20"/>
                <w:szCs w:val="20"/>
                <w:color w:val="auto"/>
              </w:rPr>
            </w:pPr>
            <w:r>
              <w:rPr>
                <w:rFonts w:ascii="Arial" w:cs="Arial" w:eastAsia="Arial" w:hAnsi="Arial"/>
                <w:sz w:val="16"/>
                <w:szCs w:val="16"/>
                <w:color w:val="auto"/>
              </w:rPr>
              <w:t xml:space="preserve">Reductions in short-term debt </w:t>
            </w:r>
            <w:r>
              <w:rPr>
                <w:rFonts w:ascii="Arial" w:cs="Arial" w:eastAsia="Arial" w:hAnsi="Arial"/>
                <w:sz w:val="14"/>
                <w:szCs w:val="14"/>
                <w:i w:val="1"/>
                <w:iCs w:val="1"/>
                <w:color w:val="auto"/>
              </w:rPr>
              <w:t>(1)</w:t>
            </w:r>
          </w:p>
        </w:tc>
        <w:tc>
          <w:tcPr>
            <w:tcW w:w="26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(29,396)</w:t>
            </w:r>
          </w:p>
        </w:tc>
        <w:tc>
          <w:tcPr>
            <w:tcW w:w="1560" w:type="dxa"/>
            <w:vAlign w:val="bottom"/>
          </w:tcPr>
          <w:p>
            <w:pPr>
              <w:jc w:val="right"/>
              <w:ind w:right="280"/>
              <w:spacing w:after="0"/>
              <w:rPr>
                <w:sz w:val="20"/>
                <w:szCs w:val="20"/>
                <w:color w:val="auto"/>
              </w:rPr>
            </w:pPr>
            <w:r>
              <w:rPr>
                <w:rFonts w:ascii="Arial" w:cs="Arial" w:eastAsia="Arial" w:hAnsi="Arial"/>
                <w:sz w:val="16"/>
                <w:szCs w:val="16"/>
                <w:color w:val="auto"/>
              </w:rPr>
              <w:t>(28,742)</w:t>
            </w:r>
          </w:p>
        </w:tc>
        <w:tc>
          <w:tcPr>
            <w:tcW w:w="920" w:type="dxa"/>
            <w:vAlign w:val="bottom"/>
          </w:tcPr>
          <w:p>
            <w:pPr>
              <w:jc w:val="right"/>
              <w:spacing w:after="0"/>
              <w:rPr>
                <w:sz w:val="20"/>
                <w:szCs w:val="20"/>
                <w:color w:val="auto"/>
              </w:rPr>
            </w:pPr>
            <w:r>
              <w:rPr>
                <w:rFonts w:ascii="Arial" w:cs="Arial" w:eastAsia="Arial" w:hAnsi="Arial"/>
                <w:sz w:val="16"/>
                <w:szCs w:val="16"/>
                <w:color w:val="auto"/>
              </w:rPr>
              <w:t>(18,367)</w:t>
            </w:r>
          </w:p>
        </w:tc>
        <w:tc>
          <w:tcPr>
            <w:tcW w:w="0" w:type="dxa"/>
            <w:vAlign w:val="bottom"/>
          </w:tcPr>
          <w:p>
            <w:pPr>
              <w:spacing w:after="0"/>
              <w:rPr>
                <w:sz w:val="1"/>
                <w:szCs w:val="1"/>
                <w:color w:val="auto"/>
              </w:rPr>
            </w:pPr>
          </w:p>
        </w:tc>
      </w:tr>
      <w:tr>
        <w:trPr>
          <w:trHeight w:val="172"/>
        </w:trPr>
        <w:tc>
          <w:tcPr>
            <w:tcW w:w="5840" w:type="dxa"/>
            <w:vAlign w:val="bottom"/>
            <w:gridSpan w:val="2"/>
          </w:tcPr>
          <w:p>
            <w:pPr>
              <w:ind w:left="220"/>
              <w:spacing w:after="0" w:line="171" w:lineRule="exact"/>
              <w:rPr>
                <w:sz w:val="20"/>
                <w:szCs w:val="20"/>
                <w:color w:val="auto"/>
              </w:rPr>
            </w:pPr>
            <w:r>
              <w:rPr>
                <w:rFonts w:ascii="Arial" w:cs="Arial" w:eastAsia="Arial" w:hAnsi="Arial"/>
                <w:sz w:val="16"/>
                <w:szCs w:val="16"/>
                <w:color w:val="auto"/>
              </w:rPr>
              <w:t>Additions/(reductions) in commercial paper, and debt with</w:t>
            </w:r>
          </w:p>
        </w:tc>
        <w:tc>
          <w:tcPr>
            <w:tcW w:w="172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(2,983)</w:t>
            </w:r>
          </w:p>
        </w:tc>
        <w:tc>
          <w:tcPr>
            <w:tcW w:w="1560" w:type="dxa"/>
            <w:vAlign w:val="bottom"/>
            <w:vMerge w:val="restart"/>
          </w:tcPr>
          <w:p>
            <w:pPr>
              <w:jc w:val="right"/>
              <w:ind w:right="280"/>
              <w:spacing w:after="0"/>
              <w:rPr>
                <w:sz w:val="20"/>
                <w:szCs w:val="20"/>
                <w:color w:val="auto"/>
              </w:rPr>
            </w:pPr>
            <w:r>
              <w:rPr>
                <w:rFonts w:ascii="Arial" w:cs="Arial" w:eastAsia="Arial" w:hAnsi="Arial"/>
                <w:sz w:val="16"/>
                <w:szCs w:val="16"/>
                <w:color w:val="auto"/>
              </w:rPr>
              <w:t>(9,691)</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1,011</w:t>
            </w:r>
          </w:p>
        </w:tc>
        <w:tc>
          <w:tcPr>
            <w:tcW w:w="0" w:type="dxa"/>
            <w:vAlign w:val="bottom"/>
          </w:tcPr>
          <w:p>
            <w:pPr>
              <w:spacing w:after="0"/>
              <w:rPr>
                <w:sz w:val="1"/>
                <w:szCs w:val="1"/>
                <w:color w:val="auto"/>
              </w:rPr>
            </w:pPr>
          </w:p>
        </w:tc>
      </w:tr>
      <w:tr>
        <w:trPr>
          <w:trHeight w:val="206"/>
        </w:trPr>
        <w:tc>
          <w:tcPr>
            <w:tcW w:w="3180" w:type="dxa"/>
            <w:vAlign w:val="bottom"/>
          </w:tcPr>
          <w:p>
            <w:pPr>
              <w:ind w:left="560"/>
              <w:spacing w:after="0"/>
              <w:rPr>
                <w:sz w:val="20"/>
                <w:szCs w:val="20"/>
                <w:color w:val="auto"/>
              </w:rPr>
            </w:pPr>
            <w:r>
              <w:rPr>
                <w:rFonts w:ascii="Arial" w:cs="Arial" w:eastAsia="Arial" w:hAnsi="Arial"/>
                <w:sz w:val="16"/>
                <w:szCs w:val="16"/>
                <w:color w:val="auto"/>
              </w:rPr>
              <w:t>three months or less maturity</w:t>
            </w:r>
          </w:p>
        </w:tc>
        <w:tc>
          <w:tcPr>
            <w:tcW w:w="26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156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80" w:type="dxa"/>
            <w:vAlign w:val="bottom"/>
          </w:tcPr>
          <w:p>
            <w:pPr>
              <w:ind w:left="220"/>
              <w:spacing w:after="0"/>
              <w:rPr>
                <w:sz w:val="20"/>
                <w:szCs w:val="20"/>
                <w:color w:val="auto"/>
              </w:rPr>
            </w:pPr>
            <w:r>
              <w:rPr>
                <w:rFonts w:ascii="Arial" w:cs="Arial" w:eastAsia="Arial" w:hAnsi="Arial"/>
                <w:sz w:val="16"/>
                <w:szCs w:val="16"/>
                <w:color w:val="auto"/>
              </w:rPr>
              <w:t>Contingent consideration payments</w:t>
            </w:r>
          </w:p>
        </w:tc>
        <w:tc>
          <w:tcPr>
            <w:tcW w:w="26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(30)</w:t>
            </w:r>
          </w:p>
        </w:tc>
        <w:tc>
          <w:tcPr>
            <w:tcW w:w="1560" w:type="dxa"/>
            <w:vAlign w:val="bottom"/>
          </w:tcPr>
          <w:p>
            <w:pPr>
              <w:jc w:val="right"/>
              <w:ind w:right="280"/>
              <w:spacing w:after="0"/>
              <w:rPr>
                <w:sz w:val="20"/>
                <w:szCs w:val="20"/>
                <w:color w:val="auto"/>
              </w:rPr>
            </w:pPr>
            <w:r>
              <w:rPr>
                <w:rFonts w:ascii="Arial" w:cs="Arial" w:eastAsia="Arial" w:hAnsi="Arial"/>
                <w:sz w:val="16"/>
                <w:szCs w:val="16"/>
                <w:color w:val="auto"/>
              </w:rPr>
              <w:t>(21)</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180" w:type="dxa"/>
            <w:vAlign w:val="bottom"/>
          </w:tcPr>
          <w:p>
            <w:pPr>
              <w:ind w:left="220"/>
              <w:spacing w:after="0"/>
              <w:rPr>
                <w:sz w:val="20"/>
                <w:szCs w:val="20"/>
                <w:color w:val="auto"/>
              </w:rPr>
            </w:pPr>
            <w:r>
              <w:rPr>
                <w:rFonts w:ascii="Arial" w:cs="Arial" w:eastAsia="Arial" w:hAnsi="Arial"/>
                <w:sz w:val="16"/>
                <w:szCs w:val="16"/>
                <w:color w:val="auto"/>
                <w:w w:val="94"/>
              </w:rPr>
              <w:t>Cash dividends to ExxonMobil shareholders</w:t>
            </w:r>
          </w:p>
        </w:tc>
        <w:tc>
          <w:tcPr>
            <w:tcW w:w="26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(14,924)</w:t>
            </w:r>
          </w:p>
        </w:tc>
        <w:tc>
          <w:tcPr>
            <w:tcW w:w="1560" w:type="dxa"/>
            <w:vAlign w:val="bottom"/>
          </w:tcPr>
          <w:p>
            <w:pPr>
              <w:jc w:val="right"/>
              <w:ind w:right="280"/>
              <w:spacing w:after="0"/>
              <w:rPr>
                <w:sz w:val="20"/>
                <w:szCs w:val="20"/>
                <w:color w:val="auto"/>
              </w:rPr>
            </w:pPr>
            <w:r>
              <w:rPr>
                <w:rFonts w:ascii="Arial" w:cs="Arial" w:eastAsia="Arial" w:hAnsi="Arial"/>
                <w:sz w:val="16"/>
                <w:szCs w:val="16"/>
                <w:color w:val="auto"/>
              </w:rPr>
              <w:t>(14,865)</w:t>
            </w:r>
          </w:p>
        </w:tc>
        <w:tc>
          <w:tcPr>
            <w:tcW w:w="920" w:type="dxa"/>
            <w:vAlign w:val="bottom"/>
          </w:tcPr>
          <w:p>
            <w:pPr>
              <w:jc w:val="right"/>
              <w:spacing w:after="0"/>
              <w:rPr>
                <w:sz w:val="20"/>
                <w:szCs w:val="20"/>
                <w:color w:val="auto"/>
              </w:rPr>
            </w:pPr>
            <w:r>
              <w:rPr>
                <w:rFonts w:ascii="Arial" w:cs="Arial" w:eastAsia="Arial" w:hAnsi="Arial"/>
                <w:sz w:val="16"/>
                <w:szCs w:val="16"/>
                <w:color w:val="auto"/>
              </w:rPr>
              <w:t>(14,652)</w:t>
            </w:r>
          </w:p>
        </w:tc>
        <w:tc>
          <w:tcPr>
            <w:tcW w:w="0" w:type="dxa"/>
            <w:vAlign w:val="bottom"/>
          </w:tcPr>
          <w:p>
            <w:pPr>
              <w:spacing w:after="0"/>
              <w:rPr>
                <w:sz w:val="1"/>
                <w:szCs w:val="1"/>
                <w:color w:val="auto"/>
              </w:rPr>
            </w:pPr>
          </w:p>
        </w:tc>
      </w:tr>
      <w:tr>
        <w:trPr>
          <w:trHeight w:val="216"/>
        </w:trPr>
        <w:tc>
          <w:tcPr>
            <w:tcW w:w="3180" w:type="dxa"/>
            <w:vAlign w:val="bottom"/>
          </w:tcPr>
          <w:p>
            <w:pPr>
              <w:ind w:left="220"/>
              <w:spacing w:after="0"/>
              <w:rPr>
                <w:sz w:val="20"/>
                <w:szCs w:val="20"/>
                <w:color w:val="auto"/>
              </w:rPr>
            </w:pPr>
            <w:r>
              <w:rPr>
                <w:rFonts w:ascii="Arial" w:cs="Arial" w:eastAsia="Arial" w:hAnsi="Arial"/>
                <w:sz w:val="16"/>
                <w:szCs w:val="16"/>
                <w:color w:val="auto"/>
                <w:w w:val="99"/>
              </w:rPr>
              <w:t>Cash dividends to noncontrolling interests</w:t>
            </w:r>
          </w:p>
        </w:tc>
        <w:tc>
          <w:tcPr>
            <w:tcW w:w="26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(224)</w:t>
            </w:r>
          </w:p>
        </w:tc>
        <w:tc>
          <w:tcPr>
            <w:tcW w:w="1560" w:type="dxa"/>
            <w:vAlign w:val="bottom"/>
          </w:tcPr>
          <w:p>
            <w:pPr>
              <w:jc w:val="right"/>
              <w:ind w:right="280"/>
              <w:spacing w:after="0"/>
              <w:rPr>
                <w:sz w:val="20"/>
                <w:szCs w:val="20"/>
                <w:color w:val="auto"/>
              </w:rPr>
            </w:pPr>
            <w:r>
              <w:rPr>
                <w:rFonts w:ascii="Arial" w:cs="Arial" w:eastAsia="Arial" w:hAnsi="Arial"/>
                <w:sz w:val="16"/>
                <w:szCs w:val="16"/>
                <w:color w:val="auto"/>
              </w:rPr>
              <w:t>(188)</w:t>
            </w:r>
          </w:p>
        </w:tc>
        <w:tc>
          <w:tcPr>
            <w:tcW w:w="920" w:type="dxa"/>
            <w:vAlign w:val="bottom"/>
          </w:tcPr>
          <w:p>
            <w:pPr>
              <w:jc w:val="right"/>
              <w:spacing w:after="0"/>
              <w:rPr>
                <w:sz w:val="20"/>
                <w:szCs w:val="20"/>
                <w:color w:val="auto"/>
              </w:rPr>
            </w:pPr>
            <w:r>
              <w:rPr>
                <w:rFonts w:ascii="Arial" w:cs="Arial" w:eastAsia="Arial" w:hAnsi="Arial"/>
                <w:sz w:val="16"/>
                <w:szCs w:val="16"/>
                <w:color w:val="auto"/>
              </w:rPr>
              <w:t>(192)</w:t>
            </w:r>
          </w:p>
        </w:tc>
        <w:tc>
          <w:tcPr>
            <w:tcW w:w="0" w:type="dxa"/>
            <w:vAlign w:val="bottom"/>
          </w:tcPr>
          <w:p>
            <w:pPr>
              <w:spacing w:after="0"/>
              <w:rPr>
                <w:sz w:val="1"/>
                <w:szCs w:val="1"/>
                <w:color w:val="auto"/>
              </w:rPr>
            </w:pPr>
          </w:p>
        </w:tc>
      </w:tr>
      <w:tr>
        <w:trPr>
          <w:trHeight w:val="216"/>
        </w:trPr>
        <w:tc>
          <w:tcPr>
            <w:tcW w:w="3180" w:type="dxa"/>
            <w:vAlign w:val="bottom"/>
          </w:tcPr>
          <w:p>
            <w:pPr>
              <w:ind w:left="220"/>
              <w:spacing w:after="0"/>
              <w:rPr>
                <w:sz w:val="20"/>
                <w:szCs w:val="20"/>
                <w:color w:val="auto"/>
              </w:rPr>
            </w:pPr>
            <w:r>
              <w:rPr>
                <w:rFonts w:ascii="Arial" w:cs="Arial" w:eastAsia="Arial" w:hAnsi="Arial"/>
                <w:sz w:val="16"/>
                <w:szCs w:val="16"/>
                <w:color w:val="auto"/>
              </w:rPr>
              <w:t>Changes in noncontrolling interests</w:t>
            </w:r>
          </w:p>
        </w:tc>
        <w:tc>
          <w:tcPr>
            <w:tcW w:w="26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(436)</w:t>
            </w:r>
          </w:p>
        </w:tc>
        <w:tc>
          <w:tcPr>
            <w:tcW w:w="1560" w:type="dxa"/>
            <w:vAlign w:val="bottom"/>
          </w:tcPr>
          <w:p>
            <w:pPr>
              <w:jc w:val="right"/>
              <w:ind w:right="320"/>
              <w:spacing w:after="0"/>
              <w:rPr>
                <w:sz w:val="20"/>
                <w:szCs w:val="20"/>
                <w:color w:val="auto"/>
              </w:rPr>
            </w:pPr>
            <w:r>
              <w:rPr>
                <w:rFonts w:ascii="Arial" w:cs="Arial" w:eastAsia="Arial" w:hAnsi="Arial"/>
                <w:sz w:val="16"/>
                <w:szCs w:val="16"/>
                <w:color w:val="auto"/>
              </w:rPr>
              <w:t>623</w:t>
            </w:r>
          </w:p>
        </w:tc>
        <w:tc>
          <w:tcPr>
            <w:tcW w:w="920" w:type="dxa"/>
            <w:vAlign w:val="bottom"/>
          </w:tcPr>
          <w:p>
            <w:pPr>
              <w:jc w:val="right"/>
              <w:spacing w:after="0"/>
              <w:rPr>
                <w:sz w:val="20"/>
                <w:szCs w:val="20"/>
                <w:color w:val="auto"/>
              </w:rPr>
            </w:pPr>
            <w:r>
              <w:rPr>
                <w:rFonts w:ascii="Arial" w:cs="Arial" w:eastAsia="Arial" w:hAnsi="Arial"/>
                <w:sz w:val="16"/>
                <w:szCs w:val="16"/>
                <w:color w:val="auto"/>
              </w:rPr>
              <w:t>158</w:t>
            </w:r>
          </w:p>
        </w:tc>
        <w:tc>
          <w:tcPr>
            <w:tcW w:w="0" w:type="dxa"/>
            <w:vAlign w:val="bottom"/>
          </w:tcPr>
          <w:p>
            <w:pPr>
              <w:spacing w:after="0"/>
              <w:rPr>
                <w:sz w:val="1"/>
                <w:szCs w:val="1"/>
                <w:color w:val="auto"/>
              </w:rPr>
            </w:pPr>
          </w:p>
        </w:tc>
      </w:tr>
      <w:tr>
        <w:trPr>
          <w:trHeight w:val="216"/>
        </w:trPr>
        <w:tc>
          <w:tcPr>
            <w:tcW w:w="3180" w:type="dxa"/>
            <w:vAlign w:val="bottom"/>
          </w:tcPr>
          <w:p>
            <w:pPr>
              <w:ind w:left="220"/>
              <w:spacing w:after="0"/>
              <w:rPr>
                <w:sz w:val="20"/>
                <w:szCs w:val="20"/>
                <w:color w:val="auto"/>
              </w:rPr>
            </w:pPr>
            <w:r>
              <w:rPr>
                <w:rFonts w:ascii="Arial" w:cs="Arial" w:eastAsia="Arial" w:hAnsi="Arial"/>
                <w:sz w:val="16"/>
                <w:szCs w:val="16"/>
                <w:color w:val="auto"/>
              </w:rPr>
              <w:t>Common stock acquired</w:t>
            </w:r>
          </w:p>
        </w:tc>
        <w:tc>
          <w:tcPr>
            <w:tcW w:w="26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w:t>
            </w:r>
          </w:p>
        </w:tc>
        <w:tc>
          <w:tcPr>
            <w:tcW w:w="156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color w:val="auto"/>
              </w:rPr>
              <w:t>(405)</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(594)</w:t>
            </w:r>
          </w:p>
        </w:tc>
        <w:tc>
          <w:tcPr>
            <w:tcW w:w="0" w:type="dxa"/>
            <w:vAlign w:val="bottom"/>
          </w:tcPr>
          <w:p>
            <w:pPr>
              <w:spacing w:after="0"/>
              <w:rPr>
                <w:sz w:val="1"/>
                <w:szCs w:val="1"/>
                <w:color w:val="auto"/>
              </w:rPr>
            </w:pPr>
          </w:p>
        </w:tc>
      </w:tr>
      <w:tr>
        <w:trPr>
          <w:trHeight w:val="209"/>
        </w:trPr>
        <w:tc>
          <w:tcPr>
            <w:tcW w:w="5840" w:type="dxa"/>
            <w:vAlign w:val="bottom"/>
            <w:gridSpan w:val="2"/>
          </w:tcPr>
          <w:p>
            <w:pPr>
              <w:ind w:left="480"/>
              <w:spacing w:after="0"/>
              <w:rPr>
                <w:sz w:val="20"/>
                <w:szCs w:val="20"/>
                <w:color w:val="auto"/>
              </w:rPr>
            </w:pPr>
            <w:r>
              <w:rPr>
                <w:rFonts w:ascii="Arial" w:cs="Arial" w:eastAsia="Arial" w:hAnsi="Arial"/>
                <w:sz w:val="16"/>
                <w:szCs w:val="16"/>
                <w:color w:val="auto"/>
              </w:rPr>
              <w:t>Net cash provided by (used in) financing activities</w:t>
            </w:r>
          </w:p>
        </w:tc>
        <w:tc>
          <w:tcPr>
            <w:tcW w:w="172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(35,423)</w:t>
            </w:r>
          </w:p>
        </w:tc>
        <w:tc>
          <w:tcPr>
            <w:tcW w:w="156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color w:val="auto"/>
              </w:rPr>
              <w:t>5,285</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(6,618)</w:t>
            </w:r>
          </w:p>
        </w:tc>
        <w:tc>
          <w:tcPr>
            <w:tcW w:w="0" w:type="dxa"/>
            <w:vAlign w:val="bottom"/>
          </w:tcPr>
          <w:p>
            <w:pPr>
              <w:spacing w:after="0"/>
              <w:rPr>
                <w:sz w:val="1"/>
                <w:szCs w:val="1"/>
                <w:color w:val="auto"/>
              </w:rPr>
            </w:pPr>
          </w:p>
        </w:tc>
      </w:tr>
      <w:tr>
        <w:trPr>
          <w:trHeight w:val="210"/>
        </w:trPr>
        <w:tc>
          <w:tcPr>
            <w:tcW w:w="3180" w:type="dxa"/>
            <w:vAlign w:val="bottom"/>
          </w:tcPr>
          <w:p>
            <w:pPr>
              <w:ind w:left="20"/>
              <w:spacing w:after="0"/>
              <w:rPr>
                <w:sz w:val="20"/>
                <w:szCs w:val="20"/>
                <w:color w:val="auto"/>
              </w:rPr>
            </w:pPr>
            <w:r>
              <w:rPr>
                <w:rFonts w:ascii="Arial" w:cs="Arial" w:eastAsia="Arial" w:hAnsi="Arial"/>
                <w:sz w:val="16"/>
                <w:szCs w:val="16"/>
                <w:color w:val="auto"/>
              </w:rPr>
              <w:t>Effects of exchange rate changes on cash</w:t>
            </w:r>
          </w:p>
        </w:tc>
        <w:tc>
          <w:tcPr>
            <w:tcW w:w="26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156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color w:val="auto"/>
              </w:rPr>
              <w:t>(219)</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10"/>
        </w:trPr>
        <w:tc>
          <w:tcPr>
            <w:tcW w:w="3180" w:type="dxa"/>
            <w:vAlign w:val="bottom"/>
          </w:tcPr>
          <w:p>
            <w:pPr>
              <w:ind w:left="20"/>
              <w:spacing w:after="0"/>
              <w:rPr>
                <w:sz w:val="20"/>
                <w:szCs w:val="20"/>
                <w:color w:val="auto"/>
              </w:rPr>
            </w:pPr>
            <w:r>
              <w:rPr>
                <w:rFonts w:ascii="Arial" w:cs="Arial" w:eastAsia="Arial" w:hAnsi="Arial"/>
                <w:sz w:val="16"/>
                <w:szCs w:val="16"/>
                <w:color w:val="auto"/>
                <w:w w:val="89"/>
              </w:rPr>
              <w:t>Increase/(decrease) in cash and cash equivalents</w:t>
            </w:r>
          </w:p>
        </w:tc>
        <w:tc>
          <w:tcPr>
            <w:tcW w:w="26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2,438</w:t>
            </w:r>
          </w:p>
        </w:tc>
        <w:tc>
          <w:tcPr>
            <w:tcW w:w="1560" w:type="dxa"/>
            <w:vAlign w:val="bottom"/>
          </w:tcPr>
          <w:p>
            <w:pPr>
              <w:jc w:val="right"/>
              <w:ind w:right="320"/>
              <w:spacing w:after="0"/>
              <w:rPr>
                <w:sz w:val="20"/>
                <w:szCs w:val="20"/>
                <w:color w:val="auto"/>
              </w:rPr>
            </w:pPr>
            <w:r>
              <w:rPr>
                <w:rFonts w:ascii="Arial" w:cs="Arial" w:eastAsia="Arial" w:hAnsi="Arial"/>
                <w:sz w:val="16"/>
                <w:szCs w:val="16"/>
                <w:color w:val="auto"/>
              </w:rPr>
              <w:t>1,275</w:t>
            </w:r>
          </w:p>
        </w:tc>
        <w:tc>
          <w:tcPr>
            <w:tcW w:w="920" w:type="dxa"/>
            <w:vAlign w:val="bottom"/>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16"/>
        </w:trPr>
        <w:tc>
          <w:tcPr>
            <w:tcW w:w="3180" w:type="dxa"/>
            <w:vAlign w:val="bottom"/>
          </w:tcPr>
          <w:p>
            <w:pPr>
              <w:ind w:left="20"/>
              <w:spacing w:after="0"/>
              <w:rPr>
                <w:sz w:val="20"/>
                <w:szCs w:val="20"/>
                <w:color w:val="auto"/>
              </w:rPr>
            </w:pPr>
            <w:r>
              <w:rPr>
                <w:rFonts w:ascii="Arial" w:cs="Arial" w:eastAsia="Arial" w:hAnsi="Arial"/>
                <w:sz w:val="16"/>
                <w:szCs w:val="16"/>
                <w:color w:val="auto"/>
                <w:w w:val="93"/>
              </w:rPr>
              <w:t>Cash and cash equivalents at beginning of year</w:t>
            </w:r>
          </w:p>
        </w:tc>
        <w:tc>
          <w:tcPr>
            <w:tcW w:w="26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4,364</w:t>
            </w:r>
          </w:p>
        </w:tc>
        <w:tc>
          <w:tcPr>
            <w:tcW w:w="156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color w:val="auto"/>
              </w:rPr>
              <w:t>3,089</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3,042</w:t>
            </w:r>
          </w:p>
        </w:tc>
        <w:tc>
          <w:tcPr>
            <w:tcW w:w="0" w:type="dxa"/>
            <w:vAlign w:val="bottom"/>
          </w:tcPr>
          <w:p>
            <w:pPr>
              <w:spacing w:after="0"/>
              <w:rPr>
                <w:sz w:val="1"/>
                <w:szCs w:val="1"/>
                <w:color w:val="auto"/>
              </w:rPr>
            </w:pPr>
          </w:p>
        </w:tc>
      </w:tr>
      <w:tr>
        <w:trPr>
          <w:trHeight w:val="213"/>
        </w:trPr>
        <w:tc>
          <w:tcPr>
            <w:tcW w:w="3180" w:type="dxa"/>
            <w:vAlign w:val="bottom"/>
          </w:tcPr>
          <w:p>
            <w:pPr>
              <w:ind w:left="20"/>
              <w:spacing w:after="0"/>
              <w:rPr>
                <w:sz w:val="20"/>
                <w:szCs w:val="20"/>
                <w:color w:val="auto"/>
              </w:rPr>
            </w:pPr>
            <w:r>
              <w:rPr>
                <w:rFonts w:ascii="Arial" w:cs="Arial" w:eastAsia="Arial" w:hAnsi="Arial"/>
                <w:sz w:val="16"/>
                <w:szCs w:val="16"/>
                <w:color w:val="auto"/>
              </w:rPr>
              <w:t>Cash and cash equivalents at end of year</w:t>
            </w:r>
          </w:p>
        </w:tc>
        <w:tc>
          <w:tcPr>
            <w:tcW w:w="26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6,802</w:t>
            </w:r>
          </w:p>
        </w:tc>
        <w:tc>
          <w:tcPr>
            <w:tcW w:w="156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color w:val="auto"/>
              </w:rPr>
              <w:t>4,364</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3,089</w:t>
            </w:r>
          </w:p>
        </w:tc>
        <w:tc>
          <w:tcPr>
            <w:tcW w:w="0" w:type="dxa"/>
            <w:vAlign w:val="bottom"/>
          </w:tcPr>
          <w:p>
            <w:pPr>
              <w:spacing w:after="0"/>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 Includes commercial paper with a maturity greater than three months.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information in the Notes to Consolidated Financial Statements is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18" w:right="35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CONSOLIDATED STATEMENT OF CHANGES IN EQUITY</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3540" w:type="dxa"/>
            <w:vAlign w:val="bottom"/>
            <w:tcBorders>
              <w:bottom w:val="single" w:sz="8" w:color="auto"/>
            </w:tcBorders>
            <w:gridSpan w:val="3"/>
          </w:tcPr>
          <w:p>
            <w:pPr>
              <w:jc w:val="right"/>
              <w:ind w:right="848"/>
              <w:spacing w:after="0"/>
              <w:rPr>
                <w:sz w:val="20"/>
                <w:szCs w:val="20"/>
                <w:color w:val="auto"/>
              </w:rPr>
            </w:pPr>
            <w:r>
              <w:rPr>
                <w:rFonts w:ascii="Arial" w:cs="Arial" w:eastAsia="Arial" w:hAnsi="Arial"/>
                <w:sz w:val="14"/>
                <w:szCs w:val="14"/>
                <w:b w:val="1"/>
                <w:bCs w:val="1"/>
                <w:color w:val="auto"/>
              </w:rPr>
              <w:t>ExxonMobil Share of Equity</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36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66"/>
        </w:trPr>
        <w:tc>
          <w:tcPr>
            <w:tcW w:w="3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00" w:type="dxa"/>
            <w:vAlign w:val="bottom"/>
          </w:tcPr>
          <w:p>
            <w:pPr>
              <w:jc w:val="center"/>
              <w:ind w:left="8"/>
              <w:spacing w:after="0"/>
              <w:rPr>
                <w:sz w:val="20"/>
                <w:szCs w:val="20"/>
                <w:color w:val="auto"/>
              </w:rPr>
            </w:pPr>
            <w:r>
              <w:rPr>
                <w:rFonts w:ascii="Arial" w:cs="Arial" w:eastAsia="Arial" w:hAnsi="Arial"/>
                <w:sz w:val="14"/>
                <w:szCs w:val="14"/>
                <w:b w:val="1"/>
                <w:bCs w:val="1"/>
                <w:color w:val="auto"/>
                <w:w w:val="94"/>
              </w:rPr>
              <w:t>Accumulated Other</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2"/>
              </w:rPr>
              <w:t>Common</w:t>
            </w: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ExxonMobil</w:t>
            </w:r>
          </w:p>
        </w:tc>
        <w:tc>
          <w:tcPr>
            <w:tcW w:w="13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2"/>
        </w:trPr>
        <w:tc>
          <w:tcPr>
            <w:tcW w:w="320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Arial" w:cs="Arial" w:eastAsia="Arial" w:hAnsi="Arial"/>
                <w:sz w:val="14"/>
                <w:szCs w:val="14"/>
                <w:b w:val="1"/>
                <w:bCs w:val="1"/>
                <w:color w:val="auto"/>
              </w:rPr>
              <w:t>Common</w:t>
            </w:r>
          </w:p>
        </w:tc>
        <w:tc>
          <w:tcPr>
            <w:tcW w:w="1020" w:type="dxa"/>
            <w:vAlign w:val="bottom"/>
          </w:tcPr>
          <w:p>
            <w:pPr>
              <w:jc w:val="right"/>
              <w:ind w:right="208"/>
              <w:spacing w:after="0"/>
              <w:rPr>
                <w:sz w:val="20"/>
                <w:szCs w:val="20"/>
                <w:color w:val="auto"/>
              </w:rPr>
            </w:pPr>
            <w:r>
              <w:rPr>
                <w:rFonts w:ascii="Arial" w:cs="Arial" w:eastAsia="Arial" w:hAnsi="Arial"/>
                <w:sz w:val="14"/>
                <w:szCs w:val="14"/>
                <w:b w:val="1"/>
                <w:bCs w:val="1"/>
                <w:color w:val="auto"/>
              </w:rPr>
              <w:t>Earnings</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1"/>
              </w:rPr>
              <w:t>Comprehensive</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4"/>
              </w:rPr>
              <w:t>Stock Held in</w:t>
            </w:r>
          </w:p>
        </w:tc>
        <w:tc>
          <w:tcPr>
            <w:tcW w:w="240" w:type="dxa"/>
            <w:vAlign w:val="bottom"/>
          </w:tcPr>
          <w:p>
            <w:pPr>
              <w:spacing w:after="0"/>
              <w:rPr>
                <w:sz w:val="14"/>
                <w:szCs w:val="14"/>
                <w:color w:val="auto"/>
              </w:rPr>
            </w:pPr>
          </w:p>
        </w:tc>
        <w:tc>
          <w:tcPr>
            <w:tcW w:w="820" w:type="dxa"/>
            <w:vAlign w:val="bottom"/>
          </w:tcPr>
          <w:p>
            <w:pPr>
              <w:jc w:val="center"/>
              <w:ind w:right="128"/>
              <w:spacing w:after="0"/>
              <w:rPr>
                <w:sz w:val="20"/>
                <w:szCs w:val="20"/>
                <w:color w:val="auto"/>
              </w:rPr>
            </w:pPr>
            <w:r>
              <w:rPr>
                <w:rFonts w:ascii="Arial" w:cs="Arial" w:eastAsia="Arial" w:hAnsi="Arial"/>
                <w:sz w:val="14"/>
                <w:szCs w:val="14"/>
                <w:b w:val="1"/>
                <w:bCs w:val="1"/>
                <w:color w:val="auto"/>
                <w:w w:val="89"/>
              </w:rPr>
              <w:t>Share of</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3"/>
              </w:rPr>
              <w:t>Non-controlling</w:t>
            </w:r>
          </w:p>
        </w:tc>
        <w:tc>
          <w:tcPr>
            <w:tcW w:w="960" w:type="dxa"/>
            <w:vAlign w:val="bottom"/>
          </w:tcPr>
          <w:p>
            <w:pPr>
              <w:jc w:val="right"/>
              <w:ind w:right="268"/>
              <w:spacing w:after="0"/>
              <w:rPr>
                <w:sz w:val="20"/>
                <w:szCs w:val="20"/>
                <w:color w:val="auto"/>
              </w:rPr>
            </w:pPr>
            <w:r>
              <w:rPr>
                <w:rFonts w:ascii="Arial" w:cs="Arial" w:eastAsia="Arial" w:hAnsi="Arial"/>
                <w:sz w:val="14"/>
                <w:szCs w:val="14"/>
                <w:b w:val="1"/>
                <w:bCs w:val="1"/>
                <w:color w:val="auto"/>
              </w:rPr>
              <w:t>Total</w:t>
            </w:r>
          </w:p>
        </w:tc>
      </w:tr>
      <w:tr>
        <w:trPr>
          <w:trHeight w:val="186"/>
        </w:trPr>
        <w:tc>
          <w:tcPr>
            <w:tcW w:w="3200" w:type="dxa"/>
            <w:vAlign w:val="bottom"/>
          </w:tcPr>
          <w:p>
            <w:pPr>
              <w:spacing w:after="0"/>
              <w:rPr>
                <w:sz w:val="16"/>
                <w:szCs w:val="16"/>
                <w:color w:val="auto"/>
              </w:rPr>
            </w:pPr>
          </w:p>
        </w:tc>
        <w:tc>
          <w:tcPr>
            <w:tcW w:w="1120" w:type="dxa"/>
            <w:vAlign w:val="bottom"/>
          </w:tcPr>
          <w:p>
            <w:pPr>
              <w:jc w:val="right"/>
              <w:ind w:right="368"/>
              <w:spacing w:after="0"/>
              <w:rPr>
                <w:sz w:val="20"/>
                <w:szCs w:val="20"/>
                <w:color w:val="auto"/>
              </w:rPr>
            </w:pPr>
            <w:r>
              <w:rPr>
                <w:rFonts w:ascii="Arial" w:cs="Arial" w:eastAsia="Arial" w:hAnsi="Arial"/>
                <w:sz w:val="14"/>
                <w:szCs w:val="14"/>
                <w:b w:val="1"/>
                <w:bCs w:val="1"/>
                <w:color w:val="auto"/>
              </w:rPr>
              <w:t>Stock</w:t>
            </w:r>
          </w:p>
        </w:tc>
        <w:tc>
          <w:tcPr>
            <w:tcW w:w="1020" w:type="dxa"/>
            <w:vAlign w:val="bottom"/>
          </w:tcPr>
          <w:p>
            <w:pPr>
              <w:jc w:val="right"/>
              <w:ind w:right="148"/>
              <w:spacing w:after="0"/>
              <w:rPr>
                <w:sz w:val="20"/>
                <w:szCs w:val="20"/>
                <w:color w:val="auto"/>
              </w:rPr>
            </w:pPr>
            <w:r>
              <w:rPr>
                <w:rFonts w:ascii="Arial" w:cs="Arial" w:eastAsia="Arial" w:hAnsi="Arial"/>
                <w:sz w:val="14"/>
                <w:szCs w:val="14"/>
                <w:b w:val="1"/>
                <w:bCs w:val="1"/>
                <w:color w:val="auto"/>
              </w:rPr>
              <w:t>Reinvested</w:t>
            </w:r>
          </w:p>
        </w:tc>
        <w:tc>
          <w:tcPr>
            <w:tcW w:w="1300" w:type="dxa"/>
            <w:vAlign w:val="bottom"/>
          </w:tcPr>
          <w:p>
            <w:pPr>
              <w:jc w:val="center"/>
              <w:ind w:left="8"/>
              <w:spacing w:after="0"/>
              <w:rPr>
                <w:sz w:val="20"/>
                <w:szCs w:val="20"/>
                <w:color w:val="auto"/>
              </w:rPr>
            </w:pPr>
            <w:r>
              <w:rPr>
                <w:rFonts w:ascii="Arial" w:cs="Arial" w:eastAsia="Arial" w:hAnsi="Arial"/>
                <w:sz w:val="14"/>
                <w:szCs w:val="14"/>
                <w:b w:val="1"/>
                <w:bCs w:val="1"/>
                <w:color w:val="auto"/>
                <w:w w:val="93"/>
              </w:rPr>
              <w:t>Income</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4"/>
              </w:rPr>
              <w:t>Treasury</w:t>
            </w:r>
          </w:p>
        </w:tc>
        <w:tc>
          <w:tcPr>
            <w:tcW w:w="240" w:type="dxa"/>
            <w:vAlign w:val="bottom"/>
          </w:tcPr>
          <w:p>
            <w:pPr>
              <w:spacing w:after="0"/>
              <w:rPr>
                <w:sz w:val="16"/>
                <w:szCs w:val="16"/>
                <w:color w:val="auto"/>
              </w:rPr>
            </w:pPr>
          </w:p>
        </w:tc>
        <w:tc>
          <w:tcPr>
            <w:tcW w:w="820" w:type="dxa"/>
            <w:vAlign w:val="bottom"/>
          </w:tcPr>
          <w:p>
            <w:pPr>
              <w:jc w:val="center"/>
              <w:ind w:right="128"/>
              <w:spacing w:after="0"/>
              <w:rPr>
                <w:sz w:val="20"/>
                <w:szCs w:val="20"/>
                <w:color w:val="auto"/>
              </w:rPr>
            </w:pPr>
            <w:r>
              <w:rPr>
                <w:rFonts w:ascii="Arial" w:cs="Arial" w:eastAsia="Arial" w:hAnsi="Arial"/>
                <w:sz w:val="14"/>
                <w:szCs w:val="14"/>
                <w:b w:val="1"/>
                <w:bCs w:val="1"/>
                <w:color w:val="auto"/>
                <w:w w:val="98"/>
              </w:rPr>
              <w:t>Equity</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2"/>
              </w:rPr>
              <w:t>Interests</w:t>
            </w:r>
          </w:p>
        </w:tc>
        <w:tc>
          <w:tcPr>
            <w:tcW w:w="960" w:type="dxa"/>
            <w:vAlign w:val="bottom"/>
          </w:tcPr>
          <w:p>
            <w:pPr>
              <w:jc w:val="right"/>
              <w:ind w:right="208"/>
              <w:spacing w:after="0"/>
              <w:rPr>
                <w:sz w:val="20"/>
                <w:szCs w:val="20"/>
                <w:color w:val="auto"/>
              </w:rPr>
            </w:pPr>
            <w:r>
              <w:rPr>
                <w:rFonts w:ascii="Arial" w:cs="Arial" w:eastAsia="Arial" w:hAnsi="Arial"/>
                <w:sz w:val="14"/>
                <w:szCs w:val="14"/>
                <w:b w:val="1"/>
                <w:bCs w:val="1"/>
                <w:color w:val="auto"/>
              </w:rPr>
              <w:t>Equity</w:t>
            </w:r>
          </w:p>
        </w:tc>
      </w:tr>
      <w:tr>
        <w:trPr>
          <w:trHeight w:val="26"/>
        </w:trPr>
        <w:tc>
          <w:tcPr>
            <w:tcW w:w="3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76"/>
        </w:trPr>
        <w:tc>
          <w:tcPr>
            <w:tcW w:w="3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i w:val="1"/>
                <w:iCs w:val="1"/>
                <w:color w:val="auto"/>
                <w:w w:val="97"/>
              </w:rPr>
              <w:t>(millions of dollars)</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4"/>
        </w:trPr>
        <w:tc>
          <w:tcPr>
            <w:tcW w:w="3200" w:type="dxa"/>
            <w:vAlign w:val="bottom"/>
          </w:tcPr>
          <w:p>
            <w:pPr>
              <w:ind w:left="20"/>
              <w:spacing w:after="0"/>
              <w:rPr>
                <w:sz w:val="20"/>
                <w:szCs w:val="20"/>
                <w:color w:val="auto"/>
              </w:rPr>
            </w:pPr>
            <w:r>
              <w:rPr>
                <w:rFonts w:ascii="Arial" w:cs="Arial" w:eastAsia="Arial" w:hAnsi="Arial"/>
                <w:sz w:val="14"/>
                <w:szCs w:val="14"/>
                <w:color w:val="auto"/>
              </w:rPr>
              <w:t>Balance as of December 31, 2018</w:t>
            </w:r>
          </w:p>
        </w:tc>
        <w:tc>
          <w:tcPr>
            <w:tcW w:w="1120" w:type="dxa"/>
            <w:vAlign w:val="bottom"/>
          </w:tcPr>
          <w:p>
            <w:pPr>
              <w:jc w:val="right"/>
              <w:ind w:right="108"/>
              <w:spacing w:after="0"/>
              <w:rPr>
                <w:sz w:val="20"/>
                <w:szCs w:val="20"/>
                <w:color w:val="auto"/>
              </w:rPr>
            </w:pPr>
            <w:r>
              <w:rPr>
                <w:rFonts w:ascii="Arial" w:cs="Arial" w:eastAsia="Arial" w:hAnsi="Arial"/>
                <w:sz w:val="14"/>
                <w:szCs w:val="14"/>
                <w:color w:val="auto"/>
              </w:rPr>
              <w:t>15,258</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421,653</w:t>
            </w:r>
          </w:p>
        </w:tc>
        <w:tc>
          <w:tcPr>
            <w:tcW w:w="1300" w:type="dxa"/>
            <w:vAlign w:val="bottom"/>
          </w:tcPr>
          <w:p>
            <w:pPr>
              <w:jc w:val="right"/>
              <w:spacing w:after="0"/>
              <w:rPr>
                <w:sz w:val="20"/>
                <w:szCs w:val="20"/>
                <w:color w:val="auto"/>
              </w:rPr>
            </w:pPr>
            <w:r>
              <w:rPr>
                <w:rFonts w:ascii="Arial" w:cs="Arial" w:eastAsia="Arial" w:hAnsi="Arial"/>
                <w:sz w:val="14"/>
                <w:szCs w:val="14"/>
                <w:color w:val="auto"/>
              </w:rPr>
              <w:t>(19,564)</w:t>
            </w: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(225,553)</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191,794</w:t>
            </w:r>
          </w:p>
        </w:tc>
        <w:tc>
          <w:tcPr>
            <w:tcW w:w="1360" w:type="dxa"/>
            <w:vAlign w:val="bottom"/>
          </w:tcPr>
          <w:p>
            <w:pPr>
              <w:jc w:val="right"/>
              <w:ind w:right="128"/>
              <w:spacing w:after="0"/>
              <w:rPr>
                <w:sz w:val="20"/>
                <w:szCs w:val="20"/>
                <w:color w:val="auto"/>
              </w:rPr>
            </w:pPr>
            <w:r>
              <w:rPr>
                <w:rFonts w:ascii="Arial" w:cs="Arial" w:eastAsia="Arial" w:hAnsi="Arial"/>
                <w:sz w:val="14"/>
                <w:szCs w:val="14"/>
                <w:color w:val="auto"/>
              </w:rPr>
              <w:t>6,734</w:t>
            </w:r>
          </w:p>
        </w:tc>
        <w:tc>
          <w:tcPr>
            <w:tcW w:w="960" w:type="dxa"/>
            <w:vAlign w:val="bottom"/>
          </w:tcPr>
          <w:p>
            <w:pPr>
              <w:jc w:val="right"/>
              <w:spacing w:after="0"/>
              <w:rPr>
                <w:sz w:val="20"/>
                <w:szCs w:val="20"/>
                <w:color w:val="auto"/>
              </w:rPr>
            </w:pPr>
            <w:r>
              <w:rPr>
                <w:rFonts w:ascii="Arial" w:cs="Arial" w:eastAsia="Arial" w:hAnsi="Arial"/>
                <w:sz w:val="14"/>
                <w:szCs w:val="14"/>
                <w:color w:val="auto"/>
              </w:rPr>
              <w:t>198,528</w:t>
            </w:r>
          </w:p>
        </w:tc>
      </w:tr>
      <w:tr>
        <w:trPr>
          <w:trHeight w:val="189"/>
        </w:trPr>
        <w:tc>
          <w:tcPr>
            <w:tcW w:w="3200" w:type="dxa"/>
            <w:vAlign w:val="bottom"/>
          </w:tcPr>
          <w:p>
            <w:pPr>
              <w:ind w:left="220"/>
              <w:spacing w:after="0"/>
              <w:rPr>
                <w:sz w:val="20"/>
                <w:szCs w:val="20"/>
                <w:color w:val="auto"/>
              </w:rPr>
            </w:pPr>
            <w:r>
              <w:rPr>
                <w:rFonts w:ascii="Arial" w:cs="Arial" w:eastAsia="Arial" w:hAnsi="Arial"/>
                <w:sz w:val="14"/>
                <w:szCs w:val="14"/>
                <w:color w:val="auto"/>
              </w:rPr>
              <w:t>Amortization of stock-based awards</w:t>
            </w:r>
          </w:p>
        </w:tc>
        <w:tc>
          <w:tcPr>
            <w:tcW w:w="1120" w:type="dxa"/>
            <w:vAlign w:val="bottom"/>
          </w:tcPr>
          <w:p>
            <w:pPr>
              <w:jc w:val="right"/>
              <w:ind w:right="108"/>
              <w:spacing w:after="0"/>
              <w:rPr>
                <w:sz w:val="20"/>
                <w:szCs w:val="20"/>
                <w:color w:val="auto"/>
              </w:rPr>
            </w:pPr>
            <w:r>
              <w:rPr>
                <w:rFonts w:ascii="Arial" w:cs="Arial" w:eastAsia="Arial" w:hAnsi="Arial"/>
                <w:sz w:val="14"/>
                <w:szCs w:val="14"/>
                <w:color w:val="auto"/>
              </w:rPr>
              <w:t>697</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697</w:t>
            </w:r>
          </w:p>
        </w:tc>
        <w:tc>
          <w:tcPr>
            <w:tcW w:w="13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697</w:t>
            </w:r>
          </w:p>
        </w:tc>
      </w:tr>
      <w:tr>
        <w:trPr>
          <w:trHeight w:val="189"/>
        </w:trPr>
        <w:tc>
          <w:tcPr>
            <w:tcW w:w="3200" w:type="dxa"/>
            <w:vAlign w:val="bottom"/>
          </w:tcPr>
          <w:p>
            <w:pPr>
              <w:ind w:left="220"/>
              <w:spacing w:after="0"/>
              <w:rPr>
                <w:sz w:val="20"/>
                <w:szCs w:val="20"/>
                <w:color w:val="auto"/>
              </w:rPr>
            </w:pPr>
            <w:r>
              <w:rPr>
                <w:rFonts w:ascii="Arial" w:cs="Arial" w:eastAsia="Arial" w:hAnsi="Arial"/>
                <w:sz w:val="14"/>
                <w:szCs w:val="14"/>
                <w:color w:val="auto"/>
              </w:rPr>
              <w:t>Other</w:t>
            </w: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(318)</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(318)</w:t>
            </w:r>
          </w:p>
        </w:tc>
        <w:tc>
          <w:tcPr>
            <w:tcW w:w="1360" w:type="dxa"/>
            <w:vAlign w:val="bottom"/>
          </w:tcPr>
          <w:p>
            <w:pPr>
              <w:jc w:val="right"/>
              <w:ind w:right="128"/>
              <w:spacing w:after="0"/>
              <w:rPr>
                <w:sz w:val="20"/>
                <w:szCs w:val="20"/>
                <w:color w:val="auto"/>
              </w:rPr>
            </w:pPr>
            <w:r>
              <w:rPr>
                <w:rFonts w:ascii="Arial" w:cs="Arial" w:eastAsia="Arial" w:hAnsi="Arial"/>
                <w:sz w:val="14"/>
                <w:szCs w:val="14"/>
                <w:color w:val="auto"/>
              </w:rPr>
              <w:t>489</w:t>
            </w:r>
          </w:p>
        </w:tc>
        <w:tc>
          <w:tcPr>
            <w:tcW w:w="960" w:type="dxa"/>
            <w:vAlign w:val="bottom"/>
          </w:tcPr>
          <w:p>
            <w:pPr>
              <w:jc w:val="right"/>
              <w:spacing w:after="0"/>
              <w:rPr>
                <w:sz w:val="20"/>
                <w:szCs w:val="20"/>
                <w:color w:val="auto"/>
              </w:rPr>
            </w:pPr>
            <w:r>
              <w:rPr>
                <w:rFonts w:ascii="Arial" w:cs="Arial" w:eastAsia="Arial" w:hAnsi="Arial"/>
                <w:sz w:val="14"/>
                <w:szCs w:val="14"/>
                <w:color w:val="auto"/>
              </w:rPr>
              <w:t>171</w:t>
            </w:r>
          </w:p>
        </w:tc>
      </w:tr>
      <w:tr>
        <w:trPr>
          <w:trHeight w:val="189"/>
        </w:trPr>
        <w:tc>
          <w:tcPr>
            <w:tcW w:w="3200" w:type="dxa"/>
            <w:vAlign w:val="bottom"/>
          </w:tcPr>
          <w:p>
            <w:pPr>
              <w:ind w:left="220"/>
              <w:spacing w:after="0"/>
              <w:rPr>
                <w:sz w:val="20"/>
                <w:szCs w:val="20"/>
                <w:color w:val="auto"/>
              </w:rPr>
            </w:pPr>
            <w:r>
              <w:rPr>
                <w:rFonts w:ascii="Arial" w:cs="Arial" w:eastAsia="Arial" w:hAnsi="Arial"/>
                <w:sz w:val="14"/>
                <w:szCs w:val="14"/>
                <w:color w:val="auto"/>
              </w:rPr>
              <w:t>Net income (loss) for the year</w:t>
            </w:r>
          </w:p>
        </w:tc>
        <w:tc>
          <w:tcPr>
            <w:tcW w:w="11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14,340</w:t>
            </w: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14,340</w:t>
            </w:r>
          </w:p>
        </w:tc>
        <w:tc>
          <w:tcPr>
            <w:tcW w:w="1360" w:type="dxa"/>
            <w:vAlign w:val="bottom"/>
          </w:tcPr>
          <w:p>
            <w:pPr>
              <w:jc w:val="right"/>
              <w:ind w:right="128"/>
              <w:spacing w:after="0"/>
              <w:rPr>
                <w:sz w:val="20"/>
                <w:szCs w:val="20"/>
                <w:color w:val="auto"/>
              </w:rPr>
            </w:pPr>
            <w:r>
              <w:rPr>
                <w:rFonts w:ascii="Arial" w:cs="Arial" w:eastAsia="Arial" w:hAnsi="Arial"/>
                <w:sz w:val="14"/>
                <w:szCs w:val="14"/>
                <w:color w:val="auto"/>
              </w:rPr>
              <w:t>434</w:t>
            </w:r>
          </w:p>
        </w:tc>
        <w:tc>
          <w:tcPr>
            <w:tcW w:w="960" w:type="dxa"/>
            <w:vAlign w:val="bottom"/>
          </w:tcPr>
          <w:p>
            <w:pPr>
              <w:jc w:val="right"/>
              <w:spacing w:after="0"/>
              <w:rPr>
                <w:sz w:val="20"/>
                <w:szCs w:val="20"/>
                <w:color w:val="auto"/>
              </w:rPr>
            </w:pPr>
            <w:r>
              <w:rPr>
                <w:rFonts w:ascii="Arial" w:cs="Arial" w:eastAsia="Arial" w:hAnsi="Arial"/>
                <w:sz w:val="14"/>
                <w:szCs w:val="14"/>
                <w:color w:val="auto"/>
              </w:rPr>
              <w:t>14,774</w:t>
            </w:r>
          </w:p>
        </w:tc>
      </w:tr>
      <w:tr>
        <w:trPr>
          <w:trHeight w:val="189"/>
        </w:trPr>
        <w:tc>
          <w:tcPr>
            <w:tcW w:w="3200" w:type="dxa"/>
            <w:vAlign w:val="bottom"/>
          </w:tcPr>
          <w:p>
            <w:pPr>
              <w:ind w:left="220"/>
              <w:spacing w:after="0"/>
              <w:rPr>
                <w:sz w:val="20"/>
                <w:szCs w:val="20"/>
                <w:color w:val="auto"/>
              </w:rPr>
            </w:pPr>
            <w:r>
              <w:rPr>
                <w:rFonts w:ascii="Arial" w:cs="Arial" w:eastAsia="Arial" w:hAnsi="Arial"/>
                <w:sz w:val="14"/>
                <w:szCs w:val="14"/>
                <w:color w:val="auto"/>
              </w:rPr>
              <w:t>Dividends - common shares</w:t>
            </w:r>
          </w:p>
        </w:tc>
        <w:tc>
          <w:tcPr>
            <w:tcW w:w="11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(14,652)</w:t>
            </w: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(14,652)</w:t>
            </w:r>
          </w:p>
        </w:tc>
        <w:tc>
          <w:tcPr>
            <w:tcW w:w="1360" w:type="dxa"/>
            <w:vAlign w:val="bottom"/>
          </w:tcPr>
          <w:p>
            <w:pPr>
              <w:jc w:val="right"/>
              <w:ind w:right="88"/>
              <w:spacing w:after="0"/>
              <w:rPr>
                <w:sz w:val="20"/>
                <w:szCs w:val="20"/>
                <w:color w:val="auto"/>
              </w:rPr>
            </w:pPr>
            <w:r>
              <w:rPr>
                <w:rFonts w:ascii="Arial" w:cs="Arial" w:eastAsia="Arial" w:hAnsi="Arial"/>
                <w:sz w:val="14"/>
                <w:szCs w:val="14"/>
                <w:color w:val="auto"/>
              </w:rPr>
              <w:t>(192)</w:t>
            </w:r>
          </w:p>
        </w:tc>
        <w:tc>
          <w:tcPr>
            <w:tcW w:w="960" w:type="dxa"/>
            <w:vAlign w:val="bottom"/>
          </w:tcPr>
          <w:p>
            <w:pPr>
              <w:jc w:val="right"/>
              <w:spacing w:after="0"/>
              <w:rPr>
                <w:sz w:val="20"/>
                <w:szCs w:val="20"/>
                <w:color w:val="auto"/>
              </w:rPr>
            </w:pPr>
            <w:r>
              <w:rPr>
                <w:rFonts w:ascii="Arial" w:cs="Arial" w:eastAsia="Arial" w:hAnsi="Arial"/>
                <w:sz w:val="14"/>
                <w:szCs w:val="14"/>
                <w:color w:val="auto"/>
              </w:rPr>
              <w:t>(14,844)</w:t>
            </w:r>
          </w:p>
        </w:tc>
      </w:tr>
      <w:tr>
        <w:trPr>
          <w:trHeight w:val="189"/>
        </w:trPr>
        <w:tc>
          <w:tcPr>
            <w:tcW w:w="3200" w:type="dxa"/>
            <w:vAlign w:val="bottom"/>
          </w:tcPr>
          <w:p>
            <w:pPr>
              <w:ind w:left="220"/>
              <w:spacing w:after="0"/>
              <w:rPr>
                <w:sz w:val="20"/>
                <w:szCs w:val="20"/>
                <w:color w:val="auto"/>
              </w:rPr>
            </w:pPr>
            <w:r>
              <w:rPr>
                <w:rFonts w:ascii="Arial" w:cs="Arial" w:eastAsia="Arial" w:hAnsi="Arial"/>
                <w:sz w:val="14"/>
                <w:szCs w:val="14"/>
                <w:color w:val="auto"/>
              </w:rPr>
              <w:t>Other comprehensive income</w:t>
            </w:r>
          </w:p>
        </w:tc>
        <w:tc>
          <w:tcPr>
            <w:tcW w:w="11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71</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71</w:t>
            </w:r>
          </w:p>
        </w:tc>
        <w:tc>
          <w:tcPr>
            <w:tcW w:w="1360" w:type="dxa"/>
            <w:vAlign w:val="bottom"/>
          </w:tcPr>
          <w:p>
            <w:pPr>
              <w:jc w:val="right"/>
              <w:ind w:right="128"/>
              <w:spacing w:after="0"/>
              <w:rPr>
                <w:sz w:val="20"/>
                <w:szCs w:val="20"/>
                <w:color w:val="auto"/>
              </w:rPr>
            </w:pPr>
            <w:r>
              <w:rPr>
                <w:rFonts w:ascii="Arial" w:cs="Arial" w:eastAsia="Arial" w:hAnsi="Arial"/>
                <w:sz w:val="14"/>
                <w:szCs w:val="14"/>
                <w:color w:val="auto"/>
              </w:rPr>
              <w:t>154</w:t>
            </w:r>
          </w:p>
        </w:tc>
        <w:tc>
          <w:tcPr>
            <w:tcW w:w="960" w:type="dxa"/>
            <w:vAlign w:val="bottom"/>
          </w:tcPr>
          <w:p>
            <w:pPr>
              <w:jc w:val="right"/>
              <w:spacing w:after="0"/>
              <w:rPr>
                <w:sz w:val="20"/>
                <w:szCs w:val="20"/>
                <w:color w:val="auto"/>
              </w:rPr>
            </w:pPr>
            <w:r>
              <w:rPr>
                <w:rFonts w:ascii="Arial" w:cs="Arial" w:eastAsia="Arial" w:hAnsi="Arial"/>
                <w:sz w:val="14"/>
                <w:szCs w:val="14"/>
                <w:color w:val="auto"/>
              </w:rPr>
              <w:t>225</w:t>
            </w:r>
          </w:p>
        </w:tc>
      </w:tr>
      <w:tr>
        <w:trPr>
          <w:trHeight w:val="189"/>
        </w:trPr>
        <w:tc>
          <w:tcPr>
            <w:tcW w:w="3200" w:type="dxa"/>
            <w:vAlign w:val="bottom"/>
          </w:tcPr>
          <w:p>
            <w:pPr>
              <w:ind w:left="220"/>
              <w:spacing w:after="0"/>
              <w:rPr>
                <w:sz w:val="20"/>
                <w:szCs w:val="20"/>
                <w:color w:val="auto"/>
              </w:rPr>
            </w:pPr>
            <w:r>
              <w:rPr>
                <w:rFonts w:ascii="Arial" w:cs="Arial" w:eastAsia="Arial" w:hAnsi="Arial"/>
                <w:sz w:val="14"/>
                <w:szCs w:val="14"/>
                <w:color w:val="auto"/>
              </w:rPr>
              <w:t>Acquisitions, at cost</w:t>
            </w:r>
          </w:p>
        </w:tc>
        <w:tc>
          <w:tcPr>
            <w:tcW w:w="11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(594)</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(594)</w:t>
            </w:r>
          </w:p>
        </w:tc>
        <w:tc>
          <w:tcPr>
            <w:tcW w:w="1360" w:type="dxa"/>
            <w:vAlign w:val="bottom"/>
          </w:tcPr>
          <w:p>
            <w:pPr>
              <w:jc w:val="right"/>
              <w:ind w:right="88"/>
              <w:spacing w:after="0"/>
              <w:rPr>
                <w:sz w:val="20"/>
                <w:szCs w:val="20"/>
                <w:color w:val="auto"/>
              </w:rPr>
            </w:pPr>
            <w:r>
              <w:rPr>
                <w:rFonts w:ascii="Arial" w:cs="Arial" w:eastAsia="Arial" w:hAnsi="Arial"/>
                <w:sz w:val="14"/>
                <w:szCs w:val="14"/>
                <w:color w:val="auto"/>
              </w:rPr>
              <w:t>(331)</w:t>
            </w:r>
          </w:p>
        </w:tc>
        <w:tc>
          <w:tcPr>
            <w:tcW w:w="960" w:type="dxa"/>
            <w:vAlign w:val="bottom"/>
          </w:tcPr>
          <w:p>
            <w:pPr>
              <w:jc w:val="right"/>
              <w:spacing w:after="0"/>
              <w:rPr>
                <w:sz w:val="20"/>
                <w:szCs w:val="20"/>
                <w:color w:val="auto"/>
              </w:rPr>
            </w:pPr>
            <w:r>
              <w:rPr>
                <w:rFonts w:ascii="Arial" w:cs="Arial" w:eastAsia="Arial" w:hAnsi="Arial"/>
                <w:sz w:val="14"/>
                <w:szCs w:val="14"/>
                <w:color w:val="auto"/>
              </w:rPr>
              <w:t>(925)</w:t>
            </w:r>
          </w:p>
        </w:tc>
      </w:tr>
      <w:tr>
        <w:trPr>
          <w:trHeight w:val="194"/>
        </w:trPr>
        <w:tc>
          <w:tcPr>
            <w:tcW w:w="3200" w:type="dxa"/>
            <w:vAlign w:val="bottom"/>
          </w:tcPr>
          <w:p>
            <w:pPr>
              <w:ind w:left="220"/>
              <w:spacing w:after="0"/>
              <w:rPr>
                <w:sz w:val="20"/>
                <w:szCs w:val="20"/>
                <w:color w:val="auto"/>
              </w:rPr>
            </w:pPr>
            <w:r>
              <w:rPr>
                <w:rFonts w:ascii="Arial" w:cs="Arial" w:eastAsia="Arial" w:hAnsi="Arial"/>
                <w:sz w:val="14"/>
                <w:szCs w:val="14"/>
                <w:color w:val="auto"/>
              </w:rPr>
              <w:t>Dispositions</w:t>
            </w:r>
          </w:p>
        </w:tc>
        <w:tc>
          <w:tcPr>
            <w:tcW w:w="11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312</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312</w:t>
            </w:r>
          </w:p>
        </w:tc>
        <w:tc>
          <w:tcPr>
            <w:tcW w:w="13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312</w:t>
            </w:r>
          </w:p>
        </w:tc>
      </w:tr>
      <w:tr>
        <w:trPr>
          <w:trHeight w:val="182"/>
        </w:trPr>
        <w:tc>
          <w:tcPr>
            <w:tcW w:w="3200" w:type="dxa"/>
            <w:vAlign w:val="bottom"/>
          </w:tcPr>
          <w:p>
            <w:pPr>
              <w:ind w:left="20"/>
              <w:spacing w:after="0"/>
              <w:rPr>
                <w:sz w:val="20"/>
                <w:szCs w:val="20"/>
                <w:color w:val="auto"/>
              </w:rPr>
            </w:pPr>
            <w:r>
              <w:rPr>
                <w:rFonts w:ascii="Arial" w:cs="Arial" w:eastAsia="Arial" w:hAnsi="Arial"/>
                <w:sz w:val="14"/>
                <w:szCs w:val="14"/>
                <w:color w:val="auto"/>
              </w:rPr>
              <w:t>Balance as of December 31, 2019</w:t>
            </w:r>
          </w:p>
        </w:tc>
        <w:tc>
          <w:tcPr>
            <w:tcW w:w="1120" w:type="dxa"/>
            <w:vAlign w:val="bottom"/>
          </w:tcPr>
          <w:p>
            <w:pPr>
              <w:jc w:val="right"/>
              <w:ind w:right="108"/>
              <w:spacing w:after="0"/>
              <w:rPr>
                <w:sz w:val="20"/>
                <w:szCs w:val="20"/>
                <w:color w:val="auto"/>
              </w:rPr>
            </w:pPr>
            <w:r>
              <w:rPr>
                <w:rFonts w:ascii="Arial" w:cs="Arial" w:eastAsia="Arial" w:hAnsi="Arial"/>
                <w:sz w:val="14"/>
                <w:szCs w:val="14"/>
                <w:color w:val="auto"/>
              </w:rPr>
              <w:t>15,637</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421,341</w:t>
            </w:r>
          </w:p>
        </w:tc>
        <w:tc>
          <w:tcPr>
            <w:tcW w:w="1300" w:type="dxa"/>
            <w:vAlign w:val="bottom"/>
          </w:tcPr>
          <w:p>
            <w:pPr>
              <w:jc w:val="right"/>
              <w:spacing w:after="0"/>
              <w:rPr>
                <w:sz w:val="20"/>
                <w:szCs w:val="20"/>
                <w:color w:val="auto"/>
              </w:rPr>
            </w:pPr>
            <w:r>
              <w:rPr>
                <w:rFonts w:ascii="Arial" w:cs="Arial" w:eastAsia="Arial" w:hAnsi="Arial"/>
                <w:sz w:val="14"/>
                <w:szCs w:val="14"/>
                <w:color w:val="auto"/>
              </w:rPr>
              <w:t>(19,493)</w:t>
            </w: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(225,835)</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191,650</w:t>
            </w:r>
          </w:p>
        </w:tc>
        <w:tc>
          <w:tcPr>
            <w:tcW w:w="1360" w:type="dxa"/>
            <w:vAlign w:val="bottom"/>
          </w:tcPr>
          <w:p>
            <w:pPr>
              <w:jc w:val="right"/>
              <w:ind w:right="128"/>
              <w:spacing w:after="0"/>
              <w:rPr>
                <w:sz w:val="20"/>
                <w:szCs w:val="20"/>
                <w:color w:val="auto"/>
              </w:rPr>
            </w:pPr>
            <w:r>
              <w:rPr>
                <w:rFonts w:ascii="Arial" w:cs="Arial" w:eastAsia="Arial" w:hAnsi="Arial"/>
                <w:sz w:val="14"/>
                <w:szCs w:val="14"/>
                <w:color w:val="auto"/>
              </w:rPr>
              <w:t>7,288</w:t>
            </w:r>
          </w:p>
        </w:tc>
        <w:tc>
          <w:tcPr>
            <w:tcW w:w="960" w:type="dxa"/>
            <w:vAlign w:val="bottom"/>
          </w:tcPr>
          <w:p>
            <w:pPr>
              <w:jc w:val="right"/>
              <w:spacing w:after="0"/>
              <w:rPr>
                <w:sz w:val="20"/>
                <w:szCs w:val="20"/>
                <w:color w:val="auto"/>
              </w:rPr>
            </w:pPr>
            <w:r>
              <w:rPr>
                <w:rFonts w:ascii="Arial" w:cs="Arial" w:eastAsia="Arial" w:hAnsi="Arial"/>
                <w:sz w:val="14"/>
                <w:szCs w:val="14"/>
                <w:color w:val="auto"/>
              </w:rPr>
              <w:t>198,938</w:t>
            </w:r>
          </w:p>
        </w:tc>
      </w:tr>
      <w:tr>
        <w:trPr>
          <w:trHeight w:val="184"/>
        </w:trPr>
        <w:tc>
          <w:tcPr>
            <w:tcW w:w="3200" w:type="dxa"/>
            <w:vAlign w:val="bottom"/>
          </w:tcPr>
          <w:p>
            <w:pPr>
              <w:ind w:left="220"/>
              <w:spacing w:after="0"/>
              <w:rPr>
                <w:sz w:val="20"/>
                <w:szCs w:val="20"/>
                <w:color w:val="auto"/>
              </w:rPr>
            </w:pPr>
            <w:r>
              <w:rPr>
                <w:rFonts w:ascii="Arial" w:cs="Arial" w:eastAsia="Arial" w:hAnsi="Arial"/>
                <w:sz w:val="14"/>
                <w:szCs w:val="14"/>
                <w:color w:val="auto"/>
              </w:rPr>
              <w:t>Amortization of stock-based awards</w:t>
            </w:r>
          </w:p>
        </w:tc>
        <w:tc>
          <w:tcPr>
            <w:tcW w:w="1120" w:type="dxa"/>
            <w:vAlign w:val="bottom"/>
          </w:tcPr>
          <w:p>
            <w:pPr>
              <w:jc w:val="right"/>
              <w:ind w:right="108"/>
              <w:spacing w:after="0"/>
              <w:rPr>
                <w:sz w:val="20"/>
                <w:szCs w:val="20"/>
                <w:color w:val="auto"/>
              </w:rPr>
            </w:pPr>
            <w:r>
              <w:rPr>
                <w:rFonts w:ascii="Arial" w:cs="Arial" w:eastAsia="Arial" w:hAnsi="Arial"/>
                <w:sz w:val="14"/>
                <w:szCs w:val="14"/>
                <w:color w:val="auto"/>
              </w:rPr>
              <w:t>696</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696</w:t>
            </w:r>
          </w:p>
        </w:tc>
        <w:tc>
          <w:tcPr>
            <w:tcW w:w="13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696</w:t>
            </w:r>
          </w:p>
        </w:tc>
      </w:tr>
      <w:tr>
        <w:trPr>
          <w:trHeight w:val="189"/>
        </w:trPr>
        <w:tc>
          <w:tcPr>
            <w:tcW w:w="3200" w:type="dxa"/>
            <w:vAlign w:val="bottom"/>
          </w:tcPr>
          <w:p>
            <w:pPr>
              <w:ind w:left="220"/>
              <w:spacing w:after="0"/>
              <w:rPr>
                <w:sz w:val="20"/>
                <w:szCs w:val="20"/>
                <w:color w:val="auto"/>
              </w:rPr>
            </w:pPr>
            <w:r>
              <w:rPr>
                <w:rFonts w:ascii="Arial" w:cs="Arial" w:eastAsia="Arial" w:hAnsi="Arial"/>
                <w:sz w:val="14"/>
                <w:szCs w:val="14"/>
                <w:color w:val="auto"/>
              </w:rPr>
              <w:t>Other</w:t>
            </w: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(645)</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(645)</w:t>
            </w:r>
          </w:p>
        </w:tc>
        <w:tc>
          <w:tcPr>
            <w:tcW w:w="1360" w:type="dxa"/>
            <w:vAlign w:val="bottom"/>
          </w:tcPr>
          <w:p>
            <w:pPr>
              <w:jc w:val="right"/>
              <w:ind w:right="128"/>
              <w:spacing w:after="0"/>
              <w:rPr>
                <w:sz w:val="20"/>
                <w:szCs w:val="20"/>
                <w:color w:val="auto"/>
              </w:rPr>
            </w:pPr>
            <w:r>
              <w:rPr>
                <w:rFonts w:ascii="Arial" w:cs="Arial" w:eastAsia="Arial" w:hAnsi="Arial"/>
                <w:sz w:val="14"/>
                <w:szCs w:val="14"/>
                <w:color w:val="auto"/>
              </w:rPr>
              <w:t>692</w:t>
            </w:r>
          </w:p>
        </w:tc>
        <w:tc>
          <w:tcPr>
            <w:tcW w:w="960" w:type="dxa"/>
            <w:vAlign w:val="bottom"/>
          </w:tcPr>
          <w:p>
            <w:pPr>
              <w:jc w:val="right"/>
              <w:spacing w:after="0"/>
              <w:rPr>
                <w:sz w:val="20"/>
                <w:szCs w:val="20"/>
                <w:color w:val="auto"/>
              </w:rPr>
            </w:pPr>
            <w:r>
              <w:rPr>
                <w:rFonts w:ascii="Arial" w:cs="Arial" w:eastAsia="Arial" w:hAnsi="Arial"/>
                <w:sz w:val="14"/>
                <w:szCs w:val="14"/>
                <w:color w:val="auto"/>
              </w:rPr>
              <w:t>47</w:t>
            </w:r>
          </w:p>
        </w:tc>
      </w:tr>
      <w:tr>
        <w:trPr>
          <w:trHeight w:val="189"/>
        </w:trPr>
        <w:tc>
          <w:tcPr>
            <w:tcW w:w="3200" w:type="dxa"/>
            <w:vAlign w:val="bottom"/>
          </w:tcPr>
          <w:p>
            <w:pPr>
              <w:ind w:left="220"/>
              <w:spacing w:after="0"/>
              <w:rPr>
                <w:sz w:val="20"/>
                <w:szCs w:val="20"/>
                <w:color w:val="auto"/>
              </w:rPr>
            </w:pPr>
            <w:r>
              <w:rPr>
                <w:rFonts w:ascii="Arial" w:cs="Arial" w:eastAsia="Arial" w:hAnsi="Arial"/>
                <w:sz w:val="14"/>
                <w:szCs w:val="14"/>
                <w:color w:val="auto"/>
              </w:rPr>
              <w:t>Net income (loss) for the year</w:t>
            </w:r>
          </w:p>
        </w:tc>
        <w:tc>
          <w:tcPr>
            <w:tcW w:w="11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(22,440)</w:t>
            </w: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(22,440)</w:t>
            </w:r>
          </w:p>
        </w:tc>
        <w:tc>
          <w:tcPr>
            <w:tcW w:w="1360" w:type="dxa"/>
            <w:vAlign w:val="bottom"/>
          </w:tcPr>
          <w:p>
            <w:pPr>
              <w:jc w:val="right"/>
              <w:ind w:right="88"/>
              <w:spacing w:after="0"/>
              <w:rPr>
                <w:sz w:val="20"/>
                <w:szCs w:val="20"/>
                <w:color w:val="auto"/>
              </w:rPr>
            </w:pPr>
            <w:r>
              <w:rPr>
                <w:rFonts w:ascii="Arial" w:cs="Arial" w:eastAsia="Arial" w:hAnsi="Arial"/>
                <w:sz w:val="14"/>
                <w:szCs w:val="14"/>
                <w:color w:val="auto"/>
              </w:rPr>
              <w:t>(811)</w:t>
            </w:r>
          </w:p>
        </w:tc>
        <w:tc>
          <w:tcPr>
            <w:tcW w:w="960" w:type="dxa"/>
            <w:vAlign w:val="bottom"/>
          </w:tcPr>
          <w:p>
            <w:pPr>
              <w:jc w:val="right"/>
              <w:spacing w:after="0"/>
              <w:rPr>
                <w:sz w:val="20"/>
                <w:szCs w:val="20"/>
                <w:color w:val="auto"/>
              </w:rPr>
            </w:pPr>
            <w:r>
              <w:rPr>
                <w:rFonts w:ascii="Arial" w:cs="Arial" w:eastAsia="Arial" w:hAnsi="Arial"/>
                <w:sz w:val="14"/>
                <w:szCs w:val="14"/>
                <w:color w:val="auto"/>
              </w:rPr>
              <w:t>(23,251)</w:t>
            </w:r>
          </w:p>
        </w:tc>
      </w:tr>
      <w:tr>
        <w:trPr>
          <w:trHeight w:val="189"/>
        </w:trPr>
        <w:tc>
          <w:tcPr>
            <w:tcW w:w="3200" w:type="dxa"/>
            <w:vAlign w:val="bottom"/>
          </w:tcPr>
          <w:p>
            <w:pPr>
              <w:ind w:left="220"/>
              <w:spacing w:after="0"/>
              <w:rPr>
                <w:sz w:val="20"/>
                <w:szCs w:val="20"/>
                <w:color w:val="auto"/>
              </w:rPr>
            </w:pPr>
            <w:r>
              <w:rPr>
                <w:rFonts w:ascii="Arial" w:cs="Arial" w:eastAsia="Arial" w:hAnsi="Arial"/>
                <w:sz w:val="14"/>
                <w:szCs w:val="14"/>
                <w:color w:val="auto"/>
              </w:rPr>
              <w:t>Dividends - common shares</w:t>
            </w:r>
          </w:p>
        </w:tc>
        <w:tc>
          <w:tcPr>
            <w:tcW w:w="11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(14,865)</w:t>
            </w: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(14,865)</w:t>
            </w:r>
          </w:p>
        </w:tc>
        <w:tc>
          <w:tcPr>
            <w:tcW w:w="1360" w:type="dxa"/>
            <w:vAlign w:val="bottom"/>
          </w:tcPr>
          <w:p>
            <w:pPr>
              <w:jc w:val="right"/>
              <w:ind w:right="88"/>
              <w:spacing w:after="0"/>
              <w:rPr>
                <w:sz w:val="20"/>
                <w:szCs w:val="20"/>
                <w:color w:val="auto"/>
              </w:rPr>
            </w:pPr>
            <w:r>
              <w:rPr>
                <w:rFonts w:ascii="Arial" w:cs="Arial" w:eastAsia="Arial" w:hAnsi="Arial"/>
                <w:sz w:val="14"/>
                <w:szCs w:val="14"/>
                <w:color w:val="auto"/>
              </w:rPr>
              <w:t>(188)</w:t>
            </w:r>
          </w:p>
        </w:tc>
        <w:tc>
          <w:tcPr>
            <w:tcW w:w="960" w:type="dxa"/>
            <w:vAlign w:val="bottom"/>
          </w:tcPr>
          <w:p>
            <w:pPr>
              <w:jc w:val="right"/>
              <w:spacing w:after="0"/>
              <w:rPr>
                <w:sz w:val="20"/>
                <w:szCs w:val="20"/>
                <w:color w:val="auto"/>
              </w:rPr>
            </w:pPr>
            <w:r>
              <w:rPr>
                <w:rFonts w:ascii="Arial" w:cs="Arial" w:eastAsia="Arial" w:hAnsi="Arial"/>
                <w:sz w:val="14"/>
                <w:szCs w:val="14"/>
                <w:color w:val="auto"/>
              </w:rPr>
              <w:t>(15,053)</w:t>
            </w:r>
          </w:p>
        </w:tc>
      </w:tr>
      <w:tr>
        <w:trPr>
          <w:trHeight w:val="189"/>
        </w:trPr>
        <w:tc>
          <w:tcPr>
            <w:tcW w:w="3200" w:type="dxa"/>
            <w:vAlign w:val="bottom"/>
          </w:tcPr>
          <w:p>
            <w:pPr>
              <w:ind w:left="220"/>
              <w:spacing w:after="0"/>
              <w:rPr>
                <w:sz w:val="20"/>
                <w:szCs w:val="20"/>
                <w:color w:val="auto"/>
              </w:rPr>
            </w:pPr>
            <w:r>
              <w:rPr>
                <w:rFonts w:ascii="Arial" w:cs="Arial" w:eastAsia="Arial" w:hAnsi="Arial"/>
                <w:sz w:val="14"/>
                <w:szCs w:val="14"/>
                <w:color w:val="auto"/>
              </w:rPr>
              <w:t>Cumulative effect of accounting change</w:t>
            </w:r>
          </w:p>
        </w:tc>
        <w:tc>
          <w:tcPr>
            <w:tcW w:w="11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(93)</w:t>
            </w: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(93)</w:t>
            </w:r>
          </w:p>
        </w:tc>
        <w:tc>
          <w:tcPr>
            <w:tcW w:w="1360" w:type="dxa"/>
            <w:vAlign w:val="bottom"/>
          </w:tcPr>
          <w:p>
            <w:pPr>
              <w:jc w:val="right"/>
              <w:ind w:right="88"/>
              <w:spacing w:after="0"/>
              <w:rPr>
                <w:sz w:val="20"/>
                <w:szCs w:val="20"/>
                <w:color w:val="auto"/>
              </w:rPr>
            </w:pPr>
            <w:r>
              <w:rPr>
                <w:rFonts w:ascii="Arial" w:cs="Arial" w:eastAsia="Arial" w:hAnsi="Arial"/>
                <w:sz w:val="14"/>
                <w:szCs w:val="14"/>
                <w:color w:val="auto"/>
              </w:rPr>
              <w:t>(1)</w:t>
            </w:r>
          </w:p>
        </w:tc>
        <w:tc>
          <w:tcPr>
            <w:tcW w:w="960" w:type="dxa"/>
            <w:vAlign w:val="bottom"/>
          </w:tcPr>
          <w:p>
            <w:pPr>
              <w:jc w:val="right"/>
              <w:spacing w:after="0"/>
              <w:rPr>
                <w:sz w:val="20"/>
                <w:szCs w:val="20"/>
                <w:color w:val="auto"/>
              </w:rPr>
            </w:pPr>
            <w:r>
              <w:rPr>
                <w:rFonts w:ascii="Arial" w:cs="Arial" w:eastAsia="Arial" w:hAnsi="Arial"/>
                <w:sz w:val="14"/>
                <w:szCs w:val="14"/>
                <w:color w:val="auto"/>
              </w:rPr>
              <w:t>(94)</w:t>
            </w:r>
          </w:p>
        </w:tc>
      </w:tr>
      <w:tr>
        <w:trPr>
          <w:trHeight w:val="189"/>
        </w:trPr>
        <w:tc>
          <w:tcPr>
            <w:tcW w:w="3200" w:type="dxa"/>
            <w:vAlign w:val="bottom"/>
          </w:tcPr>
          <w:p>
            <w:pPr>
              <w:ind w:left="220"/>
              <w:spacing w:after="0"/>
              <w:rPr>
                <w:sz w:val="20"/>
                <w:szCs w:val="20"/>
                <w:color w:val="auto"/>
              </w:rPr>
            </w:pPr>
            <w:r>
              <w:rPr>
                <w:rFonts w:ascii="Arial" w:cs="Arial" w:eastAsia="Arial" w:hAnsi="Arial"/>
                <w:sz w:val="14"/>
                <w:szCs w:val="14"/>
                <w:color w:val="auto"/>
              </w:rPr>
              <w:t>Other comprehensive income</w:t>
            </w:r>
          </w:p>
        </w:tc>
        <w:tc>
          <w:tcPr>
            <w:tcW w:w="11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2,788</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2,788</w:t>
            </w:r>
          </w:p>
        </w:tc>
        <w:tc>
          <w:tcPr>
            <w:tcW w:w="1360" w:type="dxa"/>
            <w:vAlign w:val="bottom"/>
          </w:tcPr>
          <w:p>
            <w:pPr>
              <w:jc w:val="right"/>
              <w:ind w:right="128"/>
              <w:spacing w:after="0"/>
              <w:rPr>
                <w:sz w:val="20"/>
                <w:szCs w:val="20"/>
                <w:color w:val="auto"/>
              </w:rPr>
            </w:pPr>
            <w:r>
              <w:rPr>
                <w:rFonts w:ascii="Arial" w:cs="Arial" w:eastAsia="Arial" w:hAnsi="Arial"/>
                <w:sz w:val="14"/>
                <w:szCs w:val="14"/>
                <w:color w:val="auto"/>
              </w:rPr>
              <w:t>68</w:t>
            </w:r>
          </w:p>
        </w:tc>
        <w:tc>
          <w:tcPr>
            <w:tcW w:w="960" w:type="dxa"/>
            <w:vAlign w:val="bottom"/>
          </w:tcPr>
          <w:p>
            <w:pPr>
              <w:jc w:val="right"/>
              <w:spacing w:after="0"/>
              <w:rPr>
                <w:sz w:val="20"/>
                <w:szCs w:val="20"/>
                <w:color w:val="auto"/>
              </w:rPr>
            </w:pPr>
            <w:r>
              <w:rPr>
                <w:rFonts w:ascii="Arial" w:cs="Arial" w:eastAsia="Arial" w:hAnsi="Arial"/>
                <w:sz w:val="14"/>
                <w:szCs w:val="14"/>
                <w:color w:val="auto"/>
              </w:rPr>
              <w:t>2,856</w:t>
            </w:r>
          </w:p>
        </w:tc>
      </w:tr>
      <w:tr>
        <w:trPr>
          <w:trHeight w:val="189"/>
        </w:trPr>
        <w:tc>
          <w:tcPr>
            <w:tcW w:w="3200" w:type="dxa"/>
            <w:vAlign w:val="bottom"/>
          </w:tcPr>
          <w:p>
            <w:pPr>
              <w:ind w:left="220"/>
              <w:spacing w:after="0"/>
              <w:rPr>
                <w:sz w:val="20"/>
                <w:szCs w:val="20"/>
                <w:color w:val="auto"/>
              </w:rPr>
            </w:pPr>
            <w:r>
              <w:rPr>
                <w:rFonts w:ascii="Arial" w:cs="Arial" w:eastAsia="Arial" w:hAnsi="Arial"/>
                <w:sz w:val="14"/>
                <w:szCs w:val="14"/>
                <w:color w:val="auto"/>
              </w:rPr>
              <w:t>Acquisitions, at cost</w:t>
            </w:r>
          </w:p>
        </w:tc>
        <w:tc>
          <w:tcPr>
            <w:tcW w:w="11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(405)</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(405)</w:t>
            </w:r>
          </w:p>
        </w:tc>
        <w:tc>
          <w:tcPr>
            <w:tcW w:w="1360" w:type="dxa"/>
            <w:vAlign w:val="bottom"/>
          </w:tcPr>
          <w:p>
            <w:pPr>
              <w:jc w:val="right"/>
              <w:ind w:right="88"/>
              <w:spacing w:after="0"/>
              <w:rPr>
                <w:sz w:val="20"/>
                <w:szCs w:val="20"/>
                <w:color w:val="auto"/>
              </w:rPr>
            </w:pPr>
            <w:r>
              <w:rPr>
                <w:rFonts w:ascii="Arial" w:cs="Arial" w:eastAsia="Arial" w:hAnsi="Arial"/>
                <w:sz w:val="14"/>
                <w:szCs w:val="14"/>
                <w:color w:val="auto"/>
              </w:rPr>
              <w:t>(68)</w:t>
            </w:r>
          </w:p>
        </w:tc>
        <w:tc>
          <w:tcPr>
            <w:tcW w:w="960" w:type="dxa"/>
            <w:vAlign w:val="bottom"/>
          </w:tcPr>
          <w:p>
            <w:pPr>
              <w:jc w:val="right"/>
              <w:spacing w:after="0"/>
              <w:rPr>
                <w:sz w:val="20"/>
                <w:szCs w:val="20"/>
                <w:color w:val="auto"/>
              </w:rPr>
            </w:pPr>
            <w:r>
              <w:rPr>
                <w:rFonts w:ascii="Arial" w:cs="Arial" w:eastAsia="Arial" w:hAnsi="Arial"/>
                <w:sz w:val="14"/>
                <w:szCs w:val="14"/>
                <w:color w:val="auto"/>
              </w:rPr>
              <w:t>(473)</w:t>
            </w:r>
          </w:p>
        </w:tc>
      </w:tr>
      <w:tr>
        <w:trPr>
          <w:trHeight w:val="195"/>
        </w:trPr>
        <w:tc>
          <w:tcPr>
            <w:tcW w:w="3200" w:type="dxa"/>
            <w:vAlign w:val="bottom"/>
          </w:tcPr>
          <w:p>
            <w:pPr>
              <w:ind w:left="220"/>
              <w:spacing w:after="0"/>
              <w:rPr>
                <w:sz w:val="20"/>
                <w:szCs w:val="20"/>
                <w:color w:val="auto"/>
              </w:rPr>
            </w:pPr>
            <w:r>
              <w:rPr>
                <w:rFonts w:ascii="Arial" w:cs="Arial" w:eastAsia="Arial" w:hAnsi="Arial"/>
                <w:sz w:val="14"/>
                <w:szCs w:val="14"/>
                <w:color w:val="auto"/>
              </w:rPr>
              <w:t>Dispositions</w:t>
            </w:r>
          </w:p>
        </w:tc>
        <w:tc>
          <w:tcPr>
            <w:tcW w:w="11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464</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464</w:t>
            </w:r>
          </w:p>
        </w:tc>
        <w:tc>
          <w:tcPr>
            <w:tcW w:w="13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464</w:t>
            </w:r>
          </w:p>
        </w:tc>
      </w:tr>
      <w:tr>
        <w:trPr>
          <w:trHeight w:val="182"/>
        </w:trPr>
        <w:tc>
          <w:tcPr>
            <w:tcW w:w="3200" w:type="dxa"/>
            <w:vAlign w:val="bottom"/>
          </w:tcPr>
          <w:p>
            <w:pPr>
              <w:ind w:left="20"/>
              <w:spacing w:after="0"/>
              <w:rPr>
                <w:sz w:val="20"/>
                <w:szCs w:val="20"/>
                <w:color w:val="auto"/>
              </w:rPr>
            </w:pPr>
            <w:r>
              <w:rPr>
                <w:rFonts w:ascii="Arial" w:cs="Arial" w:eastAsia="Arial" w:hAnsi="Arial"/>
                <w:sz w:val="14"/>
                <w:szCs w:val="14"/>
                <w:color w:val="auto"/>
              </w:rPr>
              <w:t>Balance as of December 31, 2020</w:t>
            </w:r>
          </w:p>
        </w:tc>
        <w:tc>
          <w:tcPr>
            <w:tcW w:w="1120" w:type="dxa"/>
            <w:vAlign w:val="bottom"/>
          </w:tcPr>
          <w:p>
            <w:pPr>
              <w:jc w:val="right"/>
              <w:ind w:right="108"/>
              <w:spacing w:after="0"/>
              <w:rPr>
                <w:sz w:val="20"/>
                <w:szCs w:val="20"/>
                <w:color w:val="auto"/>
              </w:rPr>
            </w:pPr>
            <w:r>
              <w:rPr>
                <w:rFonts w:ascii="Arial" w:cs="Arial" w:eastAsia="Arial" w:hAnsi="Arial"/>
                <w:sz w:val="14"/>
                <w:szCs w:val="14"/>
                <w:color w:val="auto"/>
              </w:rPr>
              <w:t>15,688</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383,943</w:t>
            </w:r>
          </w:p>
        </w:tc>
        <w:tc>
          <w:tcPr>
            <w:tcW w:w="1300" w:type="dxa"/>
            <w:vAlign w:val="bottom"/>
          </w:tcPr>
          <w:p>
            <w:pPr>
              <w:jc w:val="right"/>
              <w:spacing w:after="0"/>
              <w:rPr>
                <w:sz w:val="20"/>
                <w:szCs w:val="20"/>
                <w:color w:val="auto"/>
              </w:rPr>
            </w:pPr>
            <w:r>
              <w:rPr>
                <w:rFonts w:ascii="Arial" w:cs="Arial" w:eastAsia="Arial" w:hAnsi="Arial"/>
                <w:sz w:val="14"/>
                <w:szCs w:val="14"/>
                <w:color w:val="auto"/>
              </w:rPr>
              <w:t>(16,705)</w:t>
            </w: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(225,776)</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157,150</w:t>
            </w:r>
          </w:p>
        </w:tc>
        <w:tc>
          <w:tcPr>
            <w:tcW w:w="1360" w:type="dxa"/>
            <w:vAlign w:val="bottom"/>
          </w:tcPr>
          <w:p>
            <w:pPr>
              <w:jc w:val="right"/>
              <w:ind w:right="128"/>
              <w:spacing w:after="0"/>
              <w:rPr>
                <w:sz w:val="20"/>
                <w:szCs w:val="20"/>
                <w:color w:val="auto"/>
              </w:rPr>
            </w:pPr>
            <w:r>
              <w:rPr>
                <w:rFonts w:ascii="Arial" w:cs="Arial" w:eastAsia="Arial" w:hAnsi="Arial"/>
                <w:sz w:val="14"/>
                <w:szCs w:val="14"/>
                <w:color w:val="auto"/>
              </w:rPr>
              <w:t>6,980</w:t>
            </w:r>
          </w:p>
        </w:tc>
        <w:tc>
          <w:tcPr>
            <w:tcW w:w="960" w:type="dxa"/>
            <w:vAlign w:val="bottom"/>
          </w:tcPr>
          <w:p>
            <w:pPr>
              <w:jc w:val="right"/>
              <w:spacing w:after="0"/>
              <w:rPr>
                <w:sz w:val="20"/>
                <w:szCs w:val="20"/>
                <w:color w:val="auto"/>
              </w:rPr>
            </w:pPr>
            <w:r>
              <w:rPr>
                <w:rFonts w:ascii="Arial" w:cs="Arial" w:eastAsia="Arial" w:hAnsi="Arial"/>
                <w:sz w:val="14"/>
                <w:szCs w:val="14"/>
                <w:color w:val="auto"/>
              </w:rPr>
              <w:t>164,130</w:t>
            </w:r>
          </w:p>
        </w:tc>
      </w:tr>
      <w:tr>
        <w:trPr>
          <w:trHeight w:val="184"/>
        </w:trPr>
        <w:tc>
          <w:tcPr>
            <w:tcW w:w="3200" w:type="dxa"/>
            <w:vAlign w:val="bottom"/>
          </w:tcPr>
          <w:p>
            <w:pPr>
              <w:ind w:left="220"/>
              <w:spacing w:after="0"/>
              <w:rPr>
                <w:sz w:val="20"/>
                <w:szCs w:val="20"/>
                <w:color w:val="auto"/>
              </w:rPr>
            </w:pPr>
            <w:r>
              <w:rPr>
                <w:rFonts w:ascii="Arial" w:cs="Arial" w:eastAsia="Arial" w:hAnsi="Arial"/>
                <w:sz w:val="14"/>
                <w:szCs w:val="14"/>
                <w:color w:val="auto"/>
              </w:rPr>
              <w:t>Amortization of stock-based awards</w:t>
            </w:r>
          </w:p>
        </w:tc>
        <w:tc>
          <w:tcPr>
            <w:tcW w:w="1120" w:type="dxa"/>
            <w:vAlign w:val="bottom"/>
          </w:tcPr>
          <w:p>
            <w:pPr>
              <w:jc w:val="right"/>
              <w:ind w:right="108"/>
              <w:spacing w:after="0"/>
              <w:rPr>
                <w:sz w:val="20"/>
                <w:szCs w:val="20"/>
                <w:color w:val="auto"/>
              </w:rPr>
            </w:pPr>
            <w:r>
              <w:rPr>
                <w:rFonts w:ascii="Arial" w:cs="Arial" w:eastAsia="Arial" w:hAnsi="Arial"/>
                <w:sz w:val="14"/>
                <w:szCs w:val="14"/>
                <w:color w:val="auto"/>
              </w:rPr>
              <w:t>534</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534</w:t>
            </w:r>
          </w:p>
        </w:tc>
        <w:tc>
          <w:tcPr>
            <w:tcW w:w="13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534</w:t>
            </w:r>
          </w:p>
        </w:tc>
      </w:tr>
      <w:tr>
        <w:trPr>
          <w:trHeight w:val="189"/>
        </w:trPr>
        <w:tc>
          <w:tcPr>
            <w:tcW w:w="3200" w:type="dxa"/>
            <w:vAlign w:val="bottom"/>
          </w:tcPr>
          <w:p>
            <w:pPr>
              <w:ind w:left="220"/>
              <w:spacing w:after="0"/>
              <w:rPr>
                <w:sz w:val="20"/>
                <w:szCs w:val="20"/>
                <w:color w:val="auto"/>
              </w:rPr>
            </w:pPr>
            <w:r>
              <w:rPr>
                <w:rFonts w:ascii="Arial" w:cs="Arial" w:eastAsia="Arial" w:hAnsi="Arial"/>
                <w:sz w:val="14"/>
                <w:szCs w:val="14"/>
                <w:color w:val="auto"/>
              </w:rPr>
              <w:t>Other</w:t>
            </w: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(476)</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(476)</w:t>
            </w:r>
          </w:p>
        </w:tc>
        <w:tc>
          <w:tcPr>
            <w:tcW w:w="1360" w:type="dxa"/>
            <w:vAlign w:val="bottom"/>
          </w:tcPr>
          <w:p>
            <w:pPr>
              <w:jc w:val="right"/>
              <w:ind w:right="128"/>
              <w:spacing w:after="0"/>
              <w:rPr>
                <w:sz w:val="20"/>
                <w:szCs w:val="20"/>
                <w:color w:val="auto"/>
              </w:rPr>
            </w:pPr>
            <w:r>
              <w:rPr>
                <w:rFonts w:ascii="Arial" w:cs="Arial" w:eastAsia="Arial" w:hAnsi="Arial"/>
                <w:sz w:val="14"/>
                <w:szCs w:val="14"/>
                <w:color w:val="auto"/>
              </w:rPr>
              <w:t>115</w:t>
            </w:r>
          </w:p>
        </w:tc>
        <w:tc>
          <w:tcPr>
            <w:tcW w:w="960" w:type="dxa"/>
            <w:vAlign w:val="bottom"/>
          </w:tcPr>
          <w:p>
            <w:pPr>
              <w:jc w:val="right"/>
              <w:spacing w:after="0"/>
              <w:rPr>
                <w:sz w:val="20"/>
                <w:szCs w:val="20"/>
                <w:color w:val="auto"/>
              </w:rPr>
            </w:pPr>
            <w:r>
              <w:rPr>
                <w:rFonts w:ascii="Arial" w:cs="Arial" w:eastAsia="Arial" w:hAnsi="Arial"/>
                <w:sz w:val="14"/>
                <w:szCs w:val="14"/>
                <w:color w:val="auto"/>
              </w:rPr>
              <w:t>(361)</w:t>
            </w:r>
          </w:p>
        </w:tc>
      </w:tr>
      <w:tr>
        <w:trPr>
          <w:trHeight w:val="189"/>
        </w:trPr>
        <w:tc>
          <w:tcPr>
            <w:tcW w:w="3200" w:type="dxa"/>
            <w:vAlign w:val="bottom"/>
          </w:tcPr>
          <w:p>
            <w:pPr>
              <w:ind w:left="220"/>
              <w:spacing w:after="0"/>
              <w:rPr>
                <w:sz w:val="20"/>
                <w:szCs w:val="20"/>
                <w:color w:val="auto"/>
              </w:rPr>
            </w:pPr>
            <w:r>
              <w:rPr>
                <w:rFonts w:ascii="Arial" w:cs="Arial" w:eastAsia="Arial" w:hAnsi="Arial"/>
                <w:sz w:val="14"/>
                <w:szCs w:val="14"/>
                <w:color w:val="auto"/>
              </w:rPr>
              <w:t>Net income (loss) for the year</w:t>
            </w:r>
          </w:p>
        </w:tc>
        <w:tc>
          <w:tcPr>
            <w:tcW w:w="11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23,040</w:t>
            </w: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23,040</w:t>
            </w:r>
          </w:p>
        </w:tc>
        <w:tc>
          <w:tcPr>
            <w:tcW w:w="1360" w:type="dxa"/>
            <w:vAlign w:val="bottom"/>
          </w:tcPr>
          <w:p>
            <w:pPr>
              <w:jc w:val="right"/>
              <w:ind w:right="128"/>
              <w:spacing w:after="0"/>
              <w:rPr>
                <w:sz w:val="20"/>
                <w:szCs w:val="20"/>
                <w:color w:val="auto"/>
              </w:rPr>
            </w:pPr>
            <w:r>
              <w:rPr>
                <w:rFonts w:ascii="Arial" w:cs="Arial" w:eastAsia="Arial" w:hAnsi="Arial"/>
                <w:sz w:val="14"/>
                <w:szCs w:val="14"/>
                <w:color w:val="auto"/>
              </w:rPr>
              <w:t>558</w:t>
            </w:r>
          </w:p>
        </w:tc>
        <w:tc>
          <w:tcPr>
            <w:tcW w:w="960" w:type="dxa"/>
            <w:vAlign w:val="bottom"/>
          </w:tcPr>
          <w:p>
            <w:pPr>
              <w:jc w:val="right"/>
              <w:spacing w:after="0"/>
              <w:rPr>
                <w:sz w:val="20"/>
                <w:szCs w:val="20"/>
                <w:color w:val="auto"/>
              </w:rPr>
            </w:pPr>
            <w:r>
              <w:rPr>
                <w:rFonts w:ascii="Arial" w:cs="Arial" w:eastAsia="Arial" w:hAnsi="Arial"/>
                <w:sz w:val="14"/>
                <w:szCs w:val="14"/>
                <w:color w:val="auto"/>
              </w:rPr>
              <w:t>23,598</w:t>
            </w:r>
          </w:p>
        </w:tc>
      </w:tr>
      <w:tr>
        <w:trPr>
          <w:trHeight w:val="189"/>
        </w:trPr>
        <w:tc>
          <w:tcPr>
            <w:tcW w:w="3200" w:type="dxa"/>
            <w:vAlign w:val="bottom"/>
          </w:tcPr>
          <w:p>
            <w:pPr>
              <w:ind w:left="220"/>
              <w:spacing w:after="0"/>
              <w:rPr>
                <w:sz w:val="20"/>
                <w:szCs w:val="20"/>
                <w:color w:val="auto"/>
              </w:rPr>
            </w:pPr>
            <w:r>
              <w:rPr>
                <w:rFonts w:ascii="Arial" w:cs="Arial" w:eastAsia="Arial" w:hAnsi="Arial"/>
                <w:sz w:val="14"/>
                <w:szCs w:val="14"/>
                <w:color w:val="auto"/>
              </w:rPr>
              <w:t>Dividends - common shares</w:t>
            </w:r>
          </w:p>
        </w:tc>
        <w:tc>
          <w:tcPr>
            <w:tcW w:w="11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(14,924)</w:t>
            </w: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(14,924)</w:t>
            </w:r>
          </w:p>
        </w:tc>
        <w:tc>
          <w:tcPr>
            <w:tcW w:w="1360" w:type="dxa"/>
            <w:vAlign w:val="bottom"/>
          </w:tcPr>
          <w:p>
            <w:pPr>
              <w:jc w:val="right"/>
              <w:ind w:right="88"/>
              <w:spacing w:after="0"/>
              <w:rPr>
                <w:sz w:val="20"/>
                <w:szCs w:val="20"/>
                <w:color w:val="auto"/>
              </w:rPr>
            </w:pPr>
            <w:r>
              <w:rPr>
                <w:rFonts w:ascii="Arial" w:cs="Arial" w:eastAsia="Arial" w:hAnsi="Arial"/>
                <w:sz w:val="14"/>
                <w:szCs w:val="14"/>
                <w:color w:val="auto"/>
              </w:rPr>
              <w:t>(224)</w:t>
            </w:r>
          </w:p>
        </w:tc>
        <w:tc>
          <w:tcPr>
            <w:tcW w:w="960" w:type="dxa"/>
            <w:vAlign w:val="bottom"/>
          </w:tcPr>
          <w:p>
            <w:pPr>
              <w:jc w:val="right"/>
              <w:spacing w:after="0"/>
              <w:rPr>
                <w:sz w:val="20"/>
                <w:szCs w:val="20"/>
                <w:color w:val="auto"/>
              </w:rPr>
            </w:pPr>
            <w:r>
              <w:rPr>
                <w:rFonts w:ascii="Arial" w:cs="Arial" w:eastAsia="Arial" w:hAnsi="Arial"/>
                <w:sz w:val="14"/>
                <w:szCs w:val="14"/>
                <w:color w:val="auto"/>
              </w:rPr>
              <w:t>(15,148)</w:t>
            </w:r>
          </w:p>
        </w:tc>
      </w:tr>
      <w:tr>
        <w:trPr>
          <w:trHeight w:val="189"/>
        </w:trPr>
        <w:tc>
          <w:tcPr>
            <w:tcW w:w="3200" w:type="dxa"/>
            <w:vAlign w:val="bottom"/>
          </w:tcPr>
          <w:p>
            <w:pPr>
              <w:ind w:left="220"/>
              <w:spacing w:after="0"/>
              <w:rPr>
                <w:sz w:val="20"/>
                <w:szCs w:val="20"/>
                <w:color w:val="auto"/>
              </w:rPr>
            </w:pPr>
            <w:r>
              <w:rPr>
                <w:rFonts w:ascii="Arial" w:cs="Arial" w:eastAsia="Arial" w:hAnsi="Arial"/>
                <w:sz w:val="14"/>
                <w:szCs w:val="14"/>
                <w:color w:val="auto"/>
              </w:rPr>
              <w:t>Other comprehensive income</w:t>
            </w:r>
          </w:p>
        </w:tc>
        <w:tc>
          <w:tcPr>
            <w:tcW w:w="11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2,941</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2,941</w:t>
            </w:r>
          </w:p>
        </w:tc>
        <w:tc>
          <w:tcPr>
            <w:tcW w:w="1360" w:type="dxa"/>
            <w:vAlign w:val="bottom"/>
          </w:tcPr>
          <w:p>
            <w:pPr>
              <w:jc w:val="right"/>
              <w:ind w:right="128"/>
              <w:spacing w:after="0"/>
              <w:rPr>
                <w:sz w:val="20"/>
                <w:szCs w:val="20"/>
                <w:color w:val="auto"/>
              </w:rPr>
            </w:pPr>
            <w:r>
              <w:rPr>
                <w:rFonts w:ascii="Arial" w:cs="Arial" w:eastAsia="Arial" w:hAnsi="Arial"/>
                <w:sz w:val="14"/>
                <w:szCs w:val="14"/>
                <w:color w:val="auto"/>
              </w:rPr>
              <w:t>228</w:t>
            </w:r>
          </w:p>
        </w:tc>
        <w:tc>
          <w:tcPr>
            <w:tcW w:w="960" w:type="dxa"/>
            <w:vAlign w:val="bottom"/>
          </w:tcPr>
          <w:p>
            <w:pPr>
              <w:jc w:val="right"/>
              <w:spacing w:after="0"/>
              <w:rPr>
                <w:sz w:val="20"/>
                <w:szCs w:val="20"/>
                <w:color w:val="auto"/>
              </w:rPr>
            </w:pPr>
            <w:r>
              <w:rPr>
                <w:rFonts w:ascii="Arial" w:cs="Arial" w:eastAsia="Arial" w:hAnsi="Arial"/>
                <w:sz w:val="14"/>
                <w:szCs w:val="14"/>
                <w:color w:val="auto"/>
              </w:rPr>
              <w:t>3,169</w:t>
            </w:r>
          </w:p>
        </w:tc>
      </w:tr>
      <w:tr>
        <w:trPr>
          <w:trHeight w:val="189"/>
        </w:trPr>
        <w:tc>
          <w:tcPr>
            <w:tcW w:w="3200" w:type="dxa"/>
            <w:vAlign w:val="bottom"/>
          </w:tcPr>
          <w:p>
            <w:pPr>
              <w:ind w:left="220"/>
              <w:spacing w:after="0"/>
              <w:rPr>
                <w:sz w:val="20"/>
                <w:szCs w:val="20"/>
                <w:color w:val="auto"/>
              </w:rPr>
            </w:pPr>
            <w:r>
              <w:rPr>
                <w:rFonts w:ascii="Arial" w:cs="Arial" w:eastAsia="Arial" w:hAnsi="Arial"/>
                <w:sz w:val="14"/>
                <w:szCs w:val="14"/>
                <w:color w:val="auto"/>
              </w:rPr>
              <w:t>Acquisitions, at cost</w:t>
            </w:r>
          </w:p>
        </w:tc>
        <w:tc>
          <w:tcPr>
            <w:tcW w:w="11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(155)</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(155)</w:t>
            </w:r>
          </w:p>
        </w:tc>
        <w:tc>
          <w:tcPr>
            <w:tcW w:w="1360" w:type="dxa"/>
            <w:vAlign w:val="bottom"/>
          </w:tcPr>
          <w:p>
            <w:pPr>
              <w:jc w:val="right"/>
              <w:ind w:right="88"/>
              <w:spacing w:after="0"/>
              <w:rPr>
                <w:sz w:val="20"/>
                <w:szCs w:val="20"/>
                <w:color w:val="auto"/>
              </w:rPr>
            </w:pPr>
            <w:r>
              <w:rPr>
                <w:rFonts w:ascii="Arial" w:cs="Arial" w:eastAsia="Arial" w:hAnsi="Arial"/>
                <w:sz w:val="14"/>
                <w:szCs w:val="14"/>
                <w:color w:val="auto"/>
              </w:rPr>
              <w:t>(551)</w:t>
            </w:r>
          </w:p>
        </w:tc>
        <w:tc>
          <w:tcPr>
            <w:tcW w:w="960" w:type="dxa"/>
            <w:vAlign w:val="bottom"/>
          </w:tcPr>
          <w:p>
            <w:pPr>
              <w:jc w:val="right"/>
              <w:spacing w:after="0"/>
              <w:rPr>
                <w:sz w:val="20"/>
                <w:szCs w:val="20"/>
                <w:color w:val="auto"/>
              </w:rPr>
            </w:pPr>
            <w:r>
              <w:rPr>
                <w:rFonts w:ascii="Arial" w:cs="Arial" w:eastAsia="Arial" w:hAnsi="Arial"/>
                <w:sz w:val="14"/>
                <w:szCs w:val="14"/>
                <w:color w:val="auto"/>
              </w:rPr>
              <w:t>(706)</w:t>
            </w:r>
          </w:p>
        </w:tc>
      </w:tr>
      <w:tr>
        <w:trPr>
          <w:trHeight w:val="194"/>
        </w:trPr>
        <w:tc>
          <w:tcPr>
            <w:tcW w:w="3200" w:type="dxa"/>
            <w:vAlign w:val="bottom"/>
          </w:tcPr>
          <w:p>
            <w:pPr>
              <w:ind w:left="220"/>
              <w:spacing w:after="0"/>
              <w:rPr>
                <w:sz w:val="20"/>
                <w:szCs w:val="20"/>
                <w:color w:val="auto"/>
              </w:rPr>
            </w:pPr>
            <w:r>
              <w:rPr>
                <w:rFonts w:ascii="Arial" w:cs="Arial" w:eastAsia="Arial" w:hAnsi="Arial"/>
                <w:sz w:val="14"/>
                <w:szCs w:val="14"/>
                <w:color w:val="auto"/>
              </w:rPr>
              <w:t>Dispositions</w:t>
            </w:r>
          </w:p>
        </w:tc>
        <w:tc>
          <w:tcPr>
            <w:tcW w:w="11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467</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467</w:t>
            </w:r>
          </w:p>
        </w:tc>
        <w:tc>
          <w:tcPr>
            <w:tcW w:w="13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467</w:t>
            </w:r>
          </w:p>
        </w:tc>
      </w:tr>
      <w:tr>
        <w:trPr>
          <w:trHeight w:val="186"/>
        </w:trPr>
        <w:tc>
          <w:tcPr>
            <w:tcW w:w="3200" w:type="dxa"/>
            <w:vAlign w:val="bottom"/>
          </w:tcPr>
          <w:p>
            <w:pPr>
              <w:ind w:left="20"/>
              <w:spacing w:after="0"/>
              <w:rPr>
                <w:sz w:val="20"/>
                <w:szCs w:val="20"/>
                <w:color w:val="auto"/>
              </w:rPr>
            </w:pPr>
            <w:r>
              <w:rPr>
                <w:rFonts w:ascii="Arial" w:cs="Arial" w:eastAsia="Arial" w:hAnsi="Arial"/>
                <w:sz w:val="14"/>
                <w:szCs w:val="14"/>
                <w:color w:val="auto"/>
              </w:rPr>
              <w:t>Balance as of December 31, 2021</w:t>
            </w:r>
          </w:p>
        </w:tc>
        <w:tc>
          <w:tcPr>
            <w:tcW w:w="11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15,746</w:t>
            </w: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392,059</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(13,764)</w:t>
            </w: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(225,464)</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168,577</w:t>
            </w:r>
          </w:p>
        </w:tc>
        <w:tc>
          <w:tcPr>
            <w:tcW w:w="13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7,106</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175,683</w:t>
            </w:r>
          </w:p>
        </w:tc>
      </w:tr>
      <w:tr>
        <w:trPr>
          <w:trHeight w:val="501"/>
        </w:trPr>
        <w:tc>
          <w:tcPr>
            <w:tcW w:w="3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80" w:type="dxa"/>
            <w:vAlign w:val="bottom"/>
            <w:gridSpan w:val="2"/>
          </w:tcPr>
          <w:p>
            <w:pPr>
              <w:jc w:val="center"/>
              <w:ind w:right="408"/>
              <w:spacing w:after="0"/>
              <w:rPr>
                <w:sz w:val="20"/>
                <w:szCs w:val="20"/>
                <w:color w:val="auto"/>
              </w:rPr>
            </w:pPr>
            <w:r>
              <w:rPr>
                <w:rFonts w:ascii="Arial" w:cs="Arial" w:eastAsia="Arial" w:hAnsi="Arial"/>
                <w:sz w:val="14"/>
                <w:szCs w:val="14"/>
                <w:b w:val="1"/>
                <w:bCs w:val="1"/>
                <w:color w:val="auto"/>
                <w:w w:val="98"/>
              </w:rPr>
              <w:t>Held in</w:t>
            </w:r>
          </w:p>
        </w:tc>
        <w:tc>
          <w:tcPr>
            <w:tcW w:w="960" w:type="dxa"/>
            <w:vAlign w:val="bottom"/>
          </w:tcPr>
          <w:p>
            <w:pPr>
              <w:spacing w:after="0"/>
              <w:rPr>
                <w:sz w:val="24"/>
                <w:szCs w:val="24"/>
                <w:color w:val="auto"/>
              </w:rPr>
            </w:pPr>
          </w:p>
        </w:tc>
      </w:tr>
      <w:tr>
        <w:trPr>
          <w:trHeight w:val="206"/>
        </w:trPr>
        <w:tc>
          <w:tcPr>
            <w:tcW w:w="32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Common Stock Share Activity</w:t>
            </w:r>
          </w:p>
        </w:tc>
        <w:tc>
          <w:tcPr>
            <w:tcW w:w="1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Issued</w:t>
            </w:r>
          </w:p>
        </w:tc>
        <w:tc>
          <w:tcPr>
            <w:tcW w:w="24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2"/>
          </w:tcPr>
          <w:p>
            <w:pPr>
              <w:jc w:val="center"/>
              <w:ind w:right="428"/>
              <w:spacing w:after="0"/>
              <w:rPr>
                <w:sz w:val="20"/>
                <w:szCs w:val="20"/>
                <w:color w:val="auto"/>
              </w:rPr>
            </w:pPr>
            <w:r>
              <w:rPr>
                <w:rFonts w:ascii="Arial" w:cs="Arial" w:eastAsia="Arial" w:hAnsi="Arial"/>
                <w:sz w:val="14"/>
                <w:szCs w:val="14"/>
                <w:b w:val="1"/>
                <w:bCs w:val="1"/>
                <w:color w:val="auto"/>
                <w:w w:val="94"/>
              </w:rPr>
              <w:t>Treasury</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Outstanding</w:t>
            </w:r>
          </w:p>
        </w:tc>
      </w:tr>
      <w:tr>
        <w:trPr>
          <w:trHeight w:val="182"/>
        </w:trPr>
        <w:tc>
          <w:tcPr>
            <w:tcW w:w="3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80" w:type="dxa"/>
            <w:vAlign w:val="bottom"/>
            <w:gridSpan w:val="2"/>
          </w:tcPr>
          <w:p>
            <w:pPr>
              <w:jc w:val="center"/>
              <w:ind w:right="428"/>
              <w:spacing w:after="0"/>
              <w:rPr>
                <w:sz w:val="20"/>
                <w:szCs w:val="20"/>
                <w:color w:val="auto"/>
              </w:rPr>
            </w:pPr>
            <w:r>
              <w:rPr>
                <w:rFonts w:ascii="Arial" w:cs="Arial" w:eastAsia="Arial" w:hAnsi="Arial"/>
                <w:sz w:val="14"/>
                <w:szCs w:val="14"/>
                <w:i w:val="1"/>
                <w:iCs w:val="1"/>
                <w:color w:val="auto"/>
                <w:w w:val="95"/>
              </w:rPr>
              <w:t>(millions of shares)</w:t>
            </w:r>
          </w:p>
        </w:tc>
        <w:tc>
          <w:tcPr>
            <w:tcW w:w="960" w:type="dxa"/>
            <w:vAlign w:val="bottom"/>
          </w:tcPr>
          <w:p>
            <w:pPr>
              <w:spacing w:after="0"/>
              <w:rPr>
                <w:sz w:val="15"/>
                <w:szCs w:val="15"/>
                <w:color w:val="auto"/>
              </w:rPr>
            </w:pPr>
          </w:p>
        </w:tc>
      </w:tr>
      <w:tr>
        <w:trPr>
          <w:trHeight w:val="184"/>
        </w:trPr>
        <w:tc>
          <w:tcPr>
            <w:tcW w:w="3200" w:type="dxa"/>
            <w:vAlign w:val="bottom"/>
          </w:tcPr>
          <w:p>
            <w:pPr>
              <w:ind w:left="20"/>
              <w:spacing w:after="0"/>
              <w:rPr>
                <w:sz w:val="20"/>
                <w:szCs w:val="20"/>
                <w:color w:val="auto"/>
              </w:rPr>
            </w:pPr>
            <w:r>
              <w:rPr>
                <w:rFonts w:ascii="Arial" w:cs="Arial" w:eastAsia="Arial" w:hAnsi="Arial"/>
                <w:sz w:val="14"/>
                <w:szCs w:val="14"/>
                <w:color w:val="auto"/>
              </w:rPr>
              <w:t>Balance as of December 31, 2018</w:t>
            </w:r>
          </w:p>
        </w:tc>
        <w:tc>
          <w:tcPr>
            <w:tcW w:w="1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60" w:type="dxa"/>
            <w:vAlign w:val="bottom"/>
            <w:gridSpan w:val="2"/>
          </w:tcPr>
          <w:p>
            <w:pPr>
              <w:jc w:val="right"/>
              <w:spacing w:after="0"/>
              <w:rPr>
                <w:sz w:val="20"/>
                <w:szCs w:val="20"/>
                <w:color w:val="auto"/>
              </w:rPr>
            </w:pPr>
            <w:r>
              <w:rPr>
                <w:rFonts w:ascii="Arial" w:cs="Arial" w:eastAsia="Arial" w:hAnsi="Arial"/>
                <w:sz w:val="14"/>
                <w:szCs w:val="14"/>
                <w:color w:val="auto"/>
              </w:rPr>
              <w:t>8,019</w:t>
            </w:r>
          </w:p>
        </w:tc>
        <w:tc>
          <w:tcPr>
            <w:tcW w:w="820" w:type="dxa"/>
            <w:vAlign w:val="bottom"/>
          </w:tcPr>
          <w:p>
            <w:pPr>
              <w:spacing w:after="0"/>
              <w:rPr>
                <w:sz w:val="15"/>
                <w:szCs w:val="15"/>
                <w:color w:val="auto"/>
              </w:rPr>
            </w:pPr>
          </w:p>
        </w:tc>
        <w:tc>
          <w:tcPr>
            <w:tcW w:w="1360" w:type="dxa"/>
            <w:vAlign w:val="bottom"/>
          </w:tcPr>
          <w:p>
            <w:pPr>
              <w:jc w:val="right"/>
              <w:ind w:right="568"/>
              <w:spacing w:after="0"/>
              <w:rPr>
                <w:sz w:val="20"/>
                <w:szCs w:val="20"/>
                <w:color w:val="auto"/>
              </w:rPr>
            </w:pPr>
            <w:r>
              <w:rPr>
                <w:rFonts w:ascii="Arial" w:cs="Arial" w:eastAsia="Arial" w:hAnsi="Arial"/>
                <w:sz w:val="14"/>
                <w:szCs w:val="14"/>
                <w:color w:val="auto"/>
              </w:rPr>
              <w:t>(3,782)</w:t>
            </w:r>
          </w:p>
        </w:tc>
        <w:tc>
          <w:tcPr>
            <w:tcW w:w="960" w:type="dxa"/>
            <w:vAlign w:val="bottom"/>
          </w:tcPr>
          <w:p>
            <w:pPr>
              <w:jc w:val="right"/>
              <w:spacing w:after="0"/>
              <w:rPr>
                <w:sz w:val="20"/>
                <w:szCs w:val="20"/>
                <w:color w:val="auto"/>
              </w:rPr>
            </w:pPr>
            <w:r>
              <w:rPr>
                <w:rFonts w:ascii="Arial" w:cs="Arial" w:eastAsia="Arial" w:hAnsi="Arial"/>
                <w:sz w:val="14"/>
                <w:szCs w:val="14"/>
                <w:color w:val="auto"/>
              </w:rPr>
              <w:t>4,237</w:t>
            </w:r>
          </w:p>
        </w:tc>
      </w:tr>
      <w:tr>
        <w:trPr>
          <w:trHeight w:val="189"/>
        </w:trPr>
        <w:tc>
          <w:tcPr>
            <w:tcW w:w="3200" w:type="dxa"/>
            <w:vAlign w:val="bottom"/>
          </w:tcPr>
          <w:p>
            <w:pPr>
              <w:ind w:left="220"/>
              <w:spacing w:after="0"/>
              <w:rPr>
                <w:sz w:val="20"/>
                <w:szCs w:val="20"/>
                <w:color w:val="auto"/>
              </w:rPr>
            </w:pPr>
            <w:r>
              <w:rPr>
                <w:rFonts w:ascii="Arial" w:cs="Arial" w:eastAsia="Arial" w:hAnsi="Arial"/>
                <w:sz w:val="14"/>
                <w:szCs w:val="14"/>
                <w:color w:val="auto"/>
              </w:rPr>
              <w:t>Acquisitions</w:t>
            </w:r>
          </w:p>
        </w:tc>
        <w:tc>
          <w:tcPr>
            <w:tcW w:w="1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spacing w:after="0"/>
              <w:rPr>
                <w:sz w:val="16"/>
                <w:szCs w:val="16"/>
                <w:color w:val="auto"/>
              </w:rPr>
            </w:pPr>
          </w:p>
        </w:tc>
        <w:tc>
          <w:tcPr>
            <w:tcW w:w="1360" w:type="dxa"/>
            <w:vAlign w:val="bottom"/>
          </w:tcPr>
          <w:p>
            <w:pPr>
              <w:jc w:val="right"/>
              <w:ind w:right="568"/>
              <w:spacing w:after="0"/>
              <w:rPr>
                <w:sz w:val="20"/>
                <w:szCs w:val="20"/>
                <w:color w:val="auto"/>
              </w:rPr>
            </w:pPr>
            <w:r>
              <w:rPr>
                <w:rFonts w:ascii="Arial" w:cs="Arial" w:eastAsia="Arial" w:hAnsi="Arial"/>
                <w:sz w:val="14"/>
                <w:szCs w:val="14"/>
                <w:color w:val="auto"/>
              </w:rPr>
              <w:t>(8)</w:t>
            </w:r>
          </w:p>
        </w:tc>
        <w:tc>
          <w:tcPr>
            <w:tcW w:w="96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194"/>
        </w:trPr>
        <w:tc>
          <w:tcPr>
            <w:tcW w:w="3200" w:type="dxa"/>
            <w:vAlign w:val="bottom"/>
          </w:tcPr>
          <w:p>
            <w:pPr>
              <w:ind w:left="220"/>
              <w:spacing w:after="0"/>
              <w:rPr>
                <w:sz w:val="20"/>
                <w:szCs w:val="20"/>
                <w:color w:val="auto"/>
              </w:rPr>
            </w:pPr>
            <w:r>
              <w:rPr>
                <w:rFonts w:ascii="Arial" w:cs="Arial" w:eastAsia="Arial" w:hAnsi="Arial"/>
                <w:sz w:val="14"/>
                <w:szCs w:val="14"/>
                <w:color w:val="auto"/>
              </w:rPr>
              <w:t>Dispositions</w:t>
            </w:r>
          </w:p>
        </w:tc>
        <w:tc>
          <w:tcPr>
            <w:tcW w:w="1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5</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r>
      <w:tr>
        <w:trPr>
          <w:trHeight w:val="182"/>
        </w:trPr>
        <w:tc>
          <w:tcPr>
            <w:tcW w:w="3200" w:type="dxa"/>
            <w:vAlign w:val="bottom"/>
          </w:tcPr>
          <w:p>
            <w:pPr>
              <w:ind w:left="20"/>
              <w:spacing w:after="0"/>
              <w:rPr>
                <w:sz w:val="20"/>
                <w:szCs w:val="20"/>
                <w:color w:val="auto"/>
              </w:rPr>
            </w:pPr>
            <w:r>
              <w:rPr>
                <w:rFonts w:ascii="Arial" w:cs="Arial" w:eastAsia="Arial" w:hAnsi="Arial"/>
                <w:sz w:val="14"/>
                <w:szCs w:val="14"/>
                <w:color w:val="auto"/>
              </w:rPr>
              <w:t>Balance as of December 31, 2019</w:t>
            </w:r>
          </w:p>
        </w:tc>
        <w:tc>
          <w:tcPr>
            <w:tcW w:w="1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60" w:type="dxa"/>
            <w:vAlign w:val="bottom"/>
            <w:gridSpan w:val="2"/>
          </w:tcPr>
          <w:p>
            <w:pPr>
              <w:jc w:val="right"/>
              <w:spacing w:after="0"/>
              <w:rPr>
                <w:sz w:val="20"/>
                <w:szCs w:val="20"/>
                <w:color w:val="auto"/>
              </w:rPr>
            </w:pPr>
            <w:r>
              <w:rPr>
                <w:rFonts w:ascii="Arial" w:cs="Arial" w:eastAsia="Arial" w:hAnsi="Arial"/>
                <w:sz w:val="14"/>
                <w:szCs w:val="14"/>
                <w:color w:val="auto"/>
              </w:rPr>
              <w:t>8,019</w:t>
            </w:r>
          </w:p>
        </w:tc>
        <w:tc>
          <w:tcPr>
            <w:tcW w:w="820" w:type="dxa"/>
            <w:vAlign w:val="bottom"/>
          </w:tcPr>
          <w:p>
            <w:pPr>
              <w:spacing w:after="0"/>
              <w:rPr>
                <w:sz w:val="15"/>
                <w:szCs w:val="15"/>
                <w:color w:val="auto"/>
              </w:rPr>
            </w:pPr>
          </w:p>
        </w:tc>
        <w:tc>
          <w:tcPr>
            <w:tcW w:w="1360" w:type="dxa"/>
            <w:vAlign w:val="bottom"/>
          </w:tcPr>
          <w:p>
            <w:pPr>
              <w:jc w:val="right"/>
              <w:ind w:right="568"/>
              <w:spacing w:after="0"/>
              <w:rPr>
                <w:sz w:val="20"/>
                <w:szCs w:val="20"/>
                <w:color w:val="auto"/>
              </w:rPr>
            </w:pPr>
            <w:r>
              <w:rPr>
                <w:rFonts w:ascii="Arial" w:cs="Arial" w:eastAsia="Arial" w:hAnsi="Arial"/>
                <w:sz w:val="14"/>
                <w:szCs w:val="14"/>
                <w:color w:val="auto"/>
              </w:rPr>
              <w:t>(3,785)</w:t>
            </w:r>
          </w:p>
        </w:tc>
        <w:tc>
          <w:tcPr>
            <w:tcW w:w="960" w:type="dxa"/>
            <w:vAlign w:val="bottom"/>
          </w:tcPr>
          <w:p>
            <w:pPr>
              <w:jc w:val="right"/>
              <w:spacing w:after="0"/>
              <w:rPr>
                <w:sz w:val="20"/>
                <w:szCs w:val="20"/>
                <w:color w:val="auto"/>
              </w:rPr>
            </w:pPr>
            <w:r>
              <w:rPr>
                <w:rFonts w:ascii="Arial" w:cs="Arial" w:eastAsia="Arial" w:hAnsi="Arial"/>
                <w:sz w:val="14"/>
                <w:szCs w:val="14"/>
                <w:color w:val="auto"/>
              </w:rPr>
              <w:t>4,234</w:t>
            </w:r>
          </w:p>
        </w:tc>
      </w:tr>
      <w:tr>
        <w:trPr>
          <w:trHeight w:val="184"/>
        </w:trPr>
        <w:tc>
          <w:tcPr>
            <w:tcW w:w="3200" w:type="dxa"/>
            <w:vAlign w:val="bottom"/>
          </w:tcPr>
          <w:p>
            <w:pPr>
              <w:ind w:left="220"/>
              <w:spacing w:after="0"/>
              <w:rPr>
                <w:sz w:val="20"/>
                <w:szCs w:val="20"/>
                <w:color w:val="auto"/>
              </w:rPr>
            </w:pPr>
            <w:r>
              <w:rPr>
                <w:rFonts w:ascii="Arial" w:cs="Arial" w:eastAsia="Arial" w:hAnsi="Arial"/>
                <w:sz w:val="14"/>
                <w:szCs w:val="14"/>
                <w:color w:val="auto"/>
              </w:rPr>
              <w:t>Acquisitions</w:t>
            </w:r>
          </w:p>
        </w:tc>
        <w:tc>
          <w:tcPr>
            <w:tcW w:w="1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spacing w:after="0"/>
              <w:rPr>
                <w:sz w:val="15"/>
                <w:szCs w:val="15"/>
                <w:color w:val="auto"/>
              </w:rPr>
            </w:pPr>
          </w:p>
        </w:tc>
        <w:tc>
          <w:tcPr>
            <w:tcW w:w="1360" w:type="dxa"/>
            <w:vAlign w:val="bottom"/>
          </w:tcPr>
          <w:p>
            <w:pPr>
              <w:jc w:val="right"/>
              <w:ind w:right="568"/>
              <w:spacing w:after="0"/>
              <w:rPr>
                <w:sz w:val="20"/>
                <w:szCs w:val="20"/>
                <w:color w:val="auto"/>
              </w:rPr>
            </w:pPr>
            <w:r>
              <w:rPr>
                <w:rFonts w:ascii="Arial" w:cs="Arial" w:eastAsia="Arial" w:hAnsi="Arial"/>
                <w:sz w:val="14"/>
                <w:szCs w:val="14"/>
                <w:color w:val="auto"/>
              </w:rPr>
              <w:t>(8)</w:t>
            </w:r>
          </w:p>
        </w:tc>
        <w:tc>
          <w:tcPr>
            <w:tcW w:w="96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194"/>
        </w:trPr>
        <w:tc>
          <w:tcPr>
            <w:tcW w:w="3200" w:type="dxa"/>
            <w:vAlign w:val="bottom"/>
          </w:tcPr>
          <w:p>
            <w:pPr>
              <w:ind w:left="220"/>
              <w:spacing w:after="0"/>
              <w:rPr>
                <w:sz w:val="20"/>
                <w:szCs w:val="20"/>
                <w:color w:val="auto"/>
              </w:rPr>
            </w:pPr>
            <w:r>
              <w:rPr>
                <w:rFonts w:ascii="Arial" w:cs="Arial" w:eastAsia="Arial" w:hAnsi="Arial"/>
                <w:sz w:val="14"/>
                <w:szCs w:val="14"/>
                <w:color w:val="auto"/>
              </w:rPr>
              <w:t>Dispositions</w:t>
            </w:r>
          </w:p>
        </w:tc>
        <w:tc>
          <w:tcPr>
            <w:tcW w:w="1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7</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r>
      <w:tr>
        <w:trPr>
          <w:trHeight w:val="182"/>
        </w:trPr>
        <w:tc>
          <w:tcPr>
            <w:tcW w:w="3200" w:type="dxa"/>
            <w:vAlign w:val="bottom"/>
          </w:tcPr>
          <w:p>
            <w:pPr>
              <w:ind w:left="20"/>
              <w:spacing w:after="0"/>
              <w:rPr>
                <w:sz w:val="20"/>
                <w:szCs w:val="20"/>
                <w:color w:val="auto"/>
              </w:rPr>
            </w:pPr>
            <w:r>
              <w:rPr>
                <w:rFonts w:ascii="Arial" w:cs="Arial" w:eastAsia="Arial" w:hAnsi="Arial"/>
                <w:sz w:val="14"/>
                <w:szCs w:val="14"/>
                <w:color w:val="auto"/>
              </w:rPr>
              <w:t>Balance as of December 31, 2020</w:t>
            </w:r>
          </w:p>
        </w:tc>
        <w:tc>
          <w:tcPr>
            <w:tcW w:w="1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60" w:type="dxa"/>
            <w:vAlign w:val="bottom"/>
            <w:gridSpan w:val="2"/>
          </w:tcPr>
          <w:p>
            <w:pPr>
              <w:jc w:val="right"/>
              <w:spacing w:after="0"/>
              <w:rPr>
                <w:sz w:val="20"/>
                <w:szCs w:val="20"/>
                <w:color w:val="auto"/>
              </w:rPr>
            </w:pPr>
            <w:r>
              <w:rPr>
                <w:rFonts w:ascii="Arial" w:cs="Arial" w:eastAsia="Arial" w:hAnsi="Arial"/>
                <w:sz w:val="14"/>
                <w:szCs w:val="14"/>
                <w:color w:val="auto"/>
              </w:rPr>
              <w:t>8,019</w:t>
            </w:r>
          </w:p>
        </w:tc>
        <w:tc>
          <w:tcPr>
            <w:tcW w:w="820" w:type="dxa"/>
            <w:vAlign w:val="bottom"/>
          </w:tcPr>
          <w:p>
            <w:pPr>
              <w:spacing w:after="0"/>
              <w:rPr>
                <w:sz w:val="15"/>
                <w:szCs w:val="15"/>
                <w:color w:val="auto"/>
              </w:rPr>
            </w:pPr>
          </w:p>
        </w:tc>
        <w:tc>
          <w:tcPr>
            <w:tcW w:w="1360" w:type="dxa"/>
            <w:vAlign w:val="bottom"/>
          </w:tcPr>
          <w:p>
            <w:pPr>
              <w:jc w:val="right"/>
              <w:ind w:right="568"/>
              <w:spacing w:after="0"/>
              <w:rPr>
                <w:sz w:val="20"/>
                <w:szCs w:val="20"/>
                <w:color w:val="auto"/>
              </w:rPr>
            </w:pPr>
            <w:r>
              <w:rPr>
                <w:rFonts w:ascii="Arial" w:cs="Arial" w:eastAsia="Arial" w:hAnsi="Arial"/>
                <w:sz w:val="14"/>
                <w:szCs w:val="14"/>
                <w:color w:val="auto"/>
              </w:rPr>
              <w:t>(3,786)</w:t>
            </w:r>
          </w:p>
        </w:tc>
        <w:tc>
          <w:tcPr>
            <w:tcW w:w="960" w:type="dxa"/>
            <w:vAlign w:val="bottom"/>
          </w:tcPr>
          <w:p>
            <w:pPr>
              <w:jc w:val="right"/>
              <w:spacing w:after="0"/>
              <w:rPr>
                <w:sz w:val="20"/>
                <w:szCs w:val="20"/>
                <w:color w:val="auto"/>
              </w:rPr>
            </w:pPr>
            <w:r>
              <w:rPr>
                <w:rFonts w:ascii="Arial" w:cs="Arial" w:eastAsia="Arial" w:hAnsi="Arial"/>
                <w:sz w:val="14"/>
                <w:szCs w:val="14"/>
                <w:color w:val="auto"/>
              </w:rPr>
              <w:t>4,233</w:t>
            </w:r>
          </w:p>
        </w:tc>
      </w:tr>
      <w:tr>
        <w:trPr>
          <w:trHeight w:val="184"/>
        </w:trPr>
        <w:tc>
          <w:tcPr>
            <w:tcW w:w="3200" w:type="dxa"/>
            <w:vAlign w:val="bottom"/>
          </w:tcPr>
          <w:p>
            <w:pPr>
              <w:ind w:left="220"/>
              <w:spacing w:after="0"/>
              <w:rPr>
                <w:sz w:val="20"/>
                <w:szCs w:val="20"/>
                <w:color w:val="auto"/>
              </w:rPr>
            </w:pPr>
            <w:r>
              <w:rPr>
                <w:rFonts w:ascii="Arial" w:cs="Arial" w:eastAsia="Arial" w:hAnsi="Arial"/>
                <w:sz w:val="14"/>
                <w:szCs w:val="14"/>
                <w:color w:val="auto"/>
              </w:rPr>
              <w:t>Acquisitions</w:t>
            </w:r>
          </w:p>
        </w:tc>
        <w:tc>
          <w:tcPr>
            <w:tcW w:w="1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spacing w:after="0"/>
              <w:rPr>
                <w:sz w:val="15"/>
                <w:szCs w:val="15"/>
                <w:color w:val="auto"/>
              </w:rPr>
            </w:pPr>
          </w:p>
        </w:tc>
        <w:tc>
          <w:tcPr>
            <w:tcW w:w="1360" w:type="dxa"/>
            <w:vAlign w:val="bottom"/>
          </w:tcPr>
          <w:p>
            <w:pPr>
              <w:jc w:val="right"/>
              <w:ind w:right="568"/>
              <w:spacing w:after="0"/>
              <w:rPr>
                <w:sz w:val="20"/>
                <w:szCs w:val="20"/>
                <w:color w:val="auto"/>
              </w:rPr>
            </w:pPr>
            <w:r>
              <w:rPr>
                <w:rFonts w:ascii="Arial" w:cs="Arial" w:eastAsia="Arial" w:hAnsi="Arial"/>
                <w:sz w:val="14"/>
                <w:szCs w:val="14"/>
                <w:color w:val="auto"/>
              </w:rPr>
              <w:t>(2)</w:t>
            </w:r>
          </w:p>
        </w:tc>
        <w:tc>
          <w:tcPr>
            <w:tcW w:w="96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195"/>
        </w:trPr>
        <w:tc>
          <w:tcPr>
            <w:tcW w:w="3200" w:type="dxa"/>
            <w:vAlign w:val="bottom"/>
          </w:tcPr>
          <w:p>
            <w:pPr>
              <w:ind w:left="220"/>
              <w:spacing w:after="0"/>
              <w:rPr>
                <w:sz w:val="20"/>
                <w:szCs w:val="20"/>
                <w:color w:val="auto"/>
              </w:rPr>
            </w:pPr>
            <w:r>
              <w:rPr>
                <w:rFonts w:ascii="Arial" w:cs="Arial" w:eastAsia="Arial" w:hAnsi="Arial"/>
                <w:sz w:val="14"/>
                <w:szCs w:val="14"/>
                <w:color w:val="auto"/>
              </w:rPr>
              <w:t>Dispositions</w:t>
            </w:r>
          </w:p>
        </w:tc>
        <w:tc>
          <w:tcPr>
            <w:tcW w:w="1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8</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r>
      <w:tr>
        <w:trPr>
          <w:trHeight w:val="186"/>
        </w:trPr>
        <w:tc>
          <w:tcPr>
            <w:tcW w:w="3200" w:type="dxa"/>
            <w:vAlign w:val="bottom"/>
          </w:tcPr>
          <w:p>
            <w:pPr>
              <w:ind w:left="20"/>
              <w:spacing w:after="0"/>
              <w:rPr>
                <w:sz w:val="20"/>
                <w:szCs w:val="20"/>
                <w:color w:val="auto"/>
              </w:rPr>
            </w:pPr>
            <w:r>
              <w:rPr>
                <w:rFonts w:ascii="Arial" w:cs="Arial" w:eastAsia="Arial" w:hAnsi="Arial"/>
                <w:sz w:val="14"/>
                <w:szCs w:val="14"/>
                <w:color w:val="auto"/>
              </w:rPr>
              <w:t>Balance as of December 31, 2021</w:t>
            </w:r>
          </w:p>
        </w:tc>
        <w:tc>
          <w:tcPr>
            <w:tcW w:w="1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8,019</w:t>
            </w:r>
          </w:p>
        </w:tc>
        <w:tc>
          <w:tcPr>
            <w:tcW w:w="8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(3,780)</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4,239</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information in the Notes to Consolidated Financial Statements is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9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accompanying consolidated financial statements and the supporting and supplemental material are the responsibility of the management of Exxon Mobil Corporation.</w:t>
      </w:r>
    </w:p>
    <w:p>
      <w:pPr>
        <w:spacing w:after="0" w:line="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Corporation’s principal business involves exploration for, and production of, crude oil and natural gas; manufacture, trade, transport and sale of crude oil, natural gas, petroleum products, petrochemicals and a wide variety of specialty products; and pursuit of lower-emission business opportunities including carbon capture and storage, hydrogen and biofuels.</w:t>
      </w:r>
    </w:p>
    <w:p>
      <w:pPr>
        <w:spacing w:after="0" w:line="4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preparation of financial statements in conformity with U.S. Generally Accepted Accounting Principles (GAAP) requires management to make estimates that affect the reported amounts of assets, liabilities, revenues and expenses and the disclosure of contingent assets and liabilities. Actual results could differ from these estimates. Prior years’ data have been reclassified in certain cases to conform to the 2021 presentation basis.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Accounting Policies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 and Accounting for Investments</w:t>
      </w:r>
    </w:p>
    <w:p>
      <w:pPr>
        <w:spacing w:after="0" w:line="12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Consolidated Financial Statements include the accounts of subsidiaries the Corporation controls. They also include the Corporation’s share of the undivided interest in certain upstream assets, liabilities, revenues and expenses. Amounts representing the Corporation’s interest in entities that it does not control, but over which it exercises significant influence, are included in “Investments, advances and long-term receivables”. The Corporation’s share of the net income of these companies is included in the Consolidated Statement of Income caption “Income from equity affiliates”.</w:t>
      </w:r>
    </w:p>
    <w:p>
      <w:pPr>
        <w:spacing w:after="0" w:line="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Majority ownership is normally the indicator of control that is the basis on which subsidiaries are consolidated. However, certain factors may indicate that a majority-owned investment is not controlled and therefore should be accounted for using the equity method of accounting. These factors occur where the minority shareholders are granted by law or by contract substantive participating rights. These include the right to approve operating policies, expense budgets, financing and investment plans, and management compensation and succession plans.</w:t>
      </w:r>
    </w:p>
    <w:p>
      <w:pPr>
        <w:spacing w:after="0" w:line="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Investments in equity companies are assessed for possible impairment when events or changes in circumstances indicate that the carrying value of an investment may not be recoverable. Examples of key indicators include a history of operating losses, negative earnings and cash flow outlook, significant downward revisions to oil and gas reserves, and the financial condition and prospects for the investee’s business segment or geographic region. If the decline in value of the investment is other than temporary, the carrying value of the investment is written down to fair value. In the absence of market prices for the investment, discounted cash flows are used to assess fair value.</w:t>
      </w:r>
    </w:p>
    <w:p>
      <w:pPr>
        <w:spacing w:after="0" w:line="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Investments in equity securities other than consolidated subsidiaries and equity method investments are measured at fair value with changes in fair value recognized in net income. The Corporation uses the modified approach for equity securities that do not have a readily determinable fair value. This modified approach measures investments at cost minus impairment, if any, plus or minus changes resulting from observable price changes in orderly transactions in a similar investment of the same issuer.</w:t>
      </w:r>
    </w:p>
    <w:p>
      <w:pPr>
        <w:spacing w:after="0" w:line="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Corporation’s share of the cumulative foreign exchange translation adjustment for equity method investments is reported in “Accumulated other comprehensive income”.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Corporation generally sells crude oil, natural gas and petroleum and chemical products under short-term agreements at prevailing market prices. In some cases (e.g., natural gas), products may be sold under long-term agreements, with periodic price adjustments to reflect market conditions. Revenue is recognized at the amount the Corporation expects to receive when the customer has taken control, which is typically when title transfers and the customer has assumed the risks and rewards of ownership. The prices of certain sales are based on price indices that are sometimes not available until the next period. In such cases, estimated realizations are accrued when the sale is recognized, and are finalized when the price is available. Such adjustments to revenue from performance obligations satisfied in previous periods are not significant. Payment for revenue transactions is typically due within 30 days. Future volume delivery obligations that are unsatisfied at the end of the period are expected to be fulfilled through ordinary production or purchases. These performance obligations are based on market prices at the time of the transaction and are fully constrained due to market price volatility.</w:t>
      </w:r>
    </w:p>
    <w:p>
      <w:pPr>
        <w:spacing w:after="0" w:line="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Purchases and sales of inventory with the same counterparty that are entered into in contemplation of one another are combined and recorded as exchanges measured at the book value of the item sold.</w:t>
      </w:r>
    </w:p>
    <w:p>
      <w:pPr>
        <w:spacing w:after="0" w:line="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“Sales and other operating revenue” and “Notes and accounts receivable” primarily arise from contracts with customers. Long-term receivables are primarily from non-customers. Contract assets are mainly from marketing assistance programs and are not significant. Contract liabilities are mainly customer prepayments and accruals of expected volume discounts and are not significant.</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and Other Taxes</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Corporation excludes from the Consolidated Statement of Income certain sales and value-added taxes imposed on and concurrent with revenue-producing transactions with customers and collected on behalf of governmental authorities. Similar taxes, for which the Corporation is not considered to be an agent for the government, are reported on a gross basis (included in both “Sales and other operating revenue” and “Other taxes and duties”).</w:t>
      </w:r>
    </w:p>
    <w:p>
      <w:pPr>
        <w:spacing w:after="0" w:line="44" w:lineRule="exact"/>
        <w:rPr>
          <w:sz w:val="20"/>
          <w:szCs w:val="20"/>
          <w:color w:val="auto"/>
        </w:rPr>
      </w:pPr>
    </w:p>
    <w:p>
      <w:pPr>
        <w:ind w:right="1160"/>
        <w:spacing w:after="0" w:line="414" w:lineRule="auto"/>
        <w:rPr>
          <w:sz w:val="20"/>
          <w:szCs w:val="20"/>
          <w:color w:val="auto"/>
        </w:rPr>
      </w:pPr>
      <w:r>
        <w:rPr>
          <w:rFonts w:ascii="Arial" w:cs="Arial" w:eastAsia="Arial" w:hAnsi="Arial"/>
          <w:sz w:val="18"/>
          <w:szCs w:val="18"/>
          <w:color w:val="auto"/>
        </w:rPr>
        <w:t xml:space="preserve">The Corporation accounts for U.S. tax on global intangible low-taxed income as an income tax expense in the period in which it is incurred. </w:t>
      </w:r>
      <w:r>
        <w:rPr>
          <w:rFonts w:ascii="Arial" w:cs="Arial" w:eastAsia="Arial" w:hAnsi="Arial"/>
          <w:sz w:val="18"/>
          <w:szCs w:val="18"/>
          <w:b w:val="1"/>
          <w:bCs w:val="1"/>
          <w:color w:val="auto"/>
        </w:rPr>
        <w:t>Derivative Instruments</w:t>
      </w:r>
    </w:p>
    <w:p>
      <w:pPr>
        <w:spacing w:after="0" w:line="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Corporation may use derivative instruments for trading purposes and to offset exposures associated with commodity prices, foreign currency exchange rates and interest rates that arise from existing assets, liabilities, firm commitments and forecasted transactions. All derivative instruments, except those designated as normal purchase and normal sale, are recorded at fair value. Derivative assets and liabilities with the same counterparty are netted if the right of offset exists and certain other criteria are met. Collateral payables or receivables are netted against derivative assets and derivative liabilities, respectively.</w:t>
      </w:r>
    </w:p>
    <w:p>
      <w:pPr>
        <w:spacing w:after="0" w:line="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Recognition and classification of the gain or loss that results from adjusting a derivative to fair value depends on the purpose for the derivative. All gains and losses from derivative instruments for which the Corporation does not apply hedge accounting are immediately recognized in earnings. The Corporation may designate derivatives as fair value or cash flow hedges. For fair value hedges, the gain or loss from derivative instruments and the offsetting gain or loss from the hedged item are recognized in earnings. For cash flow hedges, the gain or loss from the derivative instrument is initially reported as a component of other comprehensive income and subsequently reclassified into earnings in the period that the forecasted transaction affects earnings.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Fair value is the price that would be received to sell an asset or paid to transfer a liability in an orderly transaction between market participants. Hierarchy levels 1, 2 and 3 are terms for the priority of inputs to valuation techniques used to measure fair value. Hierarchy level 1 inputs are quoted prices in active markets for identical assets or liabilities. Hierarchy level 2 inputs are inputs other than quoted prices included within level 1 that are directly or indirectly observable for the asset or liability. Hierarchy level 3 inputs are inputs that are not observable in the market.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Crude oil, products and merchandise inventories are carried at the lower of current market value or cost (generally determined under the last-in, first-out method – LIFO). Inventory costs include expenditures and other charges (including depreciation) directly and indirectly incurred in bringing the inventory to its existing condition and location. Selling expenses and general and administrative expenses are reported as period costs and excluded from inventory cost. Inventories of materials and supplies are valued at cost or less.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11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color w:val="auto"/>
        </w:rPr>
        <w:t xml:space="preserve">Cost Basis. </w:t>
      </w:r>
      <w:r>
        <w:rPr>
          <w:rFonts w:ascii="Arial" w:cs="Arial" w:eastAsia="Arial" w:hAnsi="Arial"/>
          <w:sz w:val="16"/>
          <w:szCs w:val="16"/>
          <w:color w:val="auto"/>
        </w:rPr>
        <w:t>The Corporation uses the “successful efforts” method to account for its exploration and production activities. Under this method, costs are</w:t>
      </w:r>
      <w:r>
        <w:rPr>
          <w:rFonts w:ascii="Arial" w:cs="Arial" w:eastAsia="Arial" w:hAnsi="Arial"/>
          <w:sz w:val="16"/>
          <w:szCs w:val="16"/>
          <w:b w:val="1"/>
          <w:bCs w:val="1"/>
          <w:color w:val="auto"/>
        </w:rPr>
        <w:t xml:space="preserve"> </w:t>
      </w:r>
      <w:r>
        <w:rPr>
          <w:rFonts w:ascii="Arial" w:cs="Arial" w:eastAsia="Arial" w:hAnsi="Arial"/>
          <w:sz w:val="16"/>
          <w:szCs w:val="16"/>
          <w:color w:val="auto"/>
        </w:rPr>
        <w:t>accumulated on a field-by-field basis. Costs incurred to purchase, lease, or otherwise acquire a property (whether unproved or proved) are capitalized when incurred. Exploratory well costs are carried as an asset when the well has found a sufficient quantity of reserves to justify its completion as a producing well and where the Corporation is making sufficient progress assessing the reserves and the economic and operating viability of the project. Exploratory well costs not meeting these criteria are charged to expense. Other exploratory expenditures, including geophysical costs and annual lease rentals, are expensed as incurred. Development costs, including costs of productive wells and development dry holes, are capitalized.</w:t>
      </w:r>
    </w:p>
    <w:p>
      <w:pPr>
        <w:spacing w:after="0" w:line="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Depreciation, Depletion and Amortization. </w:t>
      </w:r>
      <w:r>
        <w:rPr>
          <w:rFonts w:ascii="Arial" w:cs="Arial" w:eastAsia="Arial" w:hAnsi="Arial"/>
          <w:sz w:val="18"/>
          <w:szCs w:val="18"/>
          <w:color w:val="auto"/>
        </w:rPr>
        <w:t>Depreciation, depletion and amortization are primarily determined under either the unit-of-production method</w:t>
      </w:r>
      <w:r>
        <w:rPr>
          <w:rFonts w:ascii="Arial" w:cs="Arial" w:eastAsia="Arial" w:hAnsi="Arial"/>
          <w:sz w:val="18"/>
          <w:szCs w:val="18"/>
          <w:b w:val="1"/>
          <w:bCs w:val="1"/>
          <w:color w:val="auto"/>
        </w:rPr>
        <w:t xml:space="preserve"> </w:t>
      </w:r>
      <w:r>
        <w:rPr>
          <w:rFonts w:ascii="Arial" w:cs="Arial" w:eastAsia="Arial" w:hAnsi="Arial"/>
          <w:sz w:val="18"/>
          <w:szCs w:val="18"/>
          <w:color w:val="auto"/>
        </w:rPr>
        <w:t>or the straight-line method, which is based on estimated asset service life taking obsolescence into consideration.</w:t>
      </w:r>
    </w:p>
    <w:p>
      <w:pPr>
        <w:spacing w:after="0" w:line="4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Acquisition costs of proved properties are amortized using a unit-of-production method, computed on the basis of total proved oil and natural gas reserve volumes. Capitalized exploratory drilling and development costs associated with productive depletable extractive properties are amortized using the unit-of-production rates based on the amount of proved developed reserves of oil and gas that are estimated to be recoverable from existing facilities using current operating methods. Under the unit-of-production method, oil and natural gas volumes are considered produced once they have been measured through meters at custody transfer or sales transaction points at the outlet valve on the lease or field storage tank.</w:t>
      </w:r>
    </w:p>
    <w:p>
      <w:pPr>
        <w:spacing w:after="0" w:line="5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the event that the unit-of-production method does not result in an equitable allocation of cost over the economic life of an upstream asset, an alternative method is used. The straight-line method is used in limited situations where the expected life of the asset does not reasonably correlate with that of the underlying reserves. For example, certain assets used in the production of oil and natural gas have a shorter life than the reserves, and as such, the Corporation uses straight-line depreciation to ensure the asset is fully depreciated by the end of its useful life.</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9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the extent that proved reserves for a property are substantially de-booked and that property continues to produce such that the resulting depreciation charge does not result in an equitable allocation of cost over the expected life, assets will be depreciated using a unit-of-production method based on reserves determined at the most recent SEC price which results in a more meaningful quantity of proved reserves, appropriately adjusted for production and technical changes.</w:t>
      </w:r>
    </w:p>
    <w:p>
      <w:pPr>
        <w:spacing w:after="0" w:line="6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Investments in refinery, chemical process, and lubes basestock manufacturing equipment are generally depreciated on a straight-line basis over a 25-year life. Service station buildings and fixed improvements are generally depreciated over a 20-year life. Maintenance and repairs, including planned major maintenance, are expensed as incurred. Major renewals and improvements are capitalized and the assets replaced are retired.</w:t>
      </w:r>
    </w:p>
    <w:p>
      <w:pPr>
        <w:spacing w:after="0" w:line="2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Impairment Assessment. </w:t>
      </w:r>
      <w:r>
        <w:rPr>
          <w:rFonts w:ascii="Arial" w:cs="Arial" w:eastAsia="Arial" w:hAnsi="Arial"/>
          <w:sz w:val="18"/>
          <w:szCs w:val="18"/>
          <w:color w:val="auto"/>
        </w:rPr>
        <w:t>The Corporation tests assets or groups of assets for recoverability on an ongoing basis whenever events or changes in</w:t>
      </w:r>
      <w:r>
        <w:rPr>
          <w:rFonts w:ascii="Arial" w:cs="Arial" w:eastAsia="Arial" w:hAnsi="Arial"/>
          <w:sz w:val="18"/>
          <w:szCs w:val="18"/>
          <w:b w:val="1"/>
          <w:bCs w:val="1"/>
          <w:color w:val="auto"/>
        </w:rPr>
        <w:t xml:space="preserve"> </w:t>
      </w:r>
      <w:r>
        <w:rPr>
          <w:rFonts w:ascii="Arial" w:cs="Arial" w:eastAsia="Arial" w:hAnsi="Arial"/>
          <w:sz w:val="18"/>
          <w:szCs w:val="18"/>
          <w:color w:val="auto"/>
        </w:rPr>
        <w:t>circumstances indicate that the carrying amounts may not be recoverable. Among the events or changes in circumstances which could indicate that the carrying value of an asset or asset group may not be recoverable are the following:</w:t>
      </w:r>
    </w:p>
    <w:p>
      <w:pPr>
        <w:spacing w:after="0" w:line="58"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significant decrease in the market price of a long-lived asset;</w:t>
      </w:r>
    </w:p>
    <w:p>
      <w:pPr>
        <w:spacing w:after="0" w:line="23"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significant adverse change in the extent or manner in which an asset is being used or in its physical condition including a significant decrease in current and projected reserve volumes;</w:t>
      </w:r>
    </w:p>
    <w:p>
      <w:pPr>
        <w:ind w:left="660" w:hanging="328"/>
        <w:spacing w:after="0" w:line="250"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significant adverse change in legal factors or in the business climate that could affect the value, including an adverse action or assessment by a regulator;</w:t>
      </w: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accumulation of project costs significantly in excess of the amount originally expected;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current-period operating loss combined with a history and forecast of operating or cash flow losses; and</w:t>
      </w:r>
    </w:p>
    <w:p>
      <w:pPr>
        <w:spacing w:after="0" w:line="9" w:lineRule="exact"/>
        <w:rPr>
          <w:rFonts w:ascii="Arial" w:cs="Arial" w:eastAsia="Arial" w:hAnsi="Arial"/>
          <w:sz w:val="18"/>
          <w:szCs w:val="18"/>
          <w:color w:val="auto"/>
        </w:rPr>
      </w:pPr>
    </w:p>
    <w:p>
      <w:pPr>
        <w:ind w:left="660" w:hanging="328"/>
        <w:spacing w:after="0" w:line="260"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current expectation that, more likely than not, a long-lived asset will be sold or otherwise disposed of significantly before the end of its previously estimated useful life.</w:t>
      </w:r>
    </w:p>
    <w:p>
      <w:pPr>
        <w:spacing w:after="0" w:line="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Corporation has a robust process to monitor for indicators of potential impairment across its asset groups throughout the year. This process is aligned with the requirements of ASC 360 and ASC 932, and relies in part on the Corporation’s planning and budgeting cycle. Asset valuation analysis, profitability reviews and other periodic control processes assist the Corporation in assessing whether events or changes in circumstances indicate the carrying amounts of any of its assets may not be recoverable.</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Because the lifespans of the vast majority of the Corporation’s major assets are measured in decades, the future cash flows of these assets are predominantly based on long-term oil and natural gas commodity prices, industry margins, and development and production costs. Significant reductions in the Corporation’s view of oil or natural gas commodity prices or margin ranges, especially the longer-term prices and margins, and changes in the development plans, including decisions to defer, reduce, or eliminate planned capital spending, can be an indicator of potential impairment. Other events or changes in circumstances, can be indicators of potential impairment as well.</w:t>
      </w:r>
    </w:p>
    <w:p>
      <w:pPr>
        <w:spacing w:after="0" w:line="5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general, the Corporation does not view temporarily low prices or margins as an indication of impairment. Management believes that prices over the long term must be sufficient to generate investments in energy supply to meet global demand. Although prices will occasionally drop significantly, industry prices over the long term will continue to be driven by market supply and demand fundamentals. On the supply side, industry production from mature fields is declining. This is being offset by investments to generate production from new discoveries, field developments and technology, and efficiency advancements. OPEC investment activities and production policies also have an impact on world oil supplies. The demand side is largely a function of general economic activities, alternative energy sources and levels of prosperity. During the lifespan of its major assets, the Corporation expects that oil and gas prices and industry margins will experience significant volatility, and consequently these assets will experience periods of higher earnings and periods of lower earnings, or even losses. In assessing whether events or changes in circumstances indicate the carrying value of an asset may not be recoverable, the Corporation considers recent periods of operating losses in the context of its longer-term view of prices and margins.</w:t>
      </w:r>
    </w:p>
    <w:p>
      <w:pPr>
        <w:spacing w:after="0" w:line="4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Upstream, the standardized measure of discounted cash flows included in the Supplemental Information on Oil and Gas Exploration and Production Activities is required to use prices based on the average of first-of-month prices in the year. These prices represent discrete points in time and could be higher or lower than the Corporation’s price assumptions which are used for impairment assessments. The Corporation believes the standardized measure does not provide a reliable estimate of the expected future cash flows to be obtained from the development and production of its oil and gas properties or of the value of its oil and gas reserves and therefore does not consider it relevant in determining whether events or changes in circumstances indicate the need for an impairment assessment.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4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 xml:space="preserve">Energy Outlook and Cash Flow Assessment. </w:t>
      </w:r>
      <w:r>
        <w:rPr>
          <w:rFonts w:ascii="Arial" w:cs="Arial" w:eastAsia="Arial" w:hAnsi="Arial"/>
          <w:sz w:val="18"/>
          <w:szCs w:val="18"/>
          <w:color w:val="auto"/>
        </w:rPr>
        <w:t>The annual planning and budgeting process, known as the Corporate Plan, is the mechanism by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resources (capital, operating expenses, and people) are allocated across the Corporation. The foundation for the assumptions supporting the Corporate Plan is the Energy Outlook, which contains the Corporation’s demand and supply projections based on its assessment of current trends in technology, government policies, consumer preferences, geopolitics, and economic development. Reflective of the existing global policy environment, the Energy Outlook does not project the degree of required future policy and technology advancement and deployment for the world, or the Corporation, to meet net-zero by 2050. As future policies and technology advancements emerge, they will be incorporated into the Energy Outlook, and the Corporation’s business plans will be updated accordingly.</w:t>
      </w:r>
    </w:p>
    <w:p>
      <w:pPr>
        <w:spacing w:after="0" w:line="7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If events or changes in circumstances indicate that the carrying value of an asset may not be recoverable, the Corporation estimates the future undiscounted cash flows of the affected properties to judge the recoverability of carrying amounts. In performing this assessment, assets are grouped at the lowest level for which there are identifiable cash flows that are largely independent of the cash flows of other groups of assets. Cash flows used in recoverability assessments are based on assumptions which are developed in the Corporate Plan, which is reviewed and approved by the Board of Directors, and are consistent with the criteria management uses to evaluate investment opportunities. These evaluations make use of the Corporation’s assumptions of future capital allocations, crude oil and natural gas commodity prices including price differentials, refining and chemical margins, volumes, development and operating costs including greenhouse gas emission prices, and foreign currency exchange rates. Volumes are based on projected field and facility production profiles, throughput, or sales. Management’s estimate of upstream production volumes used for projected cash flows makes use of proved reserve quantities and may include risk-adjusted unproved reserve quantities. The greenhouse gas emission prices reflect existing or anticipated policy actions that countries or localities may take in support of Paris Accord pledges. Cash flow estimates for impairment testing exclude the effects of derivative instruments.</w:t>
      </w:r>
    </w:p>
    <w:p>
      <w:pPr>
        <w:spacing w:after="0" w:line="4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 xml:space="preserve">Fair value of Impaired Assets. </w:t>
      </w:r>
      <w:r>
        <w:rPr>
          <w:rFonts w:ascii="Arial" w:cs="Arial" w:eastAsia="Arial" w:hAnsi="Arial"/>
          <w:sz w:val="17"/>
          <w:szCs w:val="17"/>
          <w:color w:val="auto"/>
        </w:rPr>
        <w:t>An asset group is impaired if its estimated undiscounted cash flows are less than the asset group's carrying value.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Impairments are measured by the amount by which the carrying value exceeds fair value. The assessment of fair value is based upon the views of a likely market participant. The principal parameters used to establish fair value include estimates of acreage values and flowing production metrics from comparable market transactions, market-based estimates of historical cash flow multiples, and discounted cash flows. Inputs and assumptions used in discounted cash flow models include estimates of future production volumes, throughput and product sales volumes, commodity prices which are consistent with the average of third-party industry experts and government agencies, refining and chemical margins, drilling and development costs, operating costs and discount rates which are reflective of the characteristics of the asset group.</w:t>
      </w:r>
    </w:p>
    <w:p>
      <w:pPr>
        <w:spacing w:after="0" w:line="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Other Impairments Related to Property, Plant and Equipment. </w:t>
      </w:r>
      <w:r>
        <w:rPr>
          <w:rFonts w:ascii="Arial" w:cs="Arial" w:eastAsia="Arial" w:hAnsi="Arial"/>
          <w:sz w:val="18"/>
          <w:szCs w:val="18"/>
          <w:color w:val="auto"/>
        </w:rPr>
        <w:t>Unproved properties are assessed periodically to determine whether they have been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impaired. Significant unproved properties are assessed for impairment individually, and valuation allowances against the capitalized costs are recorded based on the Corporation's future development plans, the estimated economic chance of success and the length of time that the Corporation expects to hold the properties. Properties that are not individually significant are aggregated by groups and amortized based on development risk and average holding period.</w:t>
      </w:r>
    </w:p>
    <w:p>
      <w:pPr>
        <w:spacing w:after="0" w:line="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Long-lived assets that are held for sale are evaluated for possible impairment by comparing the carrying value of the asset with its fair value less the cost to sell. If the net book value exceeds the fair value less cost to sell, the assets are considered impaired and adjusted to the lower value. Gains on sales of proved and unproved properties are only recognized when there is neither uncertainty about the recovery of costs applicable to any interest retained nor any substantial obligation for future performance by the Corporation.</w:t>
      </w:r>
    </w:p>
    <w:p>
      <w:pPr>
        <w:spacing w:after="0" w:line="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costs incurred to finance expenditures during the construction phase of multiyear projects are capitalized as part of the historical cost of acquiring the constructed assets. The project construction phase commences with the development of the detailed engineering design and ends when the constructed assets are ready for their intended use. Capitalized interest costs are included in property, plant and equipment and are depreciated over the service life of the related assets.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Liabilities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Liabilities for environmental costs are recorded when it is probable that obligations have been incurred and the amounts can be reasonably estimated. These liabilities are not reduced by possible recoveries from third parties, and projected cash expenditures are not discounted.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Corporation selects the functional reporting currency for its international subsidiaries based on the currency of the primary economic environment in which each subsidiary operates. Downstream and Chemical operations primarily use the local currency. However, the U.S. dollar is used in countries with a history of high inflation (primarily in Latin America) and Singapore, which predominantly sells into the U.S. dollar export market. Upstream operations which are relatively self-contained and integrated within a particular country, such as in Canada and Europe, use the local currency. Some Upstream operations, primarily in Asia and Africa, use the U.S. dollar because they predominantly sell crude and natural gas production into U.S. dollar-denominated markets.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For all operations, gains or losses from remeasuring foreign currency transactions into the functional currency are included in income.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Restructuring Activities</w:t>
      </w:r>
    </w:p>
    <w:p>
      <w:pPr>
        <w:spacing w:after="0" w:line="10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2020, ExxonMobil conducted an extensive global review of staffing levels and subsequently commenced targeted workforce reductions within a number of countries to improve efficiency and reduce costs. The programs were completed by the end of 2021 and included both voluntary and involuntary employee separations as well as reductions in contractors.</w:t>
      </w:r>
    </w:p>
    <w:p>
      <w:pPr>
        <w:spacing w:after="0" w:line="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2021, the Corporation recorded before-tax charges of $58 million, consisting primarily of employee separation costs, associated with announced workforce reduction programs in Singapore and Europe. These costs are captured in “Selling, general and administrative expenses” on the Consolidated Statement of Income and reported within Corporate and Financing. The Corporation does not expect any further charges related to the previously disclosed workforce reduction programs.</w:t>
      </w:r>
    </w:p>
    <w:p>
      <w:pPr>
        <w:spacing w:after="0" w:line="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 summarizes the reserves and charges related to the workforce reduction programs announced in late 2020 and early 2021. These are recorded in “Accounts payable and accrued liabilities” on the Consolidated Balance Sheet and do not include charges related to employee reductions associated with any portfolio changes or other projects.</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80" w:type="dxa"/>
            <w:vAlign w:val="bottom"/>
            <w:gridSpan w:val="2"/>
          </w:tcPr>
          <w:p>
            <w:pPr>
              <w:ind w:left="8180"/>
              <w:spacing w:after="0"/>
              <w:rPr>
                <w:sz w:val="20"/>
                <w:szCs w:val="20"/>
                <w:color w:val="auto"/>
              </w:rPr>
            </w:pPr>
            <w:r>
              <w:rPr>
                <w:rFonts w:ascii="Arial" w:cs="Arial" w:eastAsia="Arial" w:hAnsi="Arial"/>
                <w:sz w:val="14"/>
                <w:szCs w:val="14"/>
                <w:b w:val="1"/>
                <w:bCs w:val="1"/>
                <w:color w:val="auto"/>
              </w:rPr>
              <w:t>2021</w:t>
            </w: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00" w:type="dxa"/>
            <w:vAlign w:val="bottom"/>
          </w:tcPr>
          <w:p>
            <w:pPr>
              <w:jc w:val="right"/>
              <w:ind w:right="614"/>
              <w:spacing w:after="0"/>
              <w:rPr>
                <w:sz w:val="20"/>
                <w:szCs w:val="20"/>
                <w:color w:val="auto"/>
              </w:rPr>
            </w:pPr>
            <w:r>
              <w:rPr>
                <w:rFonts w:ascii="Arial" w:cs="Arial" w:eastAsia="Arial" w:hAnsi="Arial"/>
                <w:sz w:val="14"/>
                <w:szCs w:val="14"/>
                <w:b w:val="1"/>
                <w:bCs w:val="1"/>
                <w:color w:val="auto"/>
              </w:rPr>
              <w:t>2020</w:t>
            </w:r>
          </w:p>
        </w:tc>
      </w:tr>
      <w:tr>
        <w:trPr>
          <w:trHeight w:val="39"/>
        </w:trPr>
        <w:tc>
          <w:tcPr>
            <w:tcW w:w="74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3"/>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84"/>
        </w:trPr>
        <w:tc>
          <w:tcPr>
            <w:tcW w:w="74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380" w:type="dxa"/>
            <w:vAlign w:val="bottom"/>
            <w:gridSpan w:val="3"/>
          </w:tcPr>
          <w:p>
            <w:pPr>
              <w:ind w:left="120"/>
              <w:spacing w:after="0"/>
              <w:rPr>
                <w:sz w:val="20"/>
                <w:szCs w:val="20"/>
                <w:color w:val="auto"/>
              </w:rPr>
            </w:pPr>
            <w:r>
              <w:rPr>
                <w:rFonts w:ascii="Arial" w:cs="Arial" w:eastAsia="Arial" w:hAnsi="Arial"/>
                <w:sz w:val="14"/>
                <w:szCs w:val="14"/>
                <w:i w:val="1"/>
                <w:iCs w:val="1"/>
                <w:color w:val="auto"/>
              </w:rPr>
              <w:t>(millions of dollars)</w:t>
            </w:r>
          </w:p>
        </w:tc>
        <w:tc>
          <w:tcPr>
            <w:tcW w:w="1100" w:type="dxa"/>
            <w:vAlign w:val="bottom"/>
          </w:tcPr>
          <w:p>
            <w:pPr>
              <w:spacing w:after="0"/>
              <w:rPr>
                <w:sz w:val="16"/>
                <w:szCs w:val="16"/>
                <w:color w:val="auto"/>
              </w:rPr>
            </w:pPr>
          </w:p>
        </w:tc>
      </w:tr>
      <w:tr>
        <w:trPr>
          <w:trHeight w:val="268"/>
        </w:trPr>
        <w:tc>
          <w:tcPr>
            <w:tcW w:w="8580" w:type="dxa"/>
            <w:vAlign w:val="bottom"/>
            <w:gridSpan w:val="2"/>
          </w:tcPr>
          <w:p>
            <w:pPr>
              <w:ind w:left="20"/>
              <w:spacing w:after="0"/>
              <w:rPr>
                <w:sz w:val="20"/>
                <w:szCs w:val="20"/>
                <w:color w:val="auto"/>
              </w:rPr>
            </w:pPr>
            <w:r>
              <w:rPr>
                <w:rFonts w:ascii="Arial" w:cs="Arial" w:eastAsia="Arial" w:hAnsi="Arial"/>
                <w:sz w:val="18"/>
                <w:szCs w:val="18"/>
                <w:color w:val="auto"/>
              </w:rPr>
              <w:t>Beginning Balance</w:t>
            </w:r>
          </w:p>
        </w:tc>
        <w:tc>
          <w:tcPr>
            <w:tcW w:w="580" w:type="dxa"/>
            <w:vAlign w:val="bottom"/>
          </w:tcPr>
          <w:p>
            <w:pPr>
              <w:jc w:val="right"/>
              <w:spacing w:after="0"/>
              <w:rPr>
                <w:sz w:val="20"/>
                <w:szCs w:val="20"/>
                <w:color w:val="auto"/>
              </w:rPr>
            </w:pPr>
            <w:r>
              <w:rPr>
                <w:rFonts w:ascii="Arial" w:cs="Arial" w:eastAsia="Arial" w:hAnsi="Arial"/>
                <w:sz w:val="18"/>
                <w:szCs w:val="18"/>
                <w:color w:val="auto"/>
              </w:rPr>
              <w:t>403</w:t>
            </w:r>
          </w:p>
        </w:tc>
        <w:tc>
          <w:tcPr>
            <w:tcW w:w="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580" w:type="dxa"/>
            <w:vAlign w:val="bottom"/>
            <w:gridSpan w:val="2"/>
          </w:tcPr>
          <w:p>
            <w:pPr>
              <w:ind w:left="220"/>
              <w:spacing w:after="0"/>
              <w:rPr>
                <w:sz w:val="20"/>
                <w:szCs w:val="20"/>
                <w:color w:val="auto"/>
              </w:rPr>
            </w:pPr>
            <w:r>
              <w:rPr>
                <w:rFonts w:ascii="Arial" w:cs="Arial" w:eastAsia="Arial" w:hAnsi="Arial"/>
                <w:sz w:val="18"/>
                <w:szCs w:val="18"/>
                <w:color w:val="auto"/>
              </w:rPr>
              <w:t>Additions/adjustments</w:t>
            </w:r>
          </w:p>
        </w:tc>
        <w:tc>
          <w:tcPr>
            <w:tcW w:w="580" w:type="dxa"/>
            <w:vAlign w:val="bottom"/>
          </w:tcPr>
          <w:p>
            <w:pPr>
              <w:jc w:val="right"/>
              <w:spacing w:after="0"/>
              <w:rPr>
                <w:sz w:val="20"/>
                <w:szCs w:val="20"/>
                <w:color w:val="auto"/>
              </w:rPr>
            </w:pPr>
            <w:r>
              <w:rPr>
                <w:rFonts w:ascii="Arial" w:cs="Arial" w:eastAsia="Arial" w:hAnsi="Arial"/>
                <w:sz w:val="18"/>
                <w:szCs w:val="18"/>
                <w:color w:val="auto"/>
              </w:rPr>
              <w:t>58</w:t>
            </w: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450</w:t>
            </w:r>
          </w:p>
        </w:tc>
      </w:tr>
      <w:tr>
        <w:trPr>
          <w:trHeight w:val="230"/>
        </w:trPr>
        <w:tc>
          <w:tcPr>
            <w:tcW w:w="8580" w:type="dxa"/>
            <w:vAlign w:val="bottom"/>
            <w:gridSpan w:val="2"/>
          </w:tcPr>
          <w:p>
            <w:pPr>
              <w:ind w:left="220"/>
              <w:spacing w:after="0"/>
              <w:rPr>
                <w:sz w:val="20"/>
                <w:szCs w:val="20"/>
                <w:color w:val="auto"/>
              </w:rPr>
            </w:pPr>
            <w:r>
              <w:rPr>
                <w:rFonts w:ascii="Arial" w:cs="Arial" w:eastAsia="Arial" w:hAnsi="Arial"/>
                <w:sz w:val="18"/>
                <w:szCs w:val="18"/>
                <w:color w:val="auto"/>
              </w:rPr>
              <w:t>Payments made</w:t>
            </w:r>
          </w:p>
        </w:tc>
        <w:tc>
          <w:tcPr>
            <w:tcW w:w="580" w:type="dxa"/>
            <w:vAlign w:val="bottom"/>
          </w:tcPr>
          <w:p>
            <w:pPr>
              <w:jc w:val="right"/>
              <w:spacing w:after="0"/>
              <w:rPr>
                <w:sz w:val="20"/>
                <w:szCs w:val="20"/>
                <w:color w:val="auto"/>
              </w:rPr>
            </w:pPr>
            <w:r>
              <w:rPr>
                <w:rFonts w:ascii="Arial" w:cs="Arial" w:eastAsia="Arial" w:hAnsi="Arial"/>
                <w:sz w:val="18"/>
                <w:szCs w:val="18"/>
                <w:color w:val="auto"/>
              </w:rPr>
              <w:t>(384)</w:t>
            </w: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23"/>
        </w:trPr>
        <w:tc>
          <w:tcPr>
            <w:tcW w:w="748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1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220" w:type="dxa"/>
            <w:vAlign w:val="bottom"/>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403</w:t>
            </w:r>
          </w:p>
        </w:tc>
      </w:tr>
    </w:tbl>
    <w:p>
      <w:pPr>
        <w:spacing w:after="0" w:line="200" w:lineRule="exact"/>
        <w:rPr>
          <w:sz w:val="20"/>
          <w:szCs w:val="20"/>
          <w:color w:val="auto"/>
        </w:rPr>
      </w:pPr>
    </w:p>
    <w:p>
      <w:pPr>
        <w:spacing w:after="0" w:line="38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cash outflows associated with the remaining liability balance of $77 million at December 31, 2021 will occur over the next few years, mainly in the form of monthly payments.</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Miscellaneous Financial Information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expenses totaled $843 million in 2021, $1,016 million in 2020, and $1,214 million in 2019.</w:t>
      </w:r>
    </w:p>
    <w:p>
      <w:pPr>
        <w:spacing w:after="0" w:line="9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Net income included before-tax aggregate foreign exchange transaction losses of $18 million, $24 million and $104 million in 2021, 2020 and 2019, respectively.</w:t>
      </w:r>
    </w:p>
    <w:p>
      <w:pPr>
        <w:spacing w:after="0" w:line="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2021, 2020, and 2019, net income included gains of $54 million, $41 million, and $523 million, respectively, attributable to the combined effects of LIFO inventory accumulations and drawdowns. The aggregate replacement cost of inventories was estimated to exceed their LIFO carrying values by $14.0 billion and $5.4 billion at December 31, 2021, and 2020,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Crude oil, products and merchandise as of year-end 2021 and 2020 consist of the following:</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00" w:type="dxa"/>
            <w:vAlign w:val="bottom"/>
          </w:tcPr>
          <w:p>
            <w:pPr>
              <w:spacing w:after="0"/>
              <w:rPr>
                <w:sz w:val="16"/>
                <w:szCs w:val="16"/>
                <w:color w:val="auto"/>
              </w:rPr>
            </w:pPr>
          </w:p>
        </w:tc>
        <w:tc>
          <w:tcPr>
            <w:tcW w:w="1540" w:type="dxa"/>
            <w:vAlign w:val="bottom"/>
          </w:tcPr>
          <w:p>
            <w:pPr>
              <w:jc w:val="right"/>
              <w:ind w:right="375"/>
              <w:spacing w:after="0"/>
              <w:rPr>
                <w:sz w:val="20"/>
                <w:szCs w:val="20"/>
                <w:color w:val="auto"/>
              </w:rPr>
            </w:pPr>
            <w:r>
              <w:rPr>
                <w:rFonts w:ascii="Arial" w:cs="Arial" w:eastAsia="Arial" w:hAnsi="Arial"/>
                <w:sz w:val="14"/>
                <w:szCs w:val="14"/>
                <w:b w:val="1"/>
                <w:bCs w:val="1"/>
                <w:color w:val="auto"/>
              </w:rPr>
              <w:t>Dec 31, 2021</w:t>
            </w:r>
          </w:p>
        </w:tc>
        <w:tc>
          <w:tcPr>
            <w:tcW w:w="1300" w:type="dxa"/>
            <w:vAlign w:val="bottom"/>
          </w:tcPr>
          <w:p>
            <w:pPr>
              <w:jc w:val="right"/>
              <w:ind w:right="213"/>
              <w:spacing w:after="0"/>
              <w:rPr>
                <w:sz w:val="20"/>
                <w:szCs w:val="20"/>
                <w:color w:val="auto"/>
              </w:rPr>
            </w:pPr>
            <w:r>
              <w:rPr>
                <w:rFonts w:ascii="Arial" w:cs="Arial" w:eastAsia="Arial" w:hAnsi="Arial"/>
                <w:sz w:val="14"/>
                <w:szCs w:val="14"/>
                <w:b w:val="1"/>
                <w:bCs w:val="1"/>
                <w:color w:val="auto"/>
              </w:rPr>
              <w:t>Dec 31, 2020</w:t>
            </w:r>
          </w:p>
        </w:tc>
      </w:tr>
      <w:tr>
        <w:trPr>
          <w:trHeight w:val="39"/>
        </w:trPr>
        <w:tc>
          <w:tcPr>
            <w:tcW w:w="8400" w:type="dxa"/>
            <w:vAlign w:val="bottom"/>
            <w:tcBorders>
              <w:bottom w:val="single" w:sz="8" w:color="auto"/>
            </w:tcBorders>
          </w:tcPr>
          <w:p>
            <w:pPr>
              <w:spacing w:after="0"/>
              <w:rPr>
                <w:sz w:val="3"/>
                <w:szCs w:val="3"/>
                <w:color w:val="auto"/>
              </w:rPr>
            </w:pPr>
          </w:p>
        </w:tc>
        <w:tc>
          <w:tcPr>
            <w:tcW w:w="2840" w:type="dxa"/>
            <w:vAlign w:val="bottom"/>
            <w:tcBorders>
              <w:bottom w:val="single" w:sz="8" w:color="auto"/>
            </w:tcBorders>
            <w:gridSpan w:val="2"/>
          </w:tcPr>
          <w:p>
            <w:pPr>
              <w:spacing w:after="0"/>
              <w:rPr>
                <w:sz w:val="3"/>
                <w:szCs w:val="3"/>
                <w:color w:val="auto"/>
              </w:rPr>
            </w:pPr>
          </w:p>
        </w:tc>
      </w:tr>
      <w:tr>
        <w:trPr>
          <w:trHeight w:val="184"/>
        </w:trPr>
        <w:tc>
          <w:tcPr>
            <w:tcW w:w="8400" w:type="dxa"/>
            <w:vAlign w:val="bottom"/>
          </w:tcPr>
          <w:p>
            <w:pPr>
              <w:spacing w:after="0"/>
              <w:rPr>
                <w:sz w:val="16"/>
                <w:szCs w:val="16"/>
                <w:color w:val="auto"/>
              </w:rPr>
            </w:pPr>
          </w:p>
        </w:tc>
        <w:tc>
          <w:tcPr>
            <w:tcW w:w="2840" w:type="dxa"/>
            <w:vAlign w:val="bottom"/>
            <w:gridSpan w:val="2"/>
          </w:tcPr>
          <w:p>
            <w:pPr>
              <w:jc w:val="right"/>
              <w:ind w:right="753"/>
              <w:spacing w:after="0"/>
              <w:rPr>
                <w:sz w:val="20"/>
                <w:szCs w:val="20"/>
                <w:color w:val="auto"/>
              </w:rPr>
            </w:pPr>
            <w:r>
              <w:rPr>
                <w:rFonts w:ascii="Arial" w:cs="Arial" w:eastAsia="Arial" w:hAnsi="Arial"/>
                <w:sz w:val="14"/>
                <w:szCs w:val="14"/>
                <w:i w:val="1"/>
                <w:iCs w:val="1"/>
                <w:color w:val="auto"/>
              </w:rPr>
              <w:t>(millions of dollars)</w:t>
            </w:r>
          </w:p>
        </w:tc>
      </w:tr>
      <w:tr>
        <w:trPr>
          <w:trHeight w:val="268"/>
        </w:trPr>
        <w:tc>
          <w:tcPr>
            <w:tcW w:w="8400" w:type="dxa"/>
            <w:vAlign w:val="bottom"/>
          </w:tcPr>
          <w:p>
            <w:pPr>
              <w:ind w:left="20"/>
              <w:spacing w:after="0"/>
              <w:rPr>
                <w:sz w:val="20"/>
                <w:szCs w:val="20"/>
                <w:color w:val="auto"/>
              </w:rPr>
            </w:pPr>
            <w:r>
              <w:rPr>
                <w:rFonts w:ascii="Arial" w:cs="Arial" w:eastAsia="Arial" w:hAnsi="Arial"/>
                <w:sz w:val="18"/>
                <w:szCs w:val="18"/>
                <w:color w:val="auto"/>
              </w:rPr>
              <w:t>Crude oil</w:t>
            </w:r>
          </w:p>
        </w:tc>
        <w:tc>
          <w:tcPr>
            <w:tcW w:w="1540" w:type="dxa"/>
            <w:vAlign w:val="bottom"/>
          </w:tcPr>
          <w:p>
            <w:pPr>
              <w:jc w:val="right"/>
              <w:ind w:right="155"/>
              <w:spacing w:after="0"/>
              <w:rPr>
                <w:sz w:val="20"/>
                <w:szCs w:val="20"/>
                <w:color w:val="auto"/>
              </w:rPr>
            </w:pPr>
            <w:r>
              <w:rPr>
                <w:rFonts w:ascii="Arial" w:cs="Arial" w:eastAsia="Arial" w:hAnsi="Arial"/>
                <w:sz w:val="18"/>
                <w:szCs w:val="18"/>
                <w:color w:val="auto"/>
              </w:rPr>
              <w:t>4,162</w:t>
            </w:r>
          </w:p>
        </w:tc>
        <w:tc>
          <w:tcPr>
            <w:tcW w:w="1300" w:type="dxa"/>
            <w:vAlign w:val="bottom"/>
          </w:tcPr>
          <w:p>
            <w:pPr>
              <w:jc w:val="right"/>
              <w:spacing w:after="0"/>
              <w:rPr>
                <w:sz w:val="20"/>
                <w:szCs w:val="20"/>
                <w:color w:val="auto"/>
              </w:rPr>
            </w:pPr>
            <w:r>
              <w:rPr>
                <w:rFonts w:ascii="Arial" w:cs="Arial" w:eastAsia="Arial" w:hAnsi="Arial"/>
                <w:sz w:val="18"/>
                <w:szCs w:val="18"/>
                <w:color w:val="auto"/>
              </w:rPr>
              <w:t>5,354</w:t>
            </w:r>
          </w:p>
        </w:tc>
      </w:tr>
      <w:tr>
        <w:trPr>
          <w:trHeight w:val="229"/>
        </w:trPr>
        <w:tc>
          <w:tcPr>
            <w:tcW w:w="8400" w:type="dxa"/>
            <w:vAlign w:val="bottom"/>
          </w:tcPr>
          <w:p>
            <w:pPr>
              <w:ind w:left="20"/>
              <w:spacing w:after="0"/>
              <w:rPr>
                <w:sz w:val="20"/>
                <w:szCs w:val="20"/>
                <w:color w:val="auto"/>
              </w:rPr>
            </w:pPr>
            <w:r>
              <w:rPr>
                <w:rFonts w:ascii="Arial" w:cs="Arial" w:eastAsia="Arial" w:hAnsi="Arial"/>
                <w:sz w:val="18"/>
                <w:szCs w:val="18"/>
                <w:color w:val="auto"/>
              </w:rPr>
              <w:t>Petroleum products</w:t>
            </w:r>
          </w:p>
        </w:tc>
        <w:tc>
          <w:tcPr>
            <w:tcW w:w="1540" w:type="dxa"/>
            <w:vAlign w:val="bottom"/>
          </w:tcPr>
          <w:p>
            <w:pPr>
              <w:jc w:val="right"/>
              <w:ind w:right="155"/>
              <w:spacing w:after="0"/>
              <w:rPr>
                <w:sz w:val="20"/>
                <w:szCs w:val="20"/>
                <w:color w:val="auto"/>
              </w:rPr>
            </w:pPr>
            <w:r>
              <w:rPr>
                <w:rFonts w:ascii="Arial" w:cs="Arial" w:eastAsia="Arial" w:hAnsi="Arial"/>
                <w:sz w:val="18"/>
                <w:szCs w:val="18"/>
                <w:color w:val="auto"/>
              </w:rPr>
              <w:t>5,081</w:t>
            </w:r>
          </w:p>
        </w:tc>
        <w:tc>
          <w:tcPr>
            <w:tcW w:w="1300" w:type="dxa"/>
            <w:vAlign w:val="bottom"/>
          </w:tcPr>
          <w:p>
            <w:pPr>
              <w:jc w:val="right"/>
              <w:spacing w:after="0"/>
              <w:rPr>
                <w:sz w:val="20"/>
                <w:szCs w:val="20"/>
                <w:color w:val="auto"/>
              </w:rPr>
            </w:pPr>
            <w:r>
              <w:rPr>
                <w:rFonts w:ascii="Arial" w:cs="Arial" w:eastAsia="Arial" w:hAnsi="Arial"/>
                <w:sz w:val="18"/>
                <w:szCs w:val="18"/>
                <w:color w:val="auto"/>
              </w:rPr>
              <w:t>5,138</w:t>
            </w:r>
          </w:p>
        </w:tc>
      </w:tr>
      <w:tr>
        <w:trPr>
          <w:trHeight w:val="230"/>
        </w:trPr>
        <w:tc>
          <w:tcPr>
            <w:tcW w:w="8400" w:type="dxa"/>
            <w:vAlign w:val="bottom"/>
          </w:tcPr>
          <w:p>
            <w:pPr>
              <w:ind w:left="20"/>
              <w:spacing w:after="0"/>
              <w:rPr>
                <w:sz w:val="20"/>
                <w:szCs w:val="20"/>
                <w:color w:val="auto"/>
              </w:rPr>
            </w:pPr>
            <w:r>
              <w:rPr>
                <w:rFonts w:ascii="Arial" w:cs="Arial" w:eastAsia="Arial" w:hAnsi="Arial"/>
                <w:sz w:val="18"/>
                <w:szCs w:val="18"/>
                <w:color w:val="auto"/>
              </w:rPr>
              <w:t>Chemical products</w:t>
            </w:r>
          </w:p>
        </w:tc>
        <w:tc>
          <w:tcPr>
            <w:tcW w:w="1540" w:type="dxa"/>
            <w:vAlign w:val="bottom"/>
          </w:tcPr>
          <w:p>
            <w:pPr>
              <w:jc w:val="right"/>
              <w:ind w:right="155"/>
              <w:spacing w:after="0"/>
              <w:rPr>
                <w:sz w:val="20"/>
                <w:szCs w:val="20"/>
                <w:color w:val="auto"/>
              </w:rPr>
            </w:pPr>
            <w:r>
              <w:rPr>
                <w:rFonts w:ascii="Arial" w:cs="Arial" w:eastAsia="Arial" w:hAnsi="Arial"/>
                <w:sz w:val="18"/>
                <w:szCs w:val="18"/>
                <w:color w:val="auto"/>
              </w:rPr>
              <w:t>3,354</w:t>
            </w:r>
          </w:p>
        </w:tc>
        <w:tc>
          <w:tcPr>
            <w:tcW w:w="1300" w:type="dxa"/>
            <w:vAlign w:val="bottom"/>
          </w:tcPr>
          <w:p>
            <w:pPr>
              <w:jc w:val="right"/>
              <w:spacing w:after="0"/>
              <w:rPr>
                <w:sz w:val="20"/>
                <w:szCs w:val="20"/>
                <w:color w:val="auto"/>
              </w:rPr>
            </w:pPr>
            <w:r>
              <w:rPr>
                <w:rFonts w:ascii="Arial" w:cs="Arial" w:eastAsia="Arial" w:hAnsi="Arial"/>
                <w:sz w:val="18"/>
                <w:szCs w:val="18"/>
                <w:color w:val="auto"/>
              </w:rPr>
              <w:t>3,023</w:t>
            </w:r>
          </w:p>
        </w:tc>
      </w:tr>
      <w:tr>
        <w:trPr>
          <w:trHeight w:val="230"/>
        </w:trPr>
        <w:tc>
          <w:tcPr>
            <w:tcW w:w="8400" w:type="dxa"/>
            <w:vAlign w:val="bottom"/>
          </w:tcPr>
          <w:p>
            <w:pPr>
              <w:ind w:left="20"/>
              <w:spacing w:after="0"/>
              <w:rPr>
                <w:sz w:val="20"/>
                <w:szCs w:val="20"/>
                <w:color w:val="auto"/>
              </w:rPr>
            </w:pPr>
            <w:r>
              <w:rPr>
                <w:rFonts w:ascii="Arial" w:cs="Arial" w:eastAsia="Arial" w:hAnsi="Arial"/>
                <w:sz w:val="18"/>
                <w:szCs w:val="18"/>
                <w:color w:val="auto"/>
              </w:rPr>
              <w:t>Gas/other</w:t>
            </w:r>
          </w:p>
        </w:tc>
        <w:tc>
          <w:tcPr>
            <w:tcW w:w="154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1,922</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w:t>
            </w:r>
          </w:p>
        </w:tc>
      </w:tr>
      <w:tr>
        <w:trPr>
          <w:trHeight w:val="223"/>
        </w:trPr>
        <w:tc>
          <w:tcPr>
            <w:tcW w:w="8400" w:type="dxa"/>
            <w:vAlign w:val="bottom"/>
          </w:tcPr>
          <w:p>
            <w:pPr>
              <w:ind w:left="560"/>
              <w:spacing w:after="0"/>
              <w:rPr>
                <w:sz w:val="20"/>
                <w:szCs w:val="20"/>
                <w:color w:val="auto"/>
              </w:rPr>
            </w:pPr>
            <w:r>
              <w:rPr>
                <w:rFonts w:ascii="Arial" w:cs="Arial" w:eastAsia="Arial" w:hAnsi="Arial"/>
                <w:sz w:val="18"/>
                <w:szCs w:val="18"/>
                <w:color w:val="auto"/>
              </w:rPr>
              <w:t>Total</w:t>
            </w:r>
          </w:p>
        </w:tc>
        <w:tc>
          <w:tcPr>
            <w:tcW w:w="154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14,519</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14,169</w:t>
            </w:r>
          </w:p>
        </w:tc>
      </w:tr>
    </w:tbl>
    <w:p>
      <w:pPr>
        <w:spacing w:after="0" w:line="29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Mainly as a result of declines in prices for crude oil, natural gas and petroleum products and a significant decline in its market capitalization at the end of the first quarter of 2020, the Corporation recognized before-tax goodwill impairment charges of $611 million in Upstream, Downstream, and Chemical reporting units. Fair value of the goodwill reporting units primarily reflected market-based estimates of historical EBITDA multiples at the end of the first quarter. Charges related to goodwill impairments in 2020 are included in “Depreciation and depletion” on the Consolidated Statement of Income.</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Other Comprehensive Income Information</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3280" w:type="dxa"/>
            <w:vAlign w:val="bottom"/>
          </w:tcPr>
          <w:p>
            <w:pPr>
              <w:jc w:val="center"/>
              <w:ind w:left="1848"/>
              <w:spacing w:after="0"/>
              <w:rPr>
                <w:sz w:val="20"/>
                <w:szCs w:val="20"/>
                <w:color w:val="auto"/>
              </w:rPr>
            </w:pPr>
            <w:r>
              <w:rPr>
                <w:rFonts w:ascii="Arial" w:cs="Arial" w:eastAsia="Arial" w:hAnsi="Arial"/>
                <w:sz w:val="14"/>
                <w:szCs w:val="14"/>
                <w:b w:val="1"/>
                <w:bCs w:val="1"/>
                <w:color w:val="auto"/>
                <w:w w:val="95"/>
              </w:rPr>
              <w:t>Cumulative</w:t>
            </w:r>
          </w:p>
        </w:tc>
        <w:tc>
          <w:tcPr>
            <w:tcW w:w="1580" w:type="dxa"/>
            <w:vAlign w:val="bottom"/>
            <w:vMerge w:val="restart"/>
          </w:tcPr>
          <w:p>
            <w:pPr>
              <w:jc w:val="center"/>
              <w:ind w:right="128"/>
              <w:spacing w:after="0"/>
              <w:rPr>
                <w:sz w:val="20"/>
                <w:szCs w:val="20"/>
                <w:color w:val="auto"/>
              </w:rPr>
            </w:pPr>
            <w:r>
              <w:rPr>
                <w:rFonts w:ascii="Arial" w:cs="Arial" w:eastAsia="Arial" w:hAnsi="Arial"/>
                <w:sz w:val="14"/>
                <w:szCs w:val="14"/>
                <w:b w:val="1"/>
                <w:bCs w:val="1"/>
                <w:color w:val="auto"/>
                <w:w w:val="91"/>
              </w:rPr>
              <w:t>Postretirement</w:t>
            </w: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2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ExxonMobil Share of Accumulated Other</w:t>
            </w:r>
          </w:p>
        </w:tc>
        <w:tc>
          <w:tcPr>
            <w:tcW w:w="3280" w:type="dxa"/>
            <w:vAlign w:val="bottom"/>
          </w:tcPr>
          <w:p>
            <w:pPr>
              <w:jc w:val="center"/>
              <w:ind w:left="1848"/>
              <w:spacing w:after="0" w:line="135" w:lineRule="exact"/>
              <w:rPr>
                <w:sz w:val="20"/>
                <w:szCs w:val="20"/>
                <w:color w:val="auto"/>
              </w:rPr>
            </w:pPr>
            <w:r>
              <w:rPr>
                <w:rFonts w:ascii="Arial" w:cs="Arial" w:eastAsia="Arial" w:hAnsi="Arial"/>
                <w:sz w:val="14"/>
                <w:szCs w:val="14"/>
                <w:b w:val="1"/>
                <w:bCs w:val="1"/>
                <w:color w:val="auto"/>
                <w:w w:val="92"/>
              </w:rPr>
              <w:t>Foreign Exchange</w:t>
            </w:r>
          </w:p>
        </w:tc>
        <w:tc>
          <w:tcPr>
            <w:tcW w:w="158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280" w:type="dxa"/>
            <w:vAlign w:val="bottom"/>
            <w:vMerge w:val="continue"/>
          </w:tcPr>
          <w:p>
            <w:pPr>
              <w:spacing w:after="0"/>
              <w:rPr>
                <w:sz w:val="11"/>
                <w:szCs w:val="11"/>
                <w:color w:val="auto"/>
              </w:rPr>
            </w:pPr>
          </w:p>
        </w:tc>
        <w:tc>
          <w:tcPr>
            <w:tcW w:w="3280" w:type="dxa"/>
            <w:vAlign w:val="bottom"/>
          </w:tcPr>
          <w:p>
            <w:pPr>
              <w:jc w:val="center"/>
              <w:ind w:left="1868"/>
              <w:spacing w:after="0" w:line="135" w:lineRule="exact"/>
              <w:rPr>
                <w:sz w:val="20"/>
                <w:szCs w:val="20"/>
                <w:color w:val="auto"/>
              </w:rPr>
            </w:pPr>
            <w:r>
              <w:rPr>
                <w:rFonts w:ascii="Arial" w:cs="Arial" w:eastAsia="Arial" w:hAnsi="Arial"/>
                <w:sz w:val="14"/>
                <w:szCs w:val="14"/>
                <w:b w:val="1"/>
                <w:bCs w:val="1"/>
                <w:color w:val="auto"/>
                <w:w w:val="92"/>
              </w:rPr>
              <w:t>Translation</w:t>
            </w:r>
          </w:p>
        </w:tc>
        <w:tc>
          <w:tcPr>
            <w:tcW w:w="1580" w:type="dxa"/>
            <w:vAlign w:val="bottom"/>
          </w:tcPr>
          <w:p>
            <w:pPr>
              <w:jc w:val="center"/>
              <w:ind w:right="128"/>
              <w:spacing w:after="0" w:line="135" w:lineRule="exact"/>
              <w:rPr>
                <w:sz w:val="20"/>
                <w:szCs w:val="20"/>
                <w:color w:val="auto"/>
              </w:rPr>
            </w:pPr>
            <w:r>
              <w:rPr>
                <w:rFonts w:ascii="Arial" w:cs="Arial" w:eastAsia="Arial" w:hAnsi="Arial"/>
                <w:sz w:val="14"/>
                <w:szCs w:val="14"/>
                <w:b w:val="1"/>
                <w:bCs w:val="1"/>
                <w:color w:val="auto"/>
                <w:w w:val="87"/>
              </w:rPr>
              <w:t>Benefits Reserves</w:t>
            </w:r>
          </w:p>
        </w:tc>
        <w:tc>
          <w:tcPr>
            <w:tcW w:w="110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280" w:type="dxa"/>
            <w:vAlign w:val="bottom"/>
            <w:tcBorders>
              <w:bottom w:val="single" w:sz="8" w:color="auto"/>
            </w:tcBorders>
          </w:tcPr>
          <w:p>
            <w:pPr>
              <w:ind w:left="20"/>
              <w:spacing w:after="0" w:line="189" w:lineRule="exact"/>
              <w:rPr>
                <w:sz w:val="20"/>
                <w:szCs w:val="20"/>
                <w:color w:val="auto"/>
              </w:rPr>
            </w:pPr>
            <w:r>
              <w:rPr>
                <w:rFonts w:ascii="Arial" w:cs="Arial" w:eastAsia="Arial" w:hAnsi="Arial"/>
                <w:sz w:val="18"/>
                <w:szCs w:val="18"/>
                <w:b w:val="1"/>
                <w:bCs w:val="1"/>
                <w:color w:val="auto"/>
              </w:rPr>
              <w:t>Comprehensive Income</w:t>
            </w:r>
          </w:p>
        </w:tc>
        <w:tc>
          <w:tcPr>
            <w:tcW w:w="3280" w:type="dxa"/>
            <w:vAlign w:val="bottom"/>
            <w:tcBorders>
              <w:bottom w:val="single" w:sz="8" w:color="auto"/>
            </w:tcBorders>
          </w:tcPr>
          <w:p>
            <w:pPr>
              <w:jc w:val="center"/>
              <w:ind w:left="1848"/>
              <w:spacing w:after="0"/>
              <w:rPr>
                <w:sz w:val="20"/>
                <w:szCs w:val="20"/>
                <w:color w:val="auto"/>
              </w:rPr>
            </w:pPr>
            <w:r>
              <w:rPr>
                <w:rFonts w:ascii="Arial" w:cs="Arial" w:eastAsia="Arial" w:hAnsi="Arial"/>
                <w:sz w:val="14"/>
                <w:szCs w:val="14"/>
                <w:b w:val="1"/>
                <w:bCs w:val="1"/>
                <w:color w:val="auto"/>
                <w:w w:val="93"/>
              </w:rPr>
              <w:t>Adjustment</w:t>
            </w:r>
          </w:p>
        </w:tc>
        <w:tc>
          <w:tcPr>
            <w:tcW w:w="158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96"/>
              </w:rPr>
              <w:t>Adjustment</w:t>
            </w: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52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580" w:type="dxa"/>
            <w:vAlign w:val="bottom"/>
          </w:tcPr>
          <w:p>
            <w:pPr>
              <w:jc w:val="center"/>
              <w:ind w:right="128"/>
              <w:spacing w:after="0"/>
              <w:rPr>
                <w:sz w:val="20"/>
                <w:szCs w:val="20"/>
                <w:color w:val="auto"/>
              </w:rPr>
            </w:pPr>
            <w:r>
              <w:rPr>
                <w:rFonts w:ascii="Arial" w:cs="Arial" w:eastAsia="Arial" w:hAnsi="Arial"/>
                <w:sz w:val="14"/>
                <w:szCs w:val="14"/>
                <w:i w:val="1"/>
                <w:iCs w:val="1"/>
                <w:color w:val="auto"/>
                <w:w w:val="97"/>
              </w:rPr>
              <w:t>(millions of dollars)</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1" w:lineRule="exact"/>
        <w:rPr>
          <w:sz w:val="20"/>
          <w:szCs w:val="20"/>
          <w:color w:val="auto"/>
        </w:rPr>
      </w:pPr>
    </w:p>
    <w:p>
      <w:pPr>
        <w:sectPr>
          <w:pgSz w:w="11900" w:h="16838" w:orient="portrait"/>
          <w:cols w:equalWidth="0" w:num="1">
            <w:col w:w="11240"/>
          </w:cols>
          <w:pgMar w:left="320" w:top="121" w:right="339" w:bottom="1440" w:gutter="0" w:footer="0" w:header="0"/>
        </w:sectPr>
      </w:pPr>
    </w:p>
    <w:p>
      <w:pPr>
        <w:ind w:left="20"/>
        <w:spacing w:after="0"/>
        <w:rPr>
          <w:sz w:val="20"/>
          <w:szCs w:val="20"/>
          <w:color w:val="auto"/>
        </w:rPr>
      </w:pPr>
      <w:r>
        <w:rPr>
          <w:rFonts w:ascii="Arial" w:cs="Arial" w:eastAsia="Arial" w:hAnsi="Arial"/>
          <w:sz w:val="18"/>
          <w:szCs w:val="18"/>
          <w:color w:val="auto"/>
        </w:rPr>
        <w:t>Balance as of December 31, 2018</w:t>
      </w:r>
    </w:p>
    <w:p>
      <w:pPr>
        <w:spacing w:after="0" w:line="23" w:lineRule="exact"/>
        <w:rPr>
          <w:sz w:val="20"/>
          <w:szCs w:val="20"/>
          <w:color w:val="auto"/>
        </w:rPr>
      </w:pPr>
    </w:p>
    <w:p>
      <w:pPr>
        <w:ind w:left="360" w:hanging="323"/>
        <w:spacing w:after="0" w:line="234" w:lineRule="auto"/>
        <w:rPr>
          <w:sz w:val="20"/>
          <w:szCs w:val="20"/>
          <w:color w:val="auto"/>
        </w:rPr>
      </w:pPr>
      <w:r>
        <w:rPr>
          <w:rFonts w:ascii="Arial" w:cs="Arial" w:eastAsia="Arial" w:hAnsi="Arial"/>
          <w:sz w:val="18"/>
          <w:szCs w:val="18"/>
          <w:color w:val="auto"/>
        </w:rPr>
        <w:t>Current period change excluding amounts reclassified from accumulated other comprehensive income</w:t>
      </w:r>
    </w:p>
    <w:p>
      <w:pPr>
        <w:spacing w:after="0" w:line="1" w:lineRule="exact"/>
        <w:rPr>
          <w:sz w:val="20"/>
          <w:szCs w:val="20"/>
          <w:color w:val="auto"/>
        </w:rPr>
      </w:pPr>
    </w:p>
    <w:p>
      <w:pPr>
        <w:ind w:left="20" w:right="1780"/>
        <w:spacing w:after="0" w:line="286" w:lineRule="auto"/>
        <w:rPr>
          <w:sz w:val="20"/>
          <w:szCs w:val="20"/>
          <w:color w:val="auto"/>
        </w:rPr>
      </w:pPr>
      <w:r>
        <w:rPr>
          <w:rFonts w:ascii="Arial" w:cs="Arial" w:eastAsia="Arial" w:hAnsi="Arial"/>
          <w:sz w:val="18"/>
          <w:szCs w:val="18"/>
          <w:color w:val="auto"/>
        </w:rPr>
        <w:t>Amounts reclassified from accumulated other comprehensive income Total change in accumulated other comprehensive income Balance as of December 31, 2019</w:t>
      </w:r>
    </w:p>
    <w:p>
      <w:pPr>
        <w:spacing w:after="0" w:line="245" w:lineRule="exact"/>
        <w:rPr>
          <w:sz w:val="20"/>
          <w:szCs w:val="20"/>
          <w:color w:val="auto"/>
        </w:rPr>
      </w:pPr>
    </w:p>
    <w:p>
      <w:pPr>
        <w:ind w:left="360" w:hanging="323"/>
        <w:spacing w:after="0" w:line="235" w:lineRule="auto"/>
        <w:rPr>
          <w:sz w:val="20"/>
          <w:szCs w:val="20"/>
          <w:color w:val="auto"/>
        </w:rPr>
      </w:pPr>
      <w:r>
        <w:rPr>
          <w:rFonts w:ascii="Arial" w:cs="Arial" w:eastAsia="Arial" w:hAnsi="Arial"/>
          <w:sz w:val="18"/>
          <w:szCs w:val="18"/>
          <w:color w:val="auto"/>
        </w:rPr>
        <w:t xml:space="preserve">Current period change excluding amounts reclassified from accumulated other comprehensive income </w:t>
      </w:r>
      <w:r>
        <w:rPr>
          <w:rFonts w:ascii="Arial" w:cs="Arial" w:eastAsia="Arial" w:hAnsi="Arial"/>
          <w:sz w:val="14"/>
          <w:szCs w:val="14"/>
          <w:i w:val="1"/>
          <w:iCs w:val="1"/>
          <w:color w:val="auto"/>
        </w:rPr>
        <w:t>(1)</w:t>
      </w:r>
    </w:p>
    <w:p>
      <w:pPr>
        <w:ind w:left="20" w:right="1780"/>
        <w:spacing w:after="0" w:line="286" w:lineRule="auto"/>
        <w:rPr>
          <w:sz w:val="20"/>
          <w:szCs w:val="20"/>
          <w:color w:val="auto"/>
        </w:rPr>
      </w:pPr>
      <w:r>
        <w:rPr>
          <w:rFonts w:ascii="Arial" w:cs="Arial" w:eastAsia="Arial" w:hAnsi="Arial"/>
          <w:sz w:val="18"/>
          <w:szCs w:val="18"/>
          <w:color w:val="auto"/>
        </w:rPr>
        <w:t>Amounts reclassified from accumulated other comprehensive income Total change in accumulated other comprehensive income Balance as of December 31, 2020</w:t>
      </w:r>
    </w:p>
    <w:p>
      <w:pPr>
        <w:spacing w:after="0" w:line="245" w:lineRule="exact"/>
        <w:rPr>
          <w:sz w:val="20"/>
          <w:szCs w:val="20"/>
          <w:color w:val="auto"/>
        </w:rPr>
      </w:pPr>
    </w:p>
    <w:p>
      <w:pPr>
        <w:ind w:left="360" w:hanging="323"/>
        <w:spacing w:after="0" w:line="235" w:lineRule="auto"/>
        <w:rPr>
          <w:sz w:val="20"/>
          <w:szCs w:val="20"/>
          <w:color w:val="auto"/>
        </w:rPr>
      </w:pPr>
      <w:r>
        <w:rPr>
          <w:rFonts w:ascii="Arial" w:cs="Arial" w:eastAsia="Arial" w:hAnsi="Arial"/>
          <w:sz w:val="18"/>
          <w:szCs w:val="18"/>
          <w:color w:val="auto"/>
        </w:rPr>
        <w:t xml:space="preserve">Current period change excluding amounts reclassified from accumulated other comprehensive income </w:t>
      </w:r>
      <w:r>
        <w:rPr>
          <w:rFonts w:ascii="Arial" w:cs="Arial" w:eastAsia="Arial" w:hAnsi="Arial"/>
          <w:sz w:val="14"/>
          <w:szCs w:val="14"/>
          <w:i w:val="1"/>
          <w:iCs w:val="1"/>
          <w:color w:val="auto"/>
        </w:rPr>
        <w:t>(1)</w:t>
      </w:r>
    </w:p>
    <w:p>
      <w:pPr>
        <w:ind w:left="20" w:right="1780"/>
        <w:spacing w:after="0" w:line="286" w:lineRule="auto"/>
        <w:rPr>
          <w:sz w:val="20"/>
          <w:szCs w:val="20"/>
          <w:color w:val="auto"/>
        </w:rPr>
      </w:pPr>
      <w:r>
        <w:rPr>
          <w:rFonts w:ascii="Arial" w:cs="Arial" w:eastAsia="Arial" w:hAnsi="Arial"/>
          <w:sz w:val="18"/>
          <w:szCs w:val="18"/>
          <w:color w:val="auto"/>
        </w:rPr>
        <w:t>Amounts reclassified from accumulated other comprehensive income Total change in accumulated other comprehensive income Balance as of December 31, 2021</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640" w:type="dxa"/>
            <w:vAlign w:val="bottom"/>
          </w:tcPr>
          <w:p>
            <w:pPr>
              <w:jc w:val="right"/>
              <w:ind w:right="330"/>
              <w:spacing w:after="0"/>
              <w:rPr>
                <w:sz w:val="20"/>
                <w:szCs w:val="20"/>
                <w:color w:val="auto"/>
              </w:rPr>
            </w:pPr>
            <w:r>
              <w:rPr>
                <w:rFonts w:ascii="Arial" w:cs="Arial" w:eastAsia="Arial" w:hAnsi="Arial"/>
                <w:sz w:val="18"/>
                <w:szCs w:val="18"/>
                <w:color w:val="auto"/>
              </w:rPr>
              <w:t>(13,881)</w:t>
            </w:r>
          </w:p>
        </w:tc>
        <w:tc>
          <w:tcPr>
            <w:tcW w:w="1320" w:type="dxa"/>
            <w:vAlign w:val="bottom"/>
          </w:tcPr>
          <w:p>
            <w:pPr>
              <w:jc w:val="right"/>
              <w:ind w:right="290"/>
              <w:spacing w:after="0"/>
              <w:rPr>
                <w:sz w:val="20"/>
                <w:szCs w:val="20"/>
                <w:color w:val="auto"/>
              </w:rPr>
            </w:pPr>
            <w:r>
              <w:rPr>
                <w:rFonts w:ascii="Arial" w:cs="Arial" w:eastAsia="Arial" w:hAnsi="Arial"/>
                <w:sz w:val="18"/>
                <w:szCs w:val="18"/>
                <w:color w:val="auto"/>
              </w:rPr>
              <w:t>(5,683)</w:t>
            </w:r>
          </w:p>
        </w:tc>
        <w:tc>
          <w:tcPr>
            <w:tcW w:w="1020" w:type="dxa"/>
            <w:vAlign w:val="bottom"/>
          </w:tcPr>
          <w:p>
            <w:pPr>
              <w:jc w:val="right"/>
              <w:spacing w:after="0"/>
              <w:rPr>
                <w:sz w:val="20"/>
                <w:szCs w:val="20"/>
                <w:color w:val="auto"/>
              </w:rPr>
            </w:pPr>
            <w:r>
              <w:rPr>
                <w:rFonts w:ascii="Arial" w:cs="Arial" w:eastAsia="Arial" w:hAnsi="Arial"/>
                <w:sz w:val="18"/>
                <w:szCs w:val="18"/>
                <w:color w:val="auto"/>
              </w:rPr>
              <w:t>(19,564)</w:t>
            </w:r>
          </w:p>
        </w:tc>
      </w:tr>
      <w:tr>
        <w:trPr>
          <w:trHeight w:val="404"/>
        </w:trPr>
        <w:tc>
          <w:tcPr>
            <w:tcW w:w="1640" w:type="dxa"/>
            <w:vAlign w:val="bottom"/>
          </w:tcPr>
          <w:p>
            <w:pPr>
              <w:jc w:val="right"/>
              <w:ind w:right="370"/>
              <w:spacing w:after="0"/>
              <w:rPr>
                <w:sz w:val="20"/>
                <w:szCs w:val="20"/>
                <w:color w:val="auto"/>
              </w:rPr>
            </w:pPr>
            <w:r>
              <w:rPr>
                <w:rFonts w:ascii="Arial" w:cs="Arial" w:eastAsia="Arial" w:hAnsi="Arial"/>
                <w:sz w:val="18"/>
                <w:szCs w:val="18"/>
                <w:color w:val="auto"/>
              </w:rPr>
              <w:t>1,435</w:t>
            </w:r>
          </w:p>
        </w:tc>
        <w:tc>
          <w:tcPr>
            <w:tcW w:w="1320" w:type="dxa"/>
            <w:vAlign w:val="bottom"/>
          </w:tcPr>
          <w:p>
            <w:pPr>
              <w:jc w:val="right"/>
              <w:ind w:right="290"/>
              <w:spacing w:after="0"/>
              <w:rPr>
                <w:sz w:val="20"/>
                <w:szCs w:val="20"/>
                <w:color w:val="auto"/>
              </w:rPr>
            </w:pPr>
            <w:r>
              <w:rPr>
                <w:rFonts w:ascii="Arial" w:cs="Arial" w:eastAsia="Arial" w:hAnsi="Arial"/>
                <w:sz w:val="18"/>
                <w:szCs w:val="18"/>
                <w:color w:val="auto"/>
              </w:rPr>
              <w:t>(1,927)</w:t>
            </w:r>
          </w:p>
        </w:tc>
        <w:tc>
          <w:tcPr>
            <w:tcW w:w="1020" w:type="dxa"/>
            <w:vAlign w:val="bottom"/>
          </w:tcPr>
          <w:p>
            <w:pPr>
              <w:jc w:val="right"/>
              <w:spacing w:after="0"/>
              <w:rPr>
                <w:sz w:val="20"/>
                <w:szCs w:val="20"/>
                <w:color w:val="auto"/>
              </w:rPr>
            </w:pPr>
            <w:r>
              <w:rPr>
                <w:rFonts w:ascii="Arial" w:cs="Arial" w:eastAsia="Arial" w:hAnsi="Arial"/>
                <w:sz w:val="18"/>
                <w:szCs w:val="18"/>
                <w:color w:val="auto"/>
              </w:rPr>
              <w:t>(492)</w:t>
            </w:r>
          </w:p>
        </w:tc>
      </w:tr>
      <w:tr>
        <w:trPr>
          <w:trHeight w:val="230"/>
        </w:trPr>
        <w:tc>
          <w:tcPr>
            <w:tcW w:w="16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563</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w:t>
            </w:r>
          </w:p>
        </w:tc>
      </w:tr>
      <w:tr>
        <w:trPr>
          <w:trHeight w:val="223"/>
        </w:trPr>
        <w:tc>
          <w:tcPr>
            <w:tcW w:w="16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1,435</w:t>
            </w:r>
          </w:p>
        </w:tc>
        <w:tc>
          <w:tcPr>
            <w:tcW w:w="13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(1,364)</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r>
      <w:tr>
        <w:trPr>
          <w:trHeight w:val="224"/>
        </w:trPr>
        <w:tc>
          <w:tcPr>
            <w:tcW w:w="1640" w:type="dxa"/>
            <w:vAlign w:val="bottom"/>
          </w:tcPr>
          <w:p>
            <w:pPr>
              <w:jc w:val="right"/>
              <w:ind w:right="330"/>
              <w:spacing w:after="0"/>
              <w:rPr>
                <w:sz w:val="20"/>
                <w:szCs w:val="20"/>
                <w:color w:val="auto"/>
              </w:rPr>
            </w:pPr>
            <w:r>
              <w:rPr>
                <w:rFonts w:ascii="Arial" w:cs="Arial" w:eastAsia="Arial" w:hAnsi="Arial"/>
                <w:sz w:val="18"/>
                <w:szCs w:val="18"/>
                <w:color w:val="auto"/>
              </w:rPr>
              <w:t>(12,446)</w:t>
            </w:r>
          </w:p>
        </w:tc>
        <w:tc>
          <w:tcPr>
            <w:tcW w:w="1320" w:type="dxa"/>
            <w:vAlign w:val="bottom"/>
          </w:tcPr>
          <w:p>
            <w:pPr>
              <w:jc w:val="right"/>
              <w:ind w:right="290"/>
              <w:spacing w:after="0"/>
              <w:rPr>
                <w:sz w:val="20"/>
                <w:szCs w:val="20"/>
                <w:color w:val="auto"/>
              </w:rPr>
            </w:pPr>
            <w:r>
              <w:rPr>
                <w:rFonts w:ascii="Arial" w:cs="Arial" w:eastAsia="Arial" w:hAnsi="Arial"/>
                <w:sz w:val="18"/>
                <w:szCs w:val="18"/>
                <w:color w:val="auto"/>
              </w:rPr>
              <w:t>(7,047)</w:t>
            </w:r>
          </w:p>
        </w:tc>
        <w:tc>
          <w:tcPr>
            <w:tcW w:w="1020" w:type="dxa"/>
            <w:vAlign w:val="bottom"/>
          </w:tcPr>
          <w:p>
            <w:pPr>
              <w:jc w:val="right"/>
              <w:spacing w:after="0"/>
              <w:rPr>
                <w:sz w:val="20"/>
                <w:szCs w:val="20"/>
                <w:color w:val="auto"/>
              </w:rPr>
            </w:pPr>
            <w:r>
              <w:rPr>
                <w:rFonts w:ascii="Arial" w:cs="Arial" w:eastAsia="Arial" w:hAnsi="Arial"/>
                <w:sz w:val="18"/>
                <w:szCs w:val="18"/>
                <w:color w:val="auto"/>
              </w:rPr>
              <w:t>(19,493)</w:t>
            </w:r>
          </w:p>
        </w:tc>
      </w:tr>
      <w:tr>
        <w:trPr>
          <w:trHeight w:val="673"/>
        </w:trPr>
        <w:tc>
          <w:tcPr>
            <w:tcW w:w="1640" w:type="dxa"/>
            <w:vAlign w:val="bottom"/>
          </w:tcPr>
          <w:p>
            <w:pPr>
              <w:jc w:val="right"/>
              <w:ind w:right="370"/>
              <w:spacing w:after="0"/>
              <w:rPr>
                <w:sz w:val="20"/>
                <w:szCs w:val="20"/>
                <w:color w:val="auto"/>
              </w:rPr>
            </w:pPr>
            <w:r>
              <w:rPr>
                <w:rFonts w:ascii="Arial" w:cs="Arial" w:eastAsia="Arial" w:hAnsi="Arial"/>
                <w:sz w:val="18"/>
                <w:szCs w:val="18"/>
                <w:color w:val="auto"/>
              </w:rPr>
              <w:t>1,818</w:t>
            </w: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95</w:t>
            </w:r>
          </w:p>
        </w:tc>
        <w:tc>
          <w:tcPr>
            <w:tcW w:w="1020" w:type="dxa"/>
            <w:vAlign w:val="bottom"/>
          </w:tcPr>
          <w:p>
            <w:pPr>
              <w:jc w:val="right"/>
              <w:spacing w:after="0"/>
              <w:rPr>
                <w:sz w:val="20"/>
                <w:szCs w:val="20"/>
                <w:color w:val="auto"/>
              </w:rPr>
            </w:pPr>
            <w:r>
              <w:rPr>
                <w:rFonts w:ascii="Arial" w:cs="Arial" w:eastAsia="Arial" w:hAnsi="Arial"/>
                <w:sz w:val="18"/>
                <w:szCs w:val="18"/>
                <w:color w:val="auto"/>
              </w:rPr>
              <w:t>1,913</w:t>
            </w:r>
          </w:p>
        </w:tc>
      </w:tr>
      <w:tr>
        <w:trPr>
          <w:trHeight w:val="230"/>
        </w:trPr>
        <w:tc>
          <w:tcPr>
            <w:tcW w:w="16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14</w:t>
            </w:r>
          </w:p>
        </w:tc>
        <w:tc>
          <w:tcPr>
            <w:tcW w:w="13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861</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875</w:t>
            </w:r>
          </w:p>
        </w:tc>
      </w:tr>
      <w:tr>
        <w:trPr>
          <w:trHeight w:val="223"/>
        </w:trPr>
        <w:tc>
          <w:tcPr>
            <w:tcW w:w="16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1,832</w:t>
            </w:r>
          </w:p>
        </w:tc>
        <w:tc>
          <w:tcPr>
            <w:tcW w:w="13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956</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2,788</w:t>
            </w:r>
          </w:p>
        </w:tc>
      </w:tr>
      <w:tr>
        <w:trPr>
          <w:trHeight w:val="224"/>
        </w:trPr>
        <w:tc>
          <w:tcPr>
            <w:tcW w:w="1640" w:type="dxa"/>
            <w:vAlign w:val="bottom"/>
          </w:tcPr>
          <w:p>
            <w:pPr>
              <w:jc w:val="right"/>
              <w:ind w:right="330"/>
              <w:spacing w:after="0"/>
              <w:rPr>
                <w:sz w:val="20"/>
                <w:szCs w:val="20"/>
                <w:color w:val="auto"/>
              </w:rPr>
            </w:pPr>
            <w:r>
              <w:rPr>
                <w:rFonts w:ascii="Arial" w:cs="Arial" w:eastAsia="Arial" w:hAnsi="Arial"/>
                <w:sz w:val="18"/>
                <w:szCs w:val="18"/>
                <w:color w:val="auto"/>
              </w:rPr>
              <w:t>(10,614)</w:t>
            </w:r>
          </w:p>
        </w:tc>
        <w:tc>
          <w:tcPr>
            <w:tcW w:w="1320" w:type="dxa"/>
            <w:vAlign w:val="bottom"/>
          </w:tcPr>
          <w:p>
            <w:pPr>
              <w:jc w:val="right"/>
              <w:ind w:right="290"/>
              <w:spacing w:after="0"/>
              <w:rPr>
                <w:sz w:val="20"/>
                <w:szCs w:val="20"/>
                <w:color w:val="auto"/>
              </w:rPr>
            </w:pPr>
            <w:r>
              <w:rPr>
                <w:rFonts w:ascii="Arial" w:cs="Arial" w:eastAsia="Arial" w:hAnsi="Arial"/>
                <w:sz w:val="18"/>
                <w:szCs w:val="18"/>
                <w:color w:val="auto"/>
              </w:rPr>
              <w:t>(6,091)</w:t>
            </w:r>
          </w:p>
        </w:tc>
        <w:tc>
          <w:tcPr>
            <w:tcW w:w="1020" w:type="dxa"/>
            <w:vAlign w:val="bottom"/>
          </w:tcPr>
          <w:p>
            <w:pPr>
              <w:jc w:val="right"/>
              <w:spacing w:after="0"/>
              <w:rPr>
                <w:sz w:val="20"/>
                <w:szCs w:val="20"/>
                <w:color w:val="auto"/>
              </w:rPr>
            </w:pPr>
            <w:r>
              <w:rPr>
                <w:rFonts w:ascii="Arial" w:cs="Arial" w:eastAsia="Arial" w:hAnsi="Arial"/>
                <w:sz w:val="18"/>
                <w:szCs w:val="18"/>
                <w:color w:val="auto"/>
              </w:rPr>
              <w:t>(16,705)</w:t>
            </w:r>
          </w:p>
        </w:tc>
      </w:tr>
      <w:tr>
        <w:trPr>
          <w:trHeight w:val="673"/>
        </w:trPr>
        <w:tc>
          <w:tcPr>
            <w:tcW w:w="1640" w:type="dxa"/>
            <w:vAlign w:val="bottom"/>
          </w:tcPr>
          <w:p>
            <w:pPr>
              <w:jc w:val="right"/>
              <w:ind w:right="330"/>
              <w:spacing w:after="0"/>
              <w:rPr>
                <w:sz w:val="20"/>
                <w:szCs w:val="20"/>
                <w:color w:val="auto"/>
              </w:rPr>
            </w:pPr>
            <w:r>
              <w:rPr>
                <w:rFonts w:ascii="Arial" w:cs="Arial" w:eastAsia="Arial" w:hAnsi="Arial"/>
                <w:sz w:val="18"/>
                <w:szCs w:val="18"/>
                <w:color w:val="auto"/>
              </w:rPr>
              <w:t>(883)</w:t>
            </w: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2,938</w:t>
            </w:r>
          </w:p>
        </w:tc>
        <w:tc>
          <w:tcPr>
            <w:tcW w:w="1020" w:type="dxa"/>
            <w:vAlign w:val="bottom"/>
          </w:tcPr>
          <w:p>
            <w:pPr>
              <w:jc w:val="right"/>
              <w:spacing w:after="0"/>
              <w:rPr>
                <w:sz w:val="20"/>
                <w:szCs w:val="20"/>
                <w:color w:val="auto"/>
              </w:rPr>
            </w:pPr>
            <w:r>
              <w:rPr>
                <w:rFonts w:ascii="Arial" w:cs="Arial" w:eastAsia="Arial" w:hAnsi="Arial"/>
                <w:sz w:val="18"/>
                <w:szCs w:val="18"/>
                <w:color w:val="auto"/>
              </w:rPr>
              <w:t>2,055</w:t>
            </w:r>
          </w:p>
        </w:tc>
      </w:tr>
      <w:tr>
        <w:trPr>
          <w:trHeight w:val="230"/>
        </w:trPr>
        <w:tc>
          <w:tcPr>
            <w:tcW w:w="16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w:t>
            </w:r>
          </w:p>
        </w:tc>
        <w:tc>
          <w:tcPr>
            <w:tcW w:w="13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888</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886</w:t>
            </w:r>
          </w:p>
        </w:tc>
      </w:tr>
      <w:tr>
        <w:trPr>
          <w:trHeight w:val="223"/>
        </w:trPr>
        <w:tc>
          <w:tcPr>
            <w:tcW w:w="16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(885)</w:t>
            </w:r>
          </w:p>
        </w:tc>
        <w:tc>
          <w:tcPr>
            <w:tcW w:w="13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3,826</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2,941</w:t>
            </w:r>
          </w:p>
        </w:tc>
      </w:tr>
      <w:tr>
        <w:trPr>
          <w:trHeight w:val="223"/>
        </w:trPr>
        <w:tc>
          <w:tcPr>
            <w:tcW w:w="16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(11,499)</w:t>
            </w:r>
          </w:p>
        </w:tc>
        <w:tc>
          <w:tcPr>
            <w:tcW w:w="13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(2,265)</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(13,764)</w:t>
            </w:r>
          </w:p>
        </w:tc>
      </w:tr>
    </w:tbl>
    <w:p>
      <w:pPr>
        <w:spacing w:after="0" w:line="210" w:lineRule="exact"/>
        <w:rPr>
          <w:sz w:val="20"/>
          <w:szCs w:val="20"/>
          <w:color w:val="auto"/>
        </w:rPr>
      </w:pPr>
    </w:p>
    <w:p>
      <w:pPr>
        <w:sectPr>
          <w:pgSz w:w="11900" w:h="16838" w:orient="portrait"/>
          <w:cols w:equalWidth="0" w:num="2">
            <w:col w:w="6800" w:space="460"/>
            <w:col w:w="3980"/>
          </w:cols>
          <w:pgMar w:left="320" w:top="121" w:right="339" w:bottom="1440" w:gutter="0" w:footer="0" w:header="0"/>
          <w:type w:val="continuous"/>
        </w:sectPr>
      </w:pPr>
    </w:p>
    <w:p>
      <w:pPr>
        <w:spacing w:after="0" w:line="58" w:lineRule="exact"/>
        <w:rPr>
          <w:sz w:val="20"/>
          <w:szCs w:val="20"/>
          <w:color w:val="auto"/>
        </w:rPr>
      </w:pPr>
    </w:p>
    <w:p>
      <w:pPr>
        <w:ind w:left="340" w:hanging="332"/>
        <w:spacing w:after="0" w:line="277" w:lineRule="auto"/>
        <w:tabs>
          <w:tab w:leader="none" w:pos="334"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Cumulative Foreign Exchange Translation Adjustment includes net investment hedge gain/(loss) net of taxes of $329 million and $(355) million in 2021 and 2020, respectively.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60" w:type="dxa"/>
            <w:vAlign w:val="bottom"/>
          </w:tcPr>
          <w:p>
            <w:pPr>
              <w:ind w:left="20"/>
              <w:spacing w:after="0"/>
              <w:rPr>
                <w:sz w:val="20"/>
                <w:szCs w:val="20"/>
                <w:color w:val="auto"/>
              </w:rPr>
            </w:pPr>
            <w:r>
              <w:rPr>
                <w:rFonts w:ascii="Arial" w:cs="Arial" w:eastAsia="Arial" w:hAnsi="Arial"/>
                <w:sz w:val="18"/>
                <w:szCs w:val="18"/>
                <w:b w:val="1"/>
                <w:bCs w:val="1"/>
                <w:color w:val="auto"/>
              </w:rPr>
              <w:t>Amounts Reclassified Out of Accumulated Other</w:t>
            </w:r>
          </w:p>
        </w:tc>
        <w:tc>
          <w:tcPr>
            <w:tcW w:w="13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Comprehensive Income - Before-tax Income/(Expense)</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176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2020</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4"/>
        </w:trPr>
        <w:tc>
          <w:tcPr>
            <w:tcW w:w="7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760" w:type="dxa"/>
            <w:vAlign w:val="bottom"/>
          </w:tcPr>
          <w:p>
            <w:pPr>
              <w:jc w:val="right"/>
              <w:ind w:right="437"/>
              <w:spacing w:after="0"/>
              <w:rPr>
                <w:sz w:val="20"/>
                <w:szCs w:val="20"/>
                <w:color w:val="auto"/>
              </w:rPr>
            </w:pPr>
            <w:r>
              <w:rPr>
                <w:rFonts w:ascii="Arial" w:cs="Arial" w:eastAsia="Arial" w:hAnsi="Arial"/>
                <w:sz w:val="14"/>
                <w:szCs w:val="14"/>
                <w:i w:val="1"/>
                <w:iCs w:val="1"/>
                <w:color w:val="auto"/>
              </w:rPr>
              <w:t>(millions of dollars)</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7260" w:type="dxa"/>
            <w:vAlign w:val="bottom"/>
          </w:tcPr>
          <w:p>
            <w:pPr>
              <w:ind w:left="20"/>
              <w:spacing w:after="0"/>
              <w:rPr>
                <w:sz w:val="20"/>
                <w:szCs w:val="20"/>
                <w:color w:val="auto"/>
              </w:rPr>
            </w:pPr>
            <w:r>
              <w:rPr>
                <w:rFonts w:ascii="Arial" w:cs="Arial" w:eastAsia="Arial" w:hAnsi="Arial"/>
                <w:sz w:val="18"/>
                <w:szCs w:val="18"/>
                <w:color w:val="auto"/>
              </w:rPr>
              <w:t>Foreign exchange translation gain/(loss) included in net income</w:t>
            </w:r>
          </w:p>
        </w:tc>
        <w:tc>
          <w:tcPr>
            <w:tcW w:w="1320" w:type="dxa"/>
            <w:vAlign w:val="bottom"/>
            <w:vMerge w:val="restart"/>
          </w:tcPr>
          <w:p>
            <w:pPr>
              <w:jc w:val="right"/>
              <w:ind w:right="55"/>
              <w:spacing w:after="0"/>
              <w:rPr>
                <w:sz w:val="20"/>
                <w:szCs w:val="20"/>
                <w:color w:val="auto"/>
              </w:rPr>
            </w:pPr>
            <w:r>
              <w:rPr>
                <w:rFonts w:ascii="Arial" w:cs="Arial" w:eastAsia="Arial" w:hAnsi="Arial"/>
                <w:sz w:val="18"/>
                <w:szCs w:val="18"/>
                <w:color w:val="auto"/>
              </w:rPr>
              <w:t>2</w:t>
            </w:r>
          </w:p>
        </w:tc>
        <w:tc>
          <w:tcPr>
            <w:tcW w:w="1760" w:type="dxa"/>
            <w:vAlign w:val="bottom"/>
            <w:vMerge w:val="restart"/>
          </w:tcPr>
          <w:p>
            <w:pPr>
              <w:jc w:val="right"/>
              <w:ind w:right="417"/>
              <w:spacing w:after="0"/>
              <w:rPr>
                <w:sz w:val="20"/>
                <w:szCs w:val="20"/>
                <w:color w:val="auto"/>
              </w:rPr>
            </w:pPr>
            <w:r>
              <w:rPr>
                <w:rFonts w:ascii="Arial" w:cs="Arial" w:eastAsia="Arial" w:hAnsi="Arial"/>
                <w:sz w:val="18"/>
                <w:szCs w:val="18"/>
                <w:color w:val="auto"/>
              </w:rPr>
              <w:t>(14)</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260" w:type="dxa"/>
            <w:vAlign w:val="bottom"/>
          </w:tcPr>
          <w:p>
            <w:pPr>
              <w:ind w:left="260"/>
              <w:spacing w:after="0"/>
              <w:rPr>
                <w:sz w:val="20"/>
                <w:szCs w:val="20"/>
                <w:color w:val="auto"/>
              </w:rPr>
            </w:pPr>
            <w:r>
              <w:rPr>
                <w:rFonts w:ascii="Arial" w:cs="Arial" w:eastAsia="Arial" w:hAnsi="Arial"/>
                <w:sz w:val="18"/>
                <w:szCs w:val="18"/>
                <w:color w:val="auto"/>
              </w:rPr>
              <w:t>(Statement of Income line: Other income)</w:t>
            </w:r>
          </w:p>
        </w:tc>
        <w:tc>
          <w:tcPr>
            <w:tcW w:w="1320" w:type="dxa"/>
            <w:vAlign w:val="bottom"/>
            <w:vMerge w:val="continue"/>
          </w:tcPr>
          <w:p>
            <w:pPr>
              <w:spacing w:after="0"/>
              <w:rPr>
                <w:sz w:val="19"/>
                <w:szCs w:val="19"/>
                <w:color w:val="auto"/>
              </w:rPr>
            </w:pPr>
          </w:p>
        </w:tc>
        <w:tc>
          <w:tcPr>
            <w:tcW w:w="1760" w:type="dxa"/>
            <w:vAlign w:val="bottom"/>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7260" w:type="dxa"/>
            <w:vAlign w:val="bottom"/>
          </w:tcPr>
          <w:p>
            <w:pPr>
              <w:ind w:left="20"/>
              <w:spacing w:after="0" w:line="176" w:lineRule="exact"/>
              <w:rPr>
                <w:sz w:val="20"/>
                <w:szCs w:val="20"/>
                <w:color w:val="auto"/>
              </w:rPr>
            </w:pPr>
            <w:r>
              <w:rPr>
                <w:rFonts w:ascii="Arial" w:cs="Arial" w:eastAsia="Arial" w:hAnsi="Arial"/>
                <w:sz w:val="18"/>
                <w:szCs w:val="18"/>
                <w:color w:val="auto"/>
                <w:w w:val="91"/>
              </w:rPr>
              <w:t>Amortization and settlement of postretirement benefits reserves adjustment included in net periodic</w:t>
            </w:r>
          </w:p>
        </w:tc>
        <w:tc>
          <w:tcPr>
            <w:tcW w:w="13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260" w:type="dxa"/>
            <w:vAlign w:val="bottom"/>
          </w:tcPr>
          <w:p>
            <w:pPr>
              <w:ind w:left="360"/>
              <w:spacing w:after="0" w:line="176" w:lineRule="exact"/>
              <w:rPr>
                <w:sz w:val="20"/>
                <w:szCs w:val="20"/>
                <w:color w:val="auto"/>
              </w:rPr>
            </w:pPr>
            <w:r>
              <w:rPr>
                <w:rFonts w:ascii="Arial" w:cs="Arial" w:eastAsia="Arial" w:hAnsi="Arial"/>
                <w:sz w:val="18"/>
                <w:szCs w:val="18"/>
                <w:color w:val="auto"/>
              </w:rPr>
              <w:t>benefit costs</w:t>
            </w:r>
          </w:p>
        </w:tc>
        <w:tc>
          <w:tcPr>
            <w:tcW w:w="1320" w:type="dxa"/>
            <w:vAlign w:val="bottom"/>
            <w:vMerge w:val="restart"/>
          </w:tcPr>
          <w:p>
            <w:pPr>
              <w:jc w:val="right"/>
              <w:ind w:right="15"/>
              <w:spacing w:after="0"/>
              <w:rPr>
                <w:sz w:val="20"/>
                <w:szCs w:val="20"/>
                <w:color w:val="auto"/>
              </w:rPr>
            </w:pPr>
            <w:r>
              <w:rPr>
                <w:rFonts w:ascii="Arial" w:cs="Arial" w:eastAsia="Arial" w:hAnsi="Arial"/>
                <w:sz w:val="18"/>
                <w:szCs w:val="18"/>
                <w:color w:val="auto"/>
              </w:rPr>
              <w:t>(1,229)</w:t>
            </w:r>
          </w:p>
        </w:tc>
        <w:tc>
          <w:tcPr>
            <w:tcW w:w="1760" w:type="dxa"/>
            <w:vAlign w:val="bottom"/>
            <w:vMerge w:val="restart"/>
          </w:tcPr>
          <w:p>
            <w:pPr>
              <w:jc w:val="right"/>
              <w:ind w:right="417"/>
              <w:spacing w:after="0"/>
              <w:rPr>
                <w:sz w:val="20"/>
                <w:szCs w:val="20"/>
                <w:color w:val="auto"/>
              </w:rPr>
            </w:pPr>
            <w:r>
              <w:rPr>
                <w:rFonts w:ascii="Arial" w:cs="Arial" w:eastAsia="Arial" w:hAnsi="Arial"/>
                <w:sz w:val="18"/>
                <w:szCs w:val="18"/>
                <w:color w:val="auto"/>
              </w:rPr>
              <w:t>(1,158)</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r>
        <w:trPr>
          <w:trHeight w:val="230"/>
        </w:trPr>
        <w:tc>
          <w:tcPr>
            <w:tcW w:w="7260" w:type="dxa"/>
            <w:vAlign w:val="bottom"/>
          </w:tcPr>
          <w:p>
            <w:pPr>
              <w:ind w:left="260"/>
              <w:spacing w:after="0"/>
              <w:rPr>
                <w:sz w:val="20"/>
                <w:szCs w:val="20"/>
                <w:color w:val="auto"/>
              </w:rPr>
            </w:pPr>
            <w:r>
              <w:rPr>
                <w:rFonts w:ascii="Arial" w:cs="Arial" w:eastAsia="Arial" w:hAnsi="Arial"/>
                <w:sz w:val="18"/>
                <w:szCs w:val="18"/>
                <w:color w:val="auto"/>
              </w:rPr>
              <w:t>(Statement of Income line: Non-service pension and postretirement benefit expense)</w:t>
            </w:r>
          </w:p>
        </w:tc>
        <w:tc>
          <w:tcPr>
            <w:tcW w:w="1320" w:type="dxa"/>
            <w:vAlign w:val="bottom"/>
            <w:vMerge w:val="continue"/>
          </w:tcPr>
          <w:p>
            <w:pPr>
              <w:spacing w:after="0"/>
              <w:rPr>
                <w:sz w:val="20"/>
                <w:szCs w:val="20"/>
                <w:color w:val="auto"/>
              </w:rPr>
            </w:pPr>
          </w:p>
        </w:tc>
        <w:tc>
          <w:tcPr>
            <w:tcW w:w="1760" w:type="dxa"/>
            <w:vAlign w:val="bottom"/>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74"/>
        </w:trPr>
        <w:tc>
          <w:tcPr>
            <w:tcW w:w="7260" w:type="dxa"/>
            <w:vAlign w:val="bottom"/>
          </w:tcPr>
          <w:p>
            <w:pPr>
              <w:ind w:left="20"/>
              <w:spacing w:after="0"/>
              <w:rPr>
                <w:sz w:val="20"/>
                <w:szCs w:val="20"/>
                <w:color w:val="auto"/>
              </w:rPr>
            </w:pPr>
            <w:r>
              <w:rPr>
                <w:rFonts w:ascii="Arial" w:cs="Arial" w:eastAsia="Arial" w:hAnsi="Arial"/>
                <w:sz w:val="18"/>
                <w:szCs w:val="18"/>
                <w:b w:val="1"/>
                <w:bCs w:val="1"/>
                <w:color w:val="auto"/>
              </w:rPr>
              <w:t>Income Tax (Expense)/Credit For</w:t>
            </w:r>
          </w:p>
        </w:tc>
        <w:tc>
          <w:tcPr>
            <w:tcW w:w="13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72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Components of Other Comprehensive Income</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176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2020</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4"/>
        </w:trPr>
        <w:tc>
          <w:tcPr>
            <w:tcW w:w="7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760" w:type="dxa"/>
            <w:vAlign w:val="bottom"/>
          </w:tcPr>
          <w:p>
            <w:pPr>
              <w:jc w:val="right"/>
              <w:ind w:right="437"/>
              <w:spacing w:after="0"/>
              <w:rPr>
                <w:sz w:val="20"/>
                <w:szCs w:val="20"/>
                <w:color w:val="auto"/>
              </w:rPr>
            </w:pPr>
            <w:r>
              <w:rPr>
                <w:rFonts w:ascii="Arial" w:cs="Arial" w:eastAsia="Arial" w:hAnsi="Arial"/>
                <w:sz w:val="14"/>
                <w:szCs w:val="14"/>
                <w:i w:val="1"/>
                <w:iCs w:val="1"/>
                <w:color w:val="auto"/>
              </w:rPr>
              <w:t>(millions of dollars)</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7260" w:type="dxa"/>
            <w:vAlign w:val="bottom"/>
          </w:tcPr>
          <w:p>
            <w:pPr>
              <w:ind w:left="20"/>
              <w:spacing w:after="0"/>
              <w:rPr>
                <w:sz w:val="20"/>
                <w:szCs w:val="20"/>
                <w:color w:val="auto"/>
              </w:rPr>
            </w:pPr>
            <w:r>
              <w:rPr>
                <w:rFonts w:ascii="Arial" w:cs="Arial" w:eastAsia="Arial" w:hAnsi="Arial"/>
                <w:sz w:val="18"/>
                <w:szCs w:val="18"/>
                <w:color w:val="auto"/>
              </w:rPr>
              <w:t>Foreign exchange translation adjustment</w:t>
            </w: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(114)</w:t>
            </w:r>
          </w:p>
        </w:tc>
        <w:tc>
          <w:tcPr>
            <w:tcW w:w="1760" w:type="dxa"/>
            <w:vAlign w:val="bottom"/>
          </w:tcPr>
          <w:p>
            <w:pPr>
              <w:jc w:val="right"/>
              <w:ind w:right="457"/>
              <w:spacing w:after="0"/>
              <w:rPr>
                <w:sz w:val="20"/>
                <w:szCs w:val="20"/>
                <w:color w:val="auto"/>
              </w:rPr>
            </w:pPr>
            <w:r>
              <w:rPr>
                <w:rFonts w:ascii="Arial" w:cs="Arial" w:eastAsia="Arial" w:hAnsi="Arial"/>
                <w:sz w:val="18"/>
                <w:szCs w:val="18"/>
                <w:color w:val="auto"/>
              </w:rPr>
              <w:t>118</w:t>
            </w:r>
          </w:p>
        </w:tc>
        <w:tc>
          <w:tcPr>
            <w:tcW w:w="900" w:type="dxa"/>
            <w:vAlign w:val="bottom"/>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29"/>
        </w:trPr>
        <w:tc>
          <w:tcPr>
            <w:tcW w:w="7260" w:type="dxa"/>
            <w:vAlign w:val="bottom"/>
          </w:tcPr>
          <w:p>
            <w:pPr>
              <w:ind w:left="20"/>
              <w:spacing w:after="0"/>
              <w:rPr>
                <w:sz w:val="20"/>
                <w:szCs w:val="20"/>
                <w:color w:val="auto"/>
              </w:rPr>
            </w:pPr>
            <w:r>
              <w:rPr>
                <w:rFonts w:ascii="Arial" w:cs="Arial" w:eastAsia="Arial" w:hAnsi="Arial"/>
                <w:sz w:val="18"/>
                <w:szCs w:val="18"/>
                <w:color w:val="auto"/>
              </w:rPr>
              <w:t>Postretirement benefits reserves adjustment (excluding amortization)</w:t>
            </w: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(983)</w:t>
            </w:r>
          </w:p>
        </w:tc>
        <w:tc>
          <w:tcPr>
            <w:tcW w:w="1760" w:type="dxa"/>
            <w:vAlign w:val="bottom"/>
          </w:tcPr>
          <w:p>
            <w:pPr>
              <w:jc w:val="right"/>
              <w:ind w:right="457"/>
              <w:spacing w:after="0"/>
              <w:rPr>
                <w:sz w:val="20"/>
                <w:szCs w:val="20"/>
                <w:color w:val="auto"/>
              </w:rPr>
            </w:pPr>
            <w:r>
              <w:rPr>
                <w:rFonts w:ascii="Arial" w:cs="Arial" w:eastAsia="Arial" w:hAnsi="Arial"/>
                <w:sz w:val="18"/>
                <w:szCs w:val="18"/>
                <w:color w:val="auto"/>
              </w:rPr>
              <w:t>109</w:t>
            </w:r>
          </w:p>
        </w:tc>
        <w:tc>
          <w:tcPr>
            <w:tcW w:w="900" w:type="dxa"/>
            <w:vAlign w:val="bottom"/>
          </w:tcPr>
          <w:p>
            <w:pPr>
              <w:jc w:val="right"/>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176"/>
        </w:trPr>
        <w:tc>
          <w:tcPr>
            <w:tcW w:w="7260" w:type="dxa"/>
            <w:vAlign w:val="bottom"/>
          </w:tcPr>
          <w:p>
            <w:pPr>
              <w:ind w:left="20"/>
              <w:spacing w:after="0" w:line="176" w:lineRule="exact"/>
              <w:rPr>
                <w:sz w:val="20"/>
                <w:szCs w:val="20"/>
                <w:color w:val="auto"/>
              </w:rPr>
            </w:pPr>
            <w:r>
              <w:rPr>
                <w:rFonts w:ascii="Arial" w:cs="Arial" w:eastAsia="Arial" w:hAnsi="Arial"/>
                <w:sz w:val="18"/>
                <w:szCs w:val="18"/>
                <w:color w:val="auto"/>
                <w:w w:val="91"/>
              </w:rPr>
              <w:t>Amortization and settlement of postretirement benefits reserves adjustment included in net periodic</w:t>
            </w:r>
          </w:p>
        </w:tc>
        <w:tc>
          <w:tcPr>
            <w:tcW w:w="1320" w:type="dxa"/>
            <w:vAlign w:val="bottom"/>
            <w:vMerge w:val="restart"/>
          </w:tcPr>
          <w:p>
            <w:pPr>
              <w:jc w:val="right"/>
              <w:ind w:right="15"/>
              <w:spacing w:after="0"/>
              <w:rPr>
                <w:sz w:val="20"/>
                <w:szCs w:val="20"/>
                <w:color w:val="auto"/>
              </w:rPr>
            </w:pPr>
            <w:r>
              <w:rPr>
                <w:rFonts w:ascii="Arial" w:cs="Arial" w:eastAsia="Arial" w:hAnsi="Arial"/>
                <w:sz w:val="18"/>
                <w:szCs w:val="18"/>
                <w:color w:val="auto"/>
              </w:rPr>
              <w:t>(304)</w:t>
            </w:r>
          </w:p>
        </w:tc>
        <w:tc>
          <w:tcPr>
            <w:tcW w:w="1760" w:type="dxa"/>
            <w:vAlign w:val="bottom"/>
            <w:vMerge w:val="restart"/>
          </w:tcPr>
          <w:p>
            <w:pPr>
              <w:jc w:val="right"/>
              <w:ind w:right="417"/>
              <w:spacing w:after="0"/>
              <w:rPr>
                <w:sz w:val="20"/>
                <w:szCs w:val="20"/>
                <w:color w:val="auto"/>
              </w:rPr>
            </w:pPr>
            <w:r>
              <w:rPr>
                <w:rFonts w:ascii="Arial" w:cs="Arial" w:eastAsia="Arial" w:hAnsi="Arial"/>
                <w:sz w:val="18"/>
                <w:szCs w:val="18"/>
                <w:color w:val="auto"/>
              </w:rPr>
              <w:t>(262)</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35"/>
        </w:trPr>
        <w:tc>
          <w:tcPr>
            <w:tcW w:w="7260" w:type="dxa"/>
            <w:vAlign w:val="bottom"/>
          </w:tcPr>
          <w:p>
            <w:pPr>
              <w:ind w:left="360"/>
              <w:spacing w:after="0"/>
              <w:rPr>
                <w:sz w:val="20"/>
                <w:szCs w:val="20"/>
                <w:color w:val="auto"/>
              </w:rPr>
            </w:pPr>
            <w:r>
              <w:rPr>
                <w:rFonts w:ascii="Arial" w:cs="Arial" w:eastAsia="Arial" w:hAnsi="Arial"/>
                <w:sz w:val="18"/>
                <w:szCs w:val="18"/>
                <w:color w:val="auto"/>
              </w:rPr>
              <w:t>benefit costs</w:t>
            </w:r>
          </w:p>
        </w:tc>
        <w:tc>
          <w:tcPr>
            <w:tcW w:w="1320" w:type="dxa"/>
            <w:vAlign w:val="bottom"/>
            <w:tcBorders>
              <w:bottom w:val="single" w:sz="8" w:color="auto"/>
            </w:tcBorders>
            <w:vMerge w:val="continue"/>
          </w:tcPr>
          <w:p>
            <w:pPr>
              <w:spacing w:after="0"/>
              <w:rPr>
                <w:sz w:val="19"/>
                <w:szCs w:val="19"/>
                <w:color w:val="auto"/>
              </w:rPr>
            </w:pPr>
          </w:p>
        </w:tc>
        <w:tc>
          <w:tcPr>
            <w:tcW w:w="1760" w:type="dxa"/>
            <w:vAlign w:val="bottom"/>
            <w:tcBorders>
              <w:bottom w:val="single" w:sz="8" w:color="auto"/>
            </w:tcBorders>
            <w:vMerge w:val="continue"/>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60" w:type="dxa"/>
            <w:vAlign w:val="bottom"/>
          </w:tcPr>
          <w:p>
            <w:pPr>
              <w:ind w:left="20"/>
              <w:spacing w:after="0"/>
              <w:rPr>
                <w:sz w:val="20"/>
                <w:szCs w:val="20"/>
                <w:color w:val="auto"/>
              </w:rPr>
            </w:pPr>
            <w:r>
              <w:rPr>
                <w:rFonts w:ascii="Arial" w:cs="Arial" w:eastAsia="Arial" w:hAnsi="Arial"/>
                <w:sz w:val="18"/>
                <w:szCs w:val="18"/>
                <w:color w:val="auto"/>
              </w:rPr>
              <w:t>Total</w:t>
            </w:r>
          </w:p>
        </w:tc>
        <w:tc>
          <w:tcPr>
            <w:tcW w:w="13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(1,401)</w:t>
            </w:r>
          </w:p>
        </w:tc>
        <w:tc>
          <w:tcPr>
            <w:tcW w:w="1760" w:type="dxa"/>
            <w:vAlign w:val="bottom"/>
            <w:tcBorders>
              <w:bottom w:val="single" w:sz="8" w:color="auto"/>
            </w:tcBorders>
          </w:tcPr>
          <w:p>
            <w:pPr>
              <w:jc w:val="right"/>
              <w:ind w:right="417"/>
              <w:spacing w:after="0"/>
              <w:rPr>
                <w:sz w:val="20"/>
                <w:szCs w:val="20"/>
                <w:color w:val="auto"/>
              </w:rPr>
            </w:pPr>
            <w:r>
              <w:rPr>
                <w:rFonts w:ascii="Arial" w:cs="Arial" w:eastAsia="Arial" w:hAnsi="Arial"/>
                <w:sz w:val="18"/>
                <w:szCs w:val="18"/>
                <w:color w:val="auto"/>
              </w:rPr>
              <w:t>(35)</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965"/>
        </w:trPr>
        <w:tc>
          <w:tcPr>
            <w:tcW w:w="7260" w:type="dxa"/>
            <w:vAlign w:val="bottom"/>
          </w:tcPr>
          <w:p>
            <w:pPr>
              <w:ind w:left="5540"/>
              <w:spacing w:after="0"/>
              <w:rPr>
                <w:sz w:val="20"/>
                <w:szCs w:val="20"/>
                <w:color w:val="auto"/>
              </w:rPr>
            </w:pPr>
            <w:r>
              <w:rPr>
                <w:rFonts w:ascii="Arial" w:cs="Arial" w:eastAsia="Arial" w:hAnsi="Arial"/>
                <w:sz w:val="18"/>
                <w:szCs w:val="18"/>
                <w:color w:val="auto"/>
              </w:rPr>
              <w:t>81</w:t>
            </w:r>
          </w:p>
        </w:tc>
        <w:tc>
          <w:tcPr>
            <w:tcW w:w="13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726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176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3" w:name="page84"/>
    <w:bookmarkEnd w:id="83"/>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Cash Flow Information</w:t>
      </w:r>
    </w:p>
    <w:p>
      <w:pPr>
        <w:spacing w:after="0" w:line="1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Consolidated Statement of Cash Flows provides information about changes in cash and cash equivalents. Highly liquid investments with maturities of three months or less when acquired are classified as cash equivalents.</w:t>
      </w:r>
    </w:p>
    <w:p>
      <w:pPr>
        <w:spacing w:after="0" w:line="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For 2021, the “Net (gain)/loss on asset sales” on the Consolidated Statement of Cash Flows includes before-tax amounts from the sale of non-operated upstream assets in the United Kingdom Central and Northern North Sea and the sale of ExxonMobil's global </w:t>
      </w:r>
      <w:r>
        <w:rPr>
          <w:rFonts w:ascii="Arial" w:cs="Arial" w:eastAsia="Arial" w:hAnsi="Arial"/>
          <w:sz w:val="17"/>
          <w:szCs w:val="17"/>
          <w:i w:val="1"/>
          <w:iCs w:val="1"/>
          <w:color w:val="auto"/>
        </w:rPr>
        <w:t>Santoprene</w:t>
      </w:r>
      <w:r>
        <w:rPr>
          <w:rFonts w:ascii="Arial" w:cs="Arial" w:eastAsia="Arial" w:hAnsi="Arial"/>
          <w:sz w:val="17"/>
          <w:szCs w:val="17"/>
          <w:color w:val="auto"/>
        </w:rPr>
        <w:t xml:space="preserve"> business. The United Kingdom Central and Northern North Sea assets were sold to Neo Energy, resulting in a before-tax gain of $0.4 billion and cash proceeds of $0.7 billion in 2021. The </w:t>
      </w:r>
      <w:r>
        <w:rPr>
          <w:rFonts w:ascii="Arial" w:cs="Arial" w:eastAsia="Arial" w:hAnsi="Arial"/>
          <w:sz w:val="17"/>
          <w:szCs w:val="17"/>
          <w:i w:val="1"/>
          <w:iCs w:val="1"/>
          <w:color w:val="auto"/>
        </w:rPr>
        <w:t xml:space="preserve">Santoprene </w:t>
      </w:r>
      <w:r>
        <w:rPr>
          <w:rFonts w:ascii="Arial" w:cs="Arial" w:eastAsia="Arial" w:hAnsi="Arial"/>
          <w:sz w:val="17"/>
          <w:szCs w:val="17"/>
          <w:color w:val="auto"/>
        </w:rPr>
        <w:t>business, including two chemical manufacturing sites in Pensacola, Florida and Newport, Wales, was sold to Celanese, resulting in a before-tax</w:t>
      </w:r>
      <w:r>
        <w:rPr>
          <w:rFonts w:ascii="Arial" w:cs="Arial" w:eastAsia="Arial" w:hAnsi="Arial"/>
          <w:sz w:val="17"/>
          <w:szCs w:val="17"/>
          <w:i w:val="1"/>
          <w:iCs w:val="1"/>
          <w:color w:val="auto"/>
        </w:rPr>
        <w:t xml:space="preserve"> </w:t>
      </w:r>
      <w:r>
        <w:rPr>
          <w:rFonts w:ascii="Arial" w:cs="Arial" w:eastAsia="Arial" w:hAnsi="Arial"/>
          <w:sz w:val="17"/>
          <w:szCs w:val="17"/>
          <w:color w:val="auto"/>
        </w:rPr>
        <w:t>gain of $0.8 billion and cash proceeds of $1.1 billion in 2021. For 2019, the “Net (gain)/loss on asset sales” line includes before-tax amounts from the sale of non-operated upstream assets in Norway and upstream asset transactions in the U.S. The Norway assets were sold for $4.5 billion, resulting in a gain of $3.7 billion and cash proceeds of $3.1 billion in 2019.</w:t>
      </w:r>
    </w:p>
    <w:p>
      <w:pPr>
        <w:spacing w:after="0" w:line="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2020, the “Depreciation and depletion” and “Deferred income tax charges/(credits)” on the Consolidated Statement of Cash Flows include impacts from asset impairments, primarily in Upstream.</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260" w:type="dxa"/>
            <w:vAlign w:val="bottom"/>
          </w:tcPr>
          <w:p>
            <w:pPr>
              <w:spacing w:after="0"/>
              <w:rPr>
                <w:sz w:val="16"/>
                <w:szCs w:val="16"/>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2021</w:t>
            </w:r>
          </w:p>
        </w:tc>
        <w:tc>
          <w:tcPr>
            <w:tcW w:w="1440" w:type="dxa"/>
            <w:vAlign w:val="bottom"/>
          </w:tcPr>
          <w:p>
            <w:pPr>
              <w:jc w:val="right"/>
              <w:ind w:right="74"/>
              <w:spacing w:after="0"/>
              <w:rPr>
                <w:sz w:val="20"/>
                <w:szCs w:val="20"/>
                <w:color w:val="auto"/>
              </w:rPr>
            </w:pPr>
            <w:r>
              <w:rPr>
                <w:rFonts w:ascii="Arial" w:cs="Arial" w:eastAsia="Arial" w:hAnsi="Arial"/>
                <w:sz w:val="14"/>
                <w:szCs w:val="14"/>
                <w:b w:val="1"/>
                <w:bCs w:val="1"/>
                <w:color w:val="auto"/>
              </w:rPr>
              <w:t>2020</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r>
      <w:tr>
        <w:trPr>
          <w:trHeight w:val="39"/>
        </w:trPr>
        <w:tc>
          <w:tcPr>
            <w:tcW w:w="72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184"/>
        </w:trPr>
        <w:tc>
          <w:tcPr>
            <w:tcW w:w="7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Pr>
          <w:p>
            <w:pPr>
              <w:jc w:val="right"/>
              <w:ind w:right="114"/>
              <w:spacing w:after="0"/>
              <w:rPr>
                <w:sz w:val="20"/>
                <w:szCs w:val="20"/>
                <w:color w:val="auto"/>
              </w:rPr>
            </w:pPr>
            <w:r>
              <w:rPr>
                <w:rFonts w:ascii="Arial" w:cs="Arial" w:eastAsia="Arial" w:hAnsi="Arial"/>
                <w:sz w:val="14"/>
                <w:szCs w:val="14"/>
                <w:i w:val="1"/>
                <w:iCs w:val="1"/>
                <w:color w:val="auto"/>
              </w:rPr>
              <w:t>(millions of dollars)</w:t>
            </w:r>
          </w:p>
        </w:tc>
        <w:tc>
          <w:tcPr>
            <w:tcW w:w="1220" w:type="dxa"/>
            <w:vAlign w:val="bottom"/>
          </w:tcPr>
          <w:p>
            <w:pPr>
              <w:spacing w:after="0"/>
              <w:rPr>
                <w:sz w:val="16"/>
                <w:szCs w:val="16"/>
                <w:color w:val="auto"/>
              </w:rPr>
            </w:pPr>
          </w:p>
        </w:tc>
      </w:tr>
      <w:tr>
        <w:trPr>
          <w:trHeight w:val="268"/>
        </w:trPr>
        <w:tc>
          <w:tcPr>
            <w:tcW w:w="7260" w:type="dxa"/>
            <w:vAlign w:val="bottom"/>
          </w:tcPr>
          <w:p>
            <w:pPr>
              <w:ind w:left="20"/>
              <w:spacing w:after="0"/>
              <w:rPr>
                <w:sz w:val="20"/>
                <w:szCs w:val="20"/>
                <w:color w:val="auto"/>
              </w:rPr>
            </w:pPr>
            <w:r>
              <w:rPr>
                <w:rFonts w:ascii="Arial" w:cs="Arial" w:eastAsia="Arial" w:hAnsi="Arial"/>
                <w:sz w:val="18"/>
                <w:szCs w:val="18"/>
                <w:color w:val="auto"/>
              </w:rPr>
              <w:t>Income taxes paid</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5,341</w:t>
            </w:r>
          </w:p>
        </w:tc>
        <w:tc>
          <w:tcPr>
            <w:tcW w:w="1440" w:type="dxa"/>
            <w:vAlign w:val="bottom"/>
          </w:tcPr>
          <w:p>
            <w:pPr>
              <w:jc w:val="right"/>
              <w:ind w:right="134"/>
              <w:spacing w:after="0"/>
              <w:rPr>
                <w:sz w:val="20"/>
                <w:szCs w:val="20"/>
                <w:color w:val="auto"/>
              </w:rPr>
            </w:pPr>
            <w:r>
              <w:rPr>
                <w:rFonts w:ascii="Arial" w:cs="Arial" w:eastAsia="Arial" w:hAnsi="Arial"/>
                <w:sz w:val="18"/>
                <w:szCs w:val="18"/>
                <w:color w:val="auto"/>
              </w:rPr>
              <w:t>2,428</w:t>
            </w:r>
          </w:p>
        </w:tc>
        <w:tc>
          <w:tcPr>
            <w:tcW w:w="1220" w:type="dxa"/>
            <w:vAlign w:val="bottom"/>
          </w:tcPr>
          <w:p>
            <w:pPr>
              <w:jc w:val="right"/>
              <w:spacing w:after="0"/>
              <w:rPr>
                <w:sz w:val="20"/>
                <w:szCs w:val="20"/>
                <w:color w:val="auto"/>
              </w:rPr>
            </w:pPr>
            <w:r>
              <w:rPr>
                <w:rFonts w:ascii="Arial" w:cs="Arial" w:eastAsia="Arial" w:hAnsi="Arial"/>
                <w:sz w:val="18"/>
                <w:szCs w:val="18"/>
                <w:color w:val="auto"/>
              </w:rPr>
              <w:t>7,018</w:t>
            </w:r>
          </w:p>
        </w:tc>
      </w:tr>
      <w:tr>
        <w:trPr>
          <w:trHeight w:val="230"/>
        </w:trPr>
        <w:tc>
          <w:tcPr>
            <w:tcW w:w="7260" w:type="dxa"/>
            <w:vAlign w:val="bottom"/>
          </w:tcPr>
          <w:p>
            <w:pPr>
              <w:ind w:left="20"/>
              <w:spacing w:after="0"/>
              <w:rPr>
                <w:sz w:val="20"/>
                <w:szCs w:val="20"/>
                <w:color w:val="auto"/>
              </w:rPr>
            </w:pPr>
            <w:r>
              <w:rPr>
                <w:rFonts w:ascii="Arial" w:cs="Arial" w:eastAsia="Arial" w:hAnsi="Arial"/>
                <w:sz w:val="18"/>
                <w:szCs w:val="18"/>
                <w:color w:val="auto"/>
              </w:rPr>
              <w:t>Cash interest paid</w:t>
            </w: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7260" w:type="dxa"/>
            <w:vAlign w:val="bottom"/>
          </w:tcPr>
          <w:p>
            <w:pPr>
              <w:ind w:left="220"/>
              <w:spacing w:after="0"/>
              <w:rPr>
                <w:sz w:val="20"/>
                <w:szCs w:val="20"/>
                <w:color w:val="auto"/>
              </w:rPr>
            </w:pPr>
            <w:r>
              <w:rPr>
                <w:rFonts w:ascii="Arial" w:cs="Arial" w:eastAsia="Arial" w:hAnsi="Arial"/>
                <w:sz w:val="18"/>
                <w:szCs w:val="18"/>
                <w:color w:val="auto"/>
              </w:rPr>
              <w:t>Included in cash flows from operating activities</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819</w:t>
            </w:r>
          </w:p>
        </w:tc>
        <w:tc>
          <w:tcPr>
            <w:tcW w:w="1440" w:type="dxa"/>
            <w:vAlign w:val="bottom"/>
          </w:tcPr>
          <w:p>
            <w:pPr>
              <w:jc w:val="right"/>
              <w:ind w:right="134"/>
              <w:spacing w:after="0"/>
              <w:rPr>
                <w:sz w:val="20"/>
                <w:szCs w:val="20"/>
                <w:color w:val="auto"/>
              </w:rPr>
            </w:pPr>
            <w:r>
              <w:rPr>
                <w:rFonts w:ascii="Arial" w:cs="Arial" w:eastAsia="Arial" w:hAnsi="Arial"/>
                <w:sz w:val="18"/>
                <w:szCs w:val="18"/>
                <w:color w:val="auto"/>
              </w:rPr>
              <w:t>786</w:t>
            </w:r>
          </w:p>
        </w:tc>
        <w:tc>
          <w:tcPr>
            <w:tcW w:w="1220" w:type="dxa"/>
            <w:vAlign w:val="bottom"/>
          </w:tcPr>
          <w:p>
            <w:pPr>
              <w:jc w:val="right"/>
              <w:spacing w:after="0"/>
              <w:rPr>
                <w:sz w:val="20"/>
                <w:szCs w:val="20"/>
                <w:color w:val="auto"/>
              </w:rPr>
            </w:pPr>
            <w:r>
              <w:rPr>
                <w:rFonts w:ascii="Arial" w:cs="Arial" w:eastAsia="Arial" w:hAnsi="Arial"/>
                <w:sz w:val="18"/>
                <w:szCs w:val="18"/>
                <w:color w:val="auto"/>
              </w:rPr>
              <w:t>560</w:t>
            </w:r>
          </w:p>
        </w:tc>
      </w:tr>
      <w:tr>
        <w:trPr>
          <w:trHeight w:val="230"/>
        </w:trPr>
        <w:tc>
          <w:tcPr>
            <w:tcW w:w="7260" w:type="dxa"/>
            <w:vAlign w:val="bottom"/>
          </w:tcPr>
          <w:p>
            <w:pPr>
              <w:ind w:left="220"/>
              <w:spacing w:after="0"/>
              <w:rPr>
                <w:sz w:val="20"/>
                <w:szCs w:val="20"/>
                <w:color w:val="auto"/>
              </w:rPr>
            </w:pPr>
            <w:r>
              <w:rPr>
                <w:rFonts w:ascii="Arial" w:cs="Arial" w:eastAsia="Arial" w:hAnsi="Arial"/>
                <w:sz w:val="18"/>
                <w:szCs w:val="18"/>
                <w:color w:val="auto"/>
              </w:rPr>
              <w:t>Capitalized, included in cash flows from investing activities</w:t>
            </w:r>
          </w:p>
        </w:tc>
        <w:tc>
          <w:tcPr>
            <w:tcW w:w="13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655</w:t>
            </w:r>
          </w:p>
        </w:tc>
        <w:tc>
          <w:tcPr>
            <w:tcW w:w="144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665</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731</w:t>
            </w:r>
          </w:p>
        </w:tc>
      </w:tr>
      <w:tr>
        <w:trPr>
          <w:trHeight w:val="223"/>
        </w:trPr>
        <w:tc>
          <w:tcPr>
            <w:tcW w:w="7260" w:type="dxa"/>
            <w:vAlign w:val="bottom"/>
          </w:tcPr>
          <w:p>
            <w:pPr>
              <w:ind w:left="480"/>
              <w:spacing w:after="0"/>
              <w:rPr>
                <w:sz w:val="20"/>
                <w:szCs w:val="20"/>
                <w:color w:val="auto"/>
              </w:rPr>
            </w:pPr>
            <w:r>
              <w:rPr>
                <w:rFonts w:ascii="Arial" w:cs="Arial" w:eastAsia="Arial" w:hAnsi="Arial"/>
                <w:sz w:val="18"/>
                <w:szCs w:val="18"/>
                <w:color w:val="auto"/>
              </w:rPr>
              <w:t>Total cash interest paid</w:t>
            </w:r>
          </w:p>
        </w:tc>
        <w:tc>
          <w:tcPr>
            <w:tcW w:w="13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1,474</w:t>
            </w:r>
          </w:p>
        </w:tc>
        <w:tc>
          <w:tcPr>
            <w:tcW w:w="144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1,451</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1,291</w:t>
            </w:r>
          </w:p>
        </w:tc>
      </w:tr>
      <w:tr>
        <w:trPr>
          <w:trHeight w:val="547"/>
        </w:trPr>
        <w:tc>
          <w:tcPr>
            <w:tcW w:w="7260" w:type="dxa"/>
            <w:vAlign w:val="bottom"/>
          </w:tcPr>
          <w:p>
            <w:pPr>
              <w:spacing w:after="0"/>
              <w:rPr>
                <w:sz w:val="20"/>
                <w:szCs w:val="20"/>
                <w:color w:val="auto"/>
              </w:rPr>
            </w:pPr>
            <w:r>
              <w:rPr>
                <w:rFonts w:ascii="Arial" w:cs="Arial" w:eastAsia="Arial" w:hAnsi="Arial"/>
                <w:sz w:val="18"/>
                <w:szCs w:val="18"/>
                <w:b w:val="1"/>
                <w:bCs w:val="1"/>
                <w:color w:val="auto"/>
              </w:rPr>
              <w:t>6. Additional Working Capital Information</w:t>
            </w: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45"/>
        </w:trPr>
        <w:tc>
          <w:tcPr>
            <w:tcW w:w="72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Dec 31, 2021</w:t>
            </w:r>
          </w:p>
        </w:tc>
        <w:tc>
          <w:tcPr>
            <w:tcW w:w="12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Dec 31, 2020</w:t>
            </w:r>
          </w:p>
        </w:tc>
      </w:tr>
      <w:tr>
        <w:trPr>
          <w:trHeight w:val="190"/>
        </w:trPr>
        <w:tc>
          <w:tcPr>
            <w:tcW w:w="7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60" w:type="dxa"/>
            <w:vAlign w:val="bottom"/>
            <w:gridSpan w:val="2"/>
          </w:tcPr>
          <w:p>
            <w:pPr>
              <w:jc w:val="right"/>
              <w:ind w:right="752"/>
              <w:spacing w:after="0"/>
              <w:rPr>
                <w:sz w:val="20"/>
                <w:szCs w:val="20"/>
                <w:color w:val="auto"/>
              </w:rPr>
            </w:pPr>
            <w:r>
              <w:rPr>
                <w:rFonts w:ascii="Arial" w:cs="Arial" w:eastAsia="Arial" w:hAnsi="Arial"/>
                <w:sz w:val="14"/>
                <w:szCs w:val="14"/>
                <w:i w:val="1"/>
                <w:iCs w:val="1"/>
                <w:color w:val="auto"/>
              </w:rPr>
              <w:t>(millions of dollars)</w:t>
            </w:r>
          </w:p>
        </w:tc>
      </w:tr>
      <w:tr>
        <w:trPr>
          <w:trHeight w:val="268"/>
        </w:trPr>
        <w:tc>
          <w:tcPr>
            <w:tcW w:w="7260" w:type="dxa"/>
            <w:vAlign w:val="bottom"/>
          </w:tcPr>
          <w:p>
            <w:pPr>
              <w:ind w:left="20"/>
              <w:spacing w:after="0"/>
              <w:rPr>
                <w:sz w:val="20"/>
                <w:szCs w:val="20"/>
                <w:color w:val="auto"/>
              </w:rPr>
            </w:pPr>
            <w:r>
              <w:rPr>
                <w:rFonts w:ascii="Arial" w:cs="Arial" w:eastAsia="Arial" w:hAnsi="Arial"/>
                <w:sz w:val="18"/>
                <w:szCs w:val="18"/>
                <w:color w:val="auto"/>
              </w:rPr>
              <w:t>Notes and accounts receivable</w:t>
            </w:r>
          </w:p>
        </w:tc>
        <w:tc>
          <w:tcPr>
            <w:tcW w:w="1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30"/>
        </w:trPr>
        <w:tc>
          <w:tcPr>
            <w:tcW w:w="7260" w:type="dxa"/>
            <w:vAlign w:val="bottom"/>
          </w:tcPr>
          <w:p>
            <w:pPr>
              <w:ind w:left="220"/>
              <w:spacing w:after="0"/>
              <w:rPr>
                <w:sz w:val="20"/>
                <w:szCs w:val="20"/>
                <w:color w:val="auto"/>
              </w:rPr>
            </w:pPr>
            <w:r>
              <w:rPr>
                <w:rFonts w:ascii="Arial" w:cs="Arial" w:eastAsia="Arial" w:hAnsi="Arial"/>
                <w:sz w:val="18"/>
                <w:szCs w:val="18"/>
                <w:color w:val="auto"/>
              </w:rPr>
              <w:t>Trade, less reserves of $159 million and $96 million</w:t>
            </w: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ind w:right="234"/>
              <w:spacing w:after="0"/>
              <w:rPr>
                <w:sz w:val="20"/>
                <w:szCs w:val="20"/>
                <w:color w:val="auto"/>
              </w:rPr>
            </w:pPr>
            <w:r>
              <w:rPr>
                <w:rFonts w:ascii="Arial" w:cs="Arial" w:eastAsia="Arial" w:hAnsi="Arial"/>
                <w:sz w:val="18"/>
                <w:szCs w:val="18"/>
                <w:color w:val="auto"/>
              </w:rPr>
              <w:t>26,883</w:t>
            </w:r>
          </w:p>
        </w:tc>
        <w:tc>
          <w:tcPr>
            <w:tcW w:w="1220" w:type="dxa"/>
            <w:vAlign w:val="bottom"/>
          </w:tcPr>
          <w:p>
            <w:pPr>
              <w:jc w:val="right"/>
              <w:spacing w:after="0"/>
              <w:rPr>
                <w:sz w:val="20"/>
                <w:szCs w:val="20"/>
                <w:color w:val="auto"/>
              </w:rPr>
            </w:pPr>
            <w:r>
              <w:rPr>
                <w:rFonts w:ascii="Arial" w:cs="Arial" w:eastAsia="Arial" w:hAnsi="Arial"/>
                <w:sz w:val="18"/>
                <w:szCs w:val="18"/>
                <w:color w:val="auto"/>
              </w:rPr>
              <w:t>16,339</w:t>
            </w:r>
          </w:p>
        </w:tc>
      </w:tr>
      <w:tr>
        <w:trPr>
          <w:trHeight w:val="230"/>
        </w:trPr>
        <w:tc>
          <w:tcPr>
            <w:tcW w:w="7260" w:type="dxa"/>
            <w:vAlign w:val="bottom"/>
          </w:tcPr>
          <w:p>
            <w:pPr>
              <w:ind w:left="220"/>
              <w:spacing w:after="0"/>
              <w:rPr>
                <w:sz w:val="20"/>
                <w:szCs w:val="20"/>
                <w:color w:val="auto"/>
              </w:rPr>
            </w:pPr>
            <w:r>
              <w:rPr>
                <w:rFonts w:ascii="Arial" w:cs="Arial" w:eastAsia="Arial" w:hAnsi="Arial"/>
                <w:sz w:val="18"/>
                <w:szCs w:val="18"/>
                <w:color w:val="auto"/>
              </w:rPr>
              <w:t>Other, less reserves of $381 million and $378 million</w:t>
            </w:r>
          </w:p>
        </w:tc>
        <w:tc>
          <w:tcPr>
            <w:tcW w:w="1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234"/>
              <w:spacing w:after="0"/>
              <w:rPr>
                <w:sz w:val="20"/>
                <w:szCs w:val="20"/>
                <w:color w:val="auto"/>
              </w:rPr>
            </w:pPr>
            <w:r>
              <w:rPr>
                <w:rFonts w:ascii="Arial" w:cs="Arial" w:eastAsia="Arial" w:hAnsi="Arial"/>
                <w:sz w:val="18"/>
                <w:szCs w:val="18"/>
                <w:color w:val="auto"/>
              </w:rPr>
              <w:t>5,500</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4,242</w:t>
            </w:r>
          </w:p>
        </w:tc>
      </w:tr>
      <w:tr>
        <w:trPr>
          <w:trHeight w:val="223"/>
        </w:trPr>
        <w:tc>
          <w:tcPr>
            <w:tcW w:w="7260" w:type="dxa"/>
            <w:vAlign w:val="bottom"/>
          </w:tcPr>
          <w:p>
            <w:pPr>
              <w:ind w:left="480"/>
              <w:spacing w:after="0"/>
              <w:rPr>
                <w:sz w:val="20"/>
                <w:szCs w:val="20"/>
                <w:color w:val="auto"/>
              </w:rPr>
            </w:pPr>
            <w:r>
              <w:rPr>
                <w:rFonts w:ascii="Arial" w:cs="Arial" w:eastAsia="Arial" w:hAnsi="Arial"/>
                <w:sz w:val="18"/>
                <w:szCs w:val="18"/>
                <w:color w:val="auto"/>
              </w:rPr>
              <w:t>Total</w:t>
            </w:r>
          </w:p>
        </w:tc>
        <w:tc>
          <w:tcPr>
            <w:tcW w:w="1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234"/>
              <w:spacing w:after="0"/>
              <w:rPr>
                <w:sz w:val="20"/>
                <w:szCs w:val="20"/>
                <w:color w:val="auto"/>
              </w:rPr>
            </w:pPr>
            <w:r>
              <w:rPr>
                <w:rFonts w:ascii="Arial" w:cs="Arial" w:eastAsia="Arial" w:hAnsi="Arial"/>
                <w:sz w:val="18"/>
                <w:szCs w:val="18"/>
                <w:color w:val="auto"/>
              </w:rPr>
              <w:t>32,383</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20,581</w:t>
            </w:r>
          </w:p>
        </w:tc>
      </w:tr>
      <w:tr>
        <w:trPr>
          <w:trHeight w:val="209"/>
        </w:trPr>
        <w:tc>
          <w:tcPr>
            <w:tcW w:w="7260" w:type="dxa"/>
            <w:vAlign w:val="bottom"/>
          </w:tcPr>
          <w:p>
            <w:pPr>
              <w:ind w:left="20"/>
              <w:spacing w:after="0"/>
              <w:rPr>
                <w:sz w:val="20"/>
                <w:szCs w:val="20"/>
                <w:color w:val="auto"/>
              </w:rPr>
            </w:pPr>
            <w:r>
              <w:rPr>
                <w:rFonts w:ascii="Arial" w:cs="Arial" w:eastAsia="Arial" w:hAnsi="Arial"/>
                <w:sz w:val="18"/>
                <w:szCs w:val="18"/>
                <w:color w:val="auto"/>
              </w:rPr>
              <w:t>Notes and loans payable</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0"/>
        </w:trPr>
        <w:tc>
          <w:tcPr>
            <w:tcW w:w="7260" w:type="dxa"/>
            <w:vAlign w:val="bottom"/>
          </w:tcPr>
          <w:p>
            <w:pPr>
              <w:ind w:left="220"/>
              <w:spacing w:after="0"/>
              <w:rPr>
                <w:sz w:val="20"/>
                <w:szCs w:val="20"/>
                <w:color w:val="auto"/>
              </w:rPr>
            </w:pPr>
            <w:r>
              <w:rPr>
                <w:rFonts w:ascii="Arial" w:cs="Arial" w:eastAsia="Arial" w:hAnsi="Arial"/>
                <w:sz w:val="18"/>
                <w:szCs w:val="18"/>
                <w:color w:val="auto"/>
              </w:rPr>
              <w:t>Bank loans</w:t>
            </w: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ind w:right="234"/>
              <w:spacing w:after="0"/>
              <w:rPr>
                <w:sz w:val="20"/>
                <w:szCs w:val="20"/>
                <w:color w:val="auto"/>
              </w:rPr>
            </w:pPr>
            <w:r>
              <w:rPr>
                <w:rFonts w:ascii="Arial" w:cs="Arial" w:eastAsia="Arial" w:hAnsi="Arial"/>
                <w:sz w:val="18"/>
                <w:szCs w:val="18"/>
                <w:color w:val="auto"/>
              </w:rPr>
              <w:t>276</w:t>
            </w:r>
          </w:p>
        </w:tc>
        <w:tc>
          <w:tcPr>
            <w:tcW w:w="1220" w:type="dxa"/>
            <w:vAlign w:val="bottom"/>
          </w:tcPr>
          <w:p>
            <w:pPr>
              <w:jc w:val="right"/>
              <w:spacing w:after="0"/>
              <w:rPr>
                <w:sz w:val="20"/>
                <w:szCs w:val="20"/>
                <w:color w:val="auto"/>
              </w:rPr>
            </w:pPr>
            <w:r>
              <w:rPr>
                <w:rFonts w:ascii="Arial" w:cs="Arial" w:eastAsia="Arial" w:hAnsi="Arial"/>
                <w:sz w:val="18"/>
                <w:szCs w:val="18"/>
                <w:color w:val="auto"/>
              </w:rPr>
              <w:t>222</w:t>
            </w:r>
          </w:p>
        </w:tc>
      </w:tr>
      <w:tr>
        <w:trPr>
          <w:trHeight w:val="230"/>
        </w:trPr>
        <w:tc>
          <w:tcPr>
            <w:tcW w:w="7260" w:type="dxa"/>
            <w:vAlign w:val="bottom"/>
          </w:tcPr>
          <w:p>
            <w:pPr>
              <w:ind w:left="220"/>
              <w:spacing w:after="0"/>
              <w:rPr>
                <w:sz w:val="20"/>
                <w:szCs w:val="20"/>
                <w:color w:val="auto"/>
              </w:rPr>
            </w:pPr>
            <w:r>
              <w:rPr>
                <w:rFonts w:ascii="Arial" w:cs="Arial" w:eastAsia="Arial" w:hAnsi="Arial"/>
                <w:sz w:val="18"/>
                <w:szCs w:val="18"/>
                <w:color w:val="auto"/>
              </w:rPr>
              <w:t>Commercial paper</w:t>
            </w: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ind w:right="234"/>
              <w:spacing w:after="0"/>
              <w:rPr>
                <w:sz w:val="20"/>
                <w:szCs w:val="20"/>
                <w:color w:val="auto"/>
              </w:rPr>
            </w:pPr>
            <w:r>
              <w:rPr>
                <w:rFonts w:ascii="Arial" w:cs="Arial" w:eastAsia="Arial" w:hAnsi="Arial"/>
                <w:sz w:val="18"/>
                <w:szCs w:val="18"/>
                <w:color w:val="auto"/>
              </w:rPr>
              <w:t>1,608</w:t>
            </w:r>
          </w:p>
        </w:tc>
        <w:tc>
          <w:tcPr>
            <w:tcW w:w="1220" w:type="dxa"/>
            <w:vAlign w:val="bottom"/>
          </w:tcPr>
          <w:p>
            <w:pPr>
              <w:jc w:val="right"/>
              <w:spacing w:after="0"/>
              <w:rPr>
                <w:sz w:val="20"/>
                <w:szCs w:val="20"/>
                <w:color w:val="auto"/>
              </w:rPr>
            </w:pPr>
            <w:r>
              <w:rPr>
                <w:rFonts w:ascii="Arial" w:cs="Arial" w:eastAsia="Arial" w:hAnsi="Arial"/>
                <w:sz w:val="18"/>
                <w:szCs w:val="18"/>
                <w:color w:val="auto"/>
              </w:rPr>
              <w:t>17,306</w:t>
            </w:r>
          </w:p>
        </w:tc>
      </w:tr>
      <w:tr>
        <w:trPr>
          <w:trHeight w:val="230"/>
        </w:trPr>
        <w:tc>
          <w:tcPr>
            <w:tcW w:w="7260" w:type="dxa"/>
            <w:vAlign w:val="bottom"/>
          </w:tcPr>
          <w:p>
            <w:pPr>
              <w:ind w:left="220"/>
              <w:spacing w:after="0"/>
              <w:rPr>
                <w:sz w:val="20"/>
                <w:szCs w:val="20"/>
                <w:color w:val="auto"/>
              </w:rPr>
            </w:pPr>
            <w:r>
              <w:rPr>
                <w:rFonts w:ascii="Arial" w:cs="Arial" w:eastAsia="Arial" w:hAnsi="Arial"/>
                <w:sz w:val="18"/>
                <w:szCs w:val="18"/>
                <w:color w:val="auto"/>
              </w:rPr>
              <w:t>Long-term debt due within one year</w:t>
            </w:r>
          </w:p>
        </w:tc>
        <w:tc>
          <w:tcPr>
            <w:tcW w:w="1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234"/>
              <w:spacing w:after="0"/>
              <w:rPr>
                <w:sz w:val="20"/>
                <w:szCs w:val="20"/>
                <w:color w:val="auto"/>
              </w:rPr>
            </w:pPr>
            <w:r>
              <w:rPr>
                <w:rFonts w:ascii="Arial" w:cs="Arial" w:eastAsia="Arial" w:hAnsi="Arial"/>
                <w:sz w:val="18"/>
                <w:szCs w:val="18"/>
                <w:color w:val="auto"/>
              </w:rPr>
              <w:t>2,392</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2,930</w:t>
            </w:r>
          </w:p>
        </w:tc>
      </w:tr>
      <w:tr>
        <w:trPr>
          <w:trHeight w:val="223"/>
        </w:trPr>
        <w:tc>
          <w:tcPr>
            <w:tcW w:w="7260" w:type="dxa"/>
            <w:vAlign w:val="bottom"/>
          </w:tcPr>
          <w:p>
            <w:pPr>
              <w:ind w:left="480"/>
              <w:spacing w:after="0"/>
              <w:rPr>
                <w:sz w:val="20"/>
                <w:szCs w:val="20"/>
                <w:color w:val="auto"/>
              </w:rPr>
            </w:pPr>
            <w:r>
              <w:rPr>
                <w:rFonts w:ascii="Arial" w:cs="Arial" w:eastAsia="Arial" w:hAnsi="Arial"/>
                <w:sz w:val="18"/>
                <w:szCs w:val="18"/>
                <w:color w:val="auto"/>
              </w:rPr>
              <w:t>Total</w:t>
            </w:r>
          </w:p>
        </w:tc>
        <w:tc>
          <w:tcPr>
            <w:tcW w:w="1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234"/>
              <w:spacing w:after="0"/>
              <w:rPr>
                <w:sz w:val="20"/>
                <w:szCs w:val="20"/>
                <w:color w:val="auto"/>
              </w:rPr>
            </w:pPr>
            <w:r>
              <w:rPr>
                <w:rFonts w:ascii="Arial" w:cs="Arial" w:eastAsia="Arial" w:hAnsi="Arial"/>
                <w:sz w:val="18"/>
                <w:szCs w:val="18"/>
                <w:color w:val="auto"/>
              </w:rPr>
              <w:t>4,276</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20,458</w:t>
            </w:r>
          </w:p>
        </w:tc>
      </w:tr>
      <w:tr>
        <w:trPr>
          <w:trHeight w:val="209"/>
        </w:trPr>
        <w:tc>
          <w:tcPr>
            <w:tcW w:w="7260" w:type="dxa"/>
            <w:vAlign w:val="bottom"/>
          </w:tcPr>
          <w:p>
            <w:pPr>
              <w:ind w:left="20"/>
              <w:spacing w:after="0"/>
              <w:rPr>
                <w:sz w:val="20"/>
                <w:szCs w:val="20"/>
                <w:color w:val="auto"/>
              </w:rPr>
            </w:pPr>
            <w:r>
              <w:rPr>
                <w:rFonts w:ascii="Arial" w:cs="Arial" w:eastAsia="Arial" w:hAnsi="Arial"/>
                <w:sz w:val="18"/>
                <w:szCs w:val="18"/>
                <w:color w:val="auto"/>
              </w:rPr>
              <w:t>Accounts payable and accrued liabilities</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0"/>
        </w:trPr>
        <w:tc>
          <w:tcPr>
            <w:tcW w:w="7260" w:type="dxa"/>
            <w:vAlign w:val="bottom"/>
          </w:tcPr>
          <w:p>
            <w:pPr>
              <w:ind w:left="220"/>
              <w:spacing w:after="0"/>
              <w:rPr>
                <w:sz w:val="20"/>
                <w:szCs w:val="20"/>
                <w:color w:val="auto"/>
              </w:rPr>
            </w:pPr>
            <w:r>
              <w:rPr>
                <w:rFonts w:ascii="Arial" w:cs="Arial" w:eastAsia="Arial" w:hAnsi="Arial"/>
                <w:sz w:val="18"/>
                <w:szCs w:val="18"/>
                <w:color w:val="auto"/>
              </w:rPr>
              <w:t>Trade payables</w:t>
            </w: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ind w:right="234"/>
              <w:spacing w:after="0"/>
              <w:rPr>
                <w:sz w:val="20"/>
                <w:szCs w:val="20"/>
                <w:color w:val="auto"/>
              </w:rPr>
            </w:pPr>
            <w:r>
              <w:rPr>
                <w:rFonts w:ascii="Arial" w:cs="Arial" w:eastAsia="Arial" w:hAnsi="Arial"/>
                <w:sz w:val="18"/>
                <w:szCs w:val="18"/>
                <w:color w:val="auto"/>
              </w:rPr>
              <w:t>26,623</w:t>
            </w:r>
          </w:p>
        </w:tc>
        <w:tc>
          <w:tcPr>
            <w:tcW w:w="1220" w:type="dxa"/>
            <w:vAlign w:val="bottom"/>
          </w:tcPr>
          <w:p>
            <w:pPr>
              <w:jc w:val="right"/>
              <w:spacing w:after="0"/>
              <w:rPr>
                <w:sz w:val="20"/>
                <w:szCs w:val="20"/>
                <w:color w:val="auto"/>
              </w:rPr>
            </w:pPr>
            <w:r>
              <w:rPr>
                <w:rFonts w:ascii="Arial" w:cs="Arial" w:eastAsia="Arial" w:hAnsi="Arial"/>
                <w:sz w:val="18"/>
                <w:szCs w:val="18"/>
                <w:color w:val="auto"/>
              </w:rPr>
              <w:t>17,499</w:t>
            </w:r>
          </w:p>
        </w:tc>
      </w:tr>
      <w:tr>
        <w:trPr>
          <w:trHeight w:val="230"/>
        </w:trPr>
        <w:tc>
          <w:tcPr>
            <w:tcW w:w="7260" w:type="dxa"/>
            <w:vAlign w:val="bottom"/>
          </w:tcPr>
          <w:p>
            <w:pPr>
              <w:ind w:left="220"/>
              <w:spacing w:after="0"/>
              <w:rPr>
                <w:sz w:val="20"/>
                <w:szCs w:val="20"/>
                <w:color w:val="auto"/>
              </w:rPr>
            </w:pPr>
            <w:r>
              <w:rPr>
                <w:rFonts w:ascii="Arial" w:cs="Arial" w:eastAsia="Arial" w:hAnsi="Arial"/>
                <w:sz w:val="18"/>
                <w:szCs w:val="18"/>
                <w:color w:val="auto"/>
              </w:rPr>
              <w:t>Payables to equity companies</w:t>
            </w: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ind w:right="234"/>
              <w:spacing w:after="0"/>
              <w:rPr>
                <w:sz w:val="20"/>
                <w:szCs w:val="20"/>
                <w:color w:val="auto"/>
              </w:rPr>
            </w:pPr>
            <w:r>
              <w:rPr>
                <w:rFonts w:ascii="Arial" w:cs="Arial" w:eastAsia="Arial" w:hAnsi="Arial"/>
                <w:sz w:val="18"/>
                <w:szCs w:val="18"/>
                <w:color w:val="auto"/>
              </w:rPr>
              <w:t>8,885</w:t>
            </w:r>
          </w:p>
        </w:tc>
        <w:tc>
          <w:tcPr>
            <w:tcW w:w="1220" w:type="dxa"/>
            <w:vAlign w:val="bottom"/>
          </w:tcPr>
          <w:p>
            <w:pPr>
              <w:jc w:val="right"/>
              <w:spacing w:after="0"/>
              <w:rPr>
                <w:sz w:val="20"/>
                <w:szCs w:val="20"/>
                <w:color w:val="auto"/>
              </w:rPr>
            </w:pPr>
            <w:r>
              <w:rPr>
                <w:rFonts w:ascii="Arial" w:cs="Arial" w:eastAsia="Arial" w:hAnsi="Arial"/>
                <w:sz w:val="18"/>
                <w:szCs w:val="18"/>
                <w:color w:val="auto"/>
              </w:rPr>
              <w:t>6,476</w:t>
            </w:r>
          </w:p>
        </w:tc>
      </w:tr>
      <w:tr>
        <w:trPr>
          <w:trHeight w:val="230"/>
        </w:trPr>
        <w:tc>
          <w:tcPr>
            <w:tcW w:w="7260" w:type="dxa"/>
            <w:vAlign w:val="bottom"/>
          </w:tcPr>
          <w:p>
            <w:pPr>
              <w:ind w:left="220"/>
              <w:spacing w:after="0"/>
              <w:rPr>
                <w:sz w:val="20"/>
                <w:szCs w:val="20"/>
                <w:color w:val="auto"/>
              </w:rPr>
            </w:pPr>
            <w:r>
              <w:rPr>
                <w:rFonts w:ascii="Arial" w:cs="Arial" w:eastAsia="Arial" w:hAnsi="Arial"/>
                <w:sz w:val="18"/>
                <w:szCs w:val="18"/>
                <w:color w:val="auto"/>
              </w:rPr>
              <w:t>Accrued taxes other than income taxes</w:t>
            </w: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ind w:right="234"/>
              <w:spacing w:after="0"/>
              <w:rPr>
                <w:sz w:val="20"/>
                <w:szCs w:val="20"/>
                <w:color w:val="auto"/>
              </w:rPr>
            </w:pPr>
            <w:r>
              <w:rPr>
                <w:rFonts w:ascii="Arial" w:cs="Arial" w:eastAsia="Arial" w:hAnsi="Arial"/>
                <w:sz w:val="18"/>
                <w:szCs w:val="18"/>
                <w:color w:val="auto"/>
              </w:rPr>
              <w:t>3,896</w:t>
            </w:r>
          </w:p>
        </w:tc>
        <w:tc>
          <w:tcPr>
            <w:tcW w:w="1220" w:type="dxa"/>
            <w:vAlign w:val="bottom"/>
          </w:tcPr>
          <w:p>
            <w:pPr>
              <w:jc w:val="right"/>
              <w:spacing w:after="0"/>
              <w:rPr>
                <w:sz w:val="20"/>
                <w:szCs w:val="20"/>
                <w:color w:val="auto"/>
              </w:rPr>
            </w:pPr>
            <w:r>
              <w:rPr>
                <w:rFonts w:ascii="Arial" w:cs="Arial" w:eastAsia="Arial" w:hAnsi="Arial"/>
                <w:sz w:val="18"/>
                <w:szCs w:val="18"/>
                <w:color w:val="auto"/>
              </w:rPr>
              <w:t>3,408</w:t>
            </w:r>
          </w:p>
        </w:tc>
      </w:tr>
      <w:tr>
        <w:trPr>
          <w:trHeight w:val="230"/>
        </w:trPr>
        <w:tc>
          <w:tcPr>
            <w:tcW w:w="7260" w:type="dxa"/>
            <w:vAlign w:val="bottom"/>
          </w:tcPr>
          <w:p>
            <w:pPr>
              <w:ind w:left="220"/>
              <w:spacing w:after="0"/>
              <w:rPr>
                <w:sz w:val="20"/>
                <w:szCs w:val="20"/>
                <w:color w:val="auto"/>
              </w:rPr>
            </w:pPr>
            <w:r>
              <w:rPr>
                <w:rFonts w:ascii="Arial" w:cs="Arial" w:eastAsia="Arial" w:hAnsi="Arial"/>
                <w:sz w:val="18"/>
                <w:szCs w:val="18"/>
                <w:color w:val="auto"/>
              </w:rPr>
              <w:t>Other</w:t>
            </w:r>
          </w:p>
        </w:tc>
        <w:tc>
          <w:tcPr>
            <w:tcW w:w="1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234"/>
              <w:spacing w:after="0"/>
              <w:rPr>
                <w:sz w:val="20"/>
                <w:szCs w:val="20"/>
                <w:color w:val="auto"/>
              </w:rPr>
            </w:pPr>
            <w:r>
              <w:rPr>
                <w:rFonts w:ascii="Arial" w:cs="Arial" w:eastAsia="Arial" w:hAnsi="Arial"/>
                <w:sz w:val="18"/>
                <w:szCs w:val="18"/>
                <w:color w:val="auto"/>
              </w:rPr>
              <w:t>11,362</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7,838</w:t>
            </w:r>
          </w:p>
        </w:tc>
      </w:tr>
      <w:tr>
        <w:trPr>
          <w:trHeight w:val="223"/>
        </w:trPr>
        <w:tc>
          <w:tcPr>
            <w:tcW w:w="7260" w:type="dxa"/>
            <w:vAlign w:val="bottom"/>
          </w:tcPr>
          <w:p>
            <w:pPr>
              <w:ind w:left="480"/>
              <w:spacing w:after="0"/>
              <w:rPr>
                <w:sz w:val="20"/>
                <w:szCs w:val="20"/>
                <w:color w:val="auto"/>
              </w:rPr>
            </w:pPr>
            <w:r>
              <w:rPr>
                <w:rFonts w:ascii="Arial" w:cs="Arial" w:eastAsia="Arial" w:hAnsi="Arial"/>
                <w:sz w:val="18"/>
                <w:szCs w:val="18"/>
                <w:color w:val="auto"/>
              </w:rPr>
              <w:t>Total</w:t>
            </w:r>
          </w:p>
        </w:tc>
        <w:tc>
          <w:tcPr>
            <w:tcW w:w="1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234"/>
              <w:spacing w:after="0"/>
              <w:rPr>
                <w:sz w:val="20"/>
                <w:szCs w:val="20"/>
                <w:color w:val="auto"/>
              </w:rPr>
            </w:pPr>
            <w:r>
              <w:rPr>
                <w:rFonts w:ascii="Arial" w:cs="Arial" w:eastAsia="Arial" w:hAnsi="Arial"/>
                <w:sz w:val="18"/>
                <w:szCs w:val="18"/>
                <w:color w:val="auto"/>
              </w:rPr>
              <w:t>50,766</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35,221</w:t>
            </w:r>
          </w:p>
        </w:tc>
      </w:tr>
    </w:tbl>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Corporation has short-term committed lines of credit of $10.7 billion which were unused as of December 31, 2021. These lines are available for general corporate purposes.</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The weighted-average interest rate on short-term borrowings outstanding was 0.2 percent and 0.2 percent at December 31, 2021, and 2020, respectively.</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Equity Company Information</w:t>
      </w:r>
    </w:p>
    <w:p>
      <w:pPr>
        <w:spacing w:after="0" w:line="1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summarized financial information below includes amounts related to certain less-than-majority-owned companies and majority-owned subsidiaries where minority shareholders possess the right to participate in significant management decisions (see Note 1). These companies are primarily engaged in oil and gas exploration and production, and natural gas marketing in North America; natural gas exploration, production and distribution in Europe; liquefied natural gas (LNG) operations and transportation of crude oil in Africa; and exploration, production, LNG operations, and the manufacture and sale of petroleum and petrochemical products in Asia and the Middle East. Also included are several refining, petrochemical manufacturing and marketing ventures.</w:t>
      </w:r>
    </w:p>
    <w:p>
      <w:pPr>
        <w:spacing w:after="0" w:line="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share of total equity company revenues from sales to ExxonMobil consolidated companies was 10 percent, 11 percent and 13 percent in the years 2021, 2020 and 2019, respectively.</w:t>
      </w:r>
    </w:p>
    <w:p>
      <w:pPr>
        <w:spacing w:after="0" w:line="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Corporation’s ownership in these ventures is in the form of shares in corporate joint ventures as well as interests in partnerships. Differences between the company’s carrying value of an equity investment and its underlying equity in the net assets of the affiliate are assigned to the extent practicable to specific assets and liabilities based on the company’s analysis of the factors giving rise to the difference. The amortization of this difference, as appropriate, is included in “Income from equity affiliates” on the Consolidated Statement of Income.</w:t>
      </w:r>
    </w:p>
    <w:p>
      <w:pPr>
        <w:spacing w:after="0" w:line="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Impairments related to upstream equity investments of $0.2 billion and $0.6 billion in 2021 and 2020, respectively, are included in “Income from equity affiliates” or “Other income” on the Consolidated Statement of Income.</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12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12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7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Equity Company</w:t>
            </w:r>
          </w:p>
        </w:tc>
        <w:tc>
          <w:tcPr>
            <w:tcW w:w="14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3700" w:type="dxa"/>
            <w:vAlign w:val="bottom"/>
            <w:vMerge w:val="continue"/>
          </w:tcPr>
          <w:p>
            <w:pPr>
              <w:spacing w:after="0"/>
              <w:rPr>
                <w:sz w:val="13"/>
                <w:szCs w:val="13"/>
                <w:color w:val="auto"/>
              </w:rPr>
            </w:pPr>
          </w:p>
        </w:tc>
        <w:tc>
          <w:tcPr>
            <w:tcW w:w="1420" w:type="dxa"/>
            <w:vAlign w:val="bottom"/>
            <w:vMerge w:val="restart"/>
          </w:tcPr>
          <w:p>
            <w:pPr>
              <w:jc w:val="right"/>
              <w:ind w:right="593"/>
              <w:spacing w:after="0"/>
              <w:rPr>
                <w:sz w:val="20"/>
                <w:szCs w:val="20"/>
                <w:color w:val="auto"/>
              </w:rPr>
            </w:pPr>
            <w:r>
              <w:rPr>
                <w:rFonts w:ascii="Arial" w:cs="Arial" w:eastAsia="Arial" w:hAnsi="Arial"/>
                <w:sz w:val="14"/>
                <w:szCs w:val="14"/>
                <w:b w:val="1"/>
                <w:bCs w:val="1"/>
                <w:color w:val="auto"/>
              </w:rPr>
              <w:t>Total</w:t>
            </w:r>
          </w:p>
        </w:tc>
        <w:tc>
          <w:tcPr>
            <w:tcW w:w="1240" w:type="dxa"/>
            <w:vAlign w:val="bottom"/>
          </w:tcPr>
          <w:p>
            <w:pPr>
              <w:jc w:val="right"/>
              <w:ind w:right="353"/>
              <w:spacing w:after="0" w:line="155" w:lineRule="exact"/>
              <w:rPr>
                <w:sz w:val="20"/>
                <w:szCs w:val="20"/>
                <w:color w:val="auto"/>
              </w:rPr>
            </w:pPr>
            <w:r>
              <w:rPr>
                <w:rFonts w:ascii="Arial" w:cs="Arial" w:eastAsia="Arial" w:hAnsi="Arial"/>
                <w:sz w:val="14"/>
                <w:szCs w:val="14"/>
                <w:b w:val="1"/>
                <w:bCs w:val="1"/>
                <w:color w:val="auto"/>
                <w:w w:val="99"/>
              </w:rPr>
              <w:t>ExxonMobil</w:t>
            </w:r>
          </w:p>
        </w:tc>
        <w:tc>
          <w:tcPr>
            <w:tcW w:w="1300" w:type="dxa"/>
            <w:vAlign w:val="bottom"/>
            <w:vMerge w:val="restart"/>
          </w:tcPr>
          <w:p>
            <w:pPr>
              <w:jc w:val="right"/>
              <w:ind w:right="594"/>
              <w:spacing w:after="0"/>
              <w:rPr>
                <w:sz w:val="20"/>
                <w:szCs w:val="20"/>
                <w:color w:val="auto"/>
              </w:rPr>
            </w:pPr>
            <w:r>
              <w:rPr>
                <w:rFonts w:ascii="Arial" w:cs="Arial" w:eastAsia="Arial" w:hAnsi="Arial"/>
                <w:sz w:val="14"/>
                <w:szCs w:val="14"/>
                <w:b w:val="1"/>
                <w:bCs w:val="1"/>
                <w:color w:val="auto"/>
              </w:rPr>
              <w:t>Total</w:t>
            </w:r>
          </w:p>
        </w:tc>
        <w:tc>
          <w:tcPr>
            <w:tcW w:w="1260" w:type="dxa"/>
            <w:vAlign w:val="bottom"/>
          </w:tcPr>
          <w:p>
            <w:pPr>
              <w:jc w:val="right"/>
              <w:ind w:right="353"/>
              <w:spacing w:after="0" w:line="155" w:lineRule="exact"/>
              <w:rPr>
                <w:sz w:val="20"/>
                <w:szCs w:val="20"/>
                <w:color w:val="auto"/>
              </w:rPr>
            </w:pPr>
            <w:r>
              <w:rPr>
                <w:rFonts w:ascii="Arial" w:cs="Arial" w:eastAsia="Arial" w:hAnsi="Arial"/>
                <w:sz w:val="14"/>
                <w:szCs w:val="14"/>
                <w:b w:val="1"/>
                <w:bCs w:val="1"/>
                <w:color w:val="auto"/>
              </w:rPr>
              <w:t>ExxonMobil</w:t>
            </w:r>
          </w:p>
        </w:tc>
        <w:tc>
          <w:tcPr>
            <w:tcW w:w="1300" w:type="dxa"/>
            <w:vAlign w:val="bottom"/>
            <w:vMerge w:val="restart"/>
          </w:tcPr>
          <w:p>
            <w:pPr>
              <w:jc w:val="right"/>
              <w:ind w:right="593"/>
              <w:spacing w:after="0"/>
              <w:rPr>
                <w:sz w:val="20"/>
                <w:szCs w:val="20"/>
                <w:color w:val="auto"/>
              </w:rPr>
            </w:pPr>
            <w:r>
              <w:rPr>
                <w:rFonts w:ascii="Arial" w:cs="Arial" w:eastAsia="Arial" w:hAnsi="Arial"/>
                <w:sz w:val="14"/>
                <w:szCs w:val="14"/>
                <w:b w:val="1"/>
                <w:bCs w:val="1"/>
                <w:color w:val="auto"/>
              </w:rPr>
              <w:t>Total</w:t>
            </w:r>
          </w:p>
        </w:tc>
        <w:tc>
          <w:tcPr>
            <w:tcW w:w="1020" w:type="dxa"/>
            <w:vAlign w:val="bottom"/>
          </w:tcPr>
          <w:p>
            <w:pPr>
              <w:jc w:val="right"/>
              <w:ind w:right="113"/>
              <w:spacing w:after="0" w:line="155" w:lineRule="exact"/>
              <w:rPr>
                <w:sz w:val="20"/>
                <w:szCs w:val="20"/>
                <w:color w:val="auto"/>
              </w:rPr>
            </w:pPr>
            <w:r>
              <w:rPr>
                <w:rFonts w:ascii="Arial" w:cs="Arial" w:eastAsia="Arial" w:hAnsi="Arial"/>
                <w:sz w:val="14"/>
                <w:szCs w:val="14"/>
                <w:b w:val="1"/>
                <w:bCs w:val="1"/>
                <w:color w:val="auto"/>
              </w:rPr>
              <w:t>ExxonMobil</w:t>
            </w:r>
          </w:p>
        </w:tc>
        <w:tc>
          <w:tcPr>
            <w:tcW w:w="0" w:type="dxa"/>
            <w:vAlign w:val="bottom"/>
          </w:tcPr>
          <w:p>
            <w:pPr>
              <w:spacing w:after="0"/>
              <w:rPr>
                <w:sz w:val="1"/>
                <w:szCs w:val="1"/>
                <w:color w:val="auto"/>
              </w:rPr>
            </w:pPr>
          </w:p>
        </w:tc>
      </w:tr>
      <w:tr>
        <w:trPr>
          <w:trHeight w:val="109"/>
        </w:trPr>
        <w:tc>
          <w:tcPr>
            <w:tcW w:w="37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Financial Summary</w:t>
            </w:r>
          </w:p>
        </w:tc>
        <w:tc>
          <w:tcPr>
            <w:tcW w:w="1420" w:type="dxa"/>
            <w:vAlign w:val="bottom"/>
            <w:vMerge w:val="continue"/>
          </w:tcPr>
          <w:p>
            <w:pPr>
              <w:spacing w:after="0"/>
              <w:rPr>
                <w:sz w:val="9"/>
                <w:szCs w:val="9"/>
                <w:color w:val="auto"/>
              </w:rPr>
            </w:pPr>
          </w:p>
        </w:tc>
        <w:tc>
          <w:tcPr>
            <w:tcW w:w="1240" w:type="dxa"/>
            <w:vAlign w:val="bottom"/>
            <w:vMerge w:val="restart"/>
          </w:tcPr>
          <w:p>
            <w:pPr>
              <w:jc w:val="right"/>
              <w:ind w:right="553"/>
              <w:spacing w:after="0"/>
              <w:rPr>
                <w:sz w:val="20"/>
                <w:szCs w:val="20"/>
                <w:color w:val="auto"/>
              </w:rPr>
            </w:pPr>
            <w:r>
              <w:rPr>
                <w:rFonts w:ascii="Arial" w:cs="Arial" w:eastAsia="Arial" w:hAnsi="Arial"/>
                <w:sz w:val="14"/>
                <w:szCs w:val="14"/>
                <w:b w:val="1"/>
                <w:bCs w:val="1"/>
                <w:color w:val="auto"/>
              </w:rPr>
              <w:t>Share</w:t>
            </w:r>
          </w:p>
        </w:tc>
        <w:tc>
          <w:tcPr>
            <w:tcW w:w="1300" w:type="dxa"/>
            <w:vAlign w:val="bottom"/>
            <w:vMerge w:val="continue"/>
          </w:tcPr>
          <w:p>
            <w:pPr>
              <w:spacing w:after="0"/>
              <w:rPr>
                <w:sz w:val="9"/>
                <w:szCs w:val="9"/>
                <w:color w:val="auto"/>
              </w:rPr>
            </w:pPr>
          </w:p>
        </w:tc>
        <w:tc>
          <w:tcPr>
            <w:tcW w:w="1260" w:type="dxa"/>
            <w:vAlign w:val="bottom"/>
            <w:vMerge w:val="restart"/>
          </w:tcPr>
          <w:p>
            <w:pPr>
              <w:jc w:val="right"/>
              <w:ind w:right="553"/>
              <w:spacing w:after="0"/>
              <w:rPr>
                <w:sz w:val="20"/>
                <w:szCs w:val="20"/>
                <w:color w:val="auto"/>
              </w:rPr>
            </w:pPr>
            <w:r>
              <w:rPr>
                <w:rFonts w:ascii="Arial" w:cs="Arial" w:eastAsia="Arial" w:hAnsi="Arial"/>
                <w:sz w:val="14"/>
                <w:szCs w:val="14"/>
                <w:b w:val="1"/>
                <w:bCs w:val="1"/>
                <w:color w:val="auto"/>
              </w:rPr>
              <w:t>Share</w:t>
            </w:r>
          </w:p>
        </w:tc>
        <w:tc>
          <w:tcPr>
            <w:tcW w:w="1300" w:type="dxa"/>
            <w:vAlign w:val="bottom"/>
            <w:vMerge w:val="continue"/>
          </w:tcPr>
          <w:p>
            <w:pPr>
              <w:spacing w:after="0"/>
              <w:rPr>
                <w:sz w:val="9"/>
                <w:szCs w:val="9"/>
                <w:color w:val="auto"/>
              </w:rPr>
            </w:pPr>
          </w:p>
        </w:tc>
        <w:tc>
          <w:tcPr>
            <w:tcW w:w="102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Share</w:t>
            </w:r>
          </w:p>
        </w:tc>
        <w:tc>
          <w:tcPr>
            <w:tcW w:w="0" w:type="dxa"/>
            <w:vAlign w:val="bottom"/>
          </w:tcPr>
          <w:p>
            <w:pPr>
              <w:spacing w:after="0"/>
              <w:rPr>
                <w:sz w:val="1"/>
                <w:szCs w:val="1"/>
                <w:color w:val="auto"/>
              </w:rPr>
            </w:pPr>
          </w:p>
        </w:tc>
      </w:tr>
      <w:tr>
        <w:trPr>
          <w:trHeight w:val="120"/>
        </w:trPr>
        <w:tc>
          <w:tcPr>
            <w:tcW w:w="3700" w:type="dxa"/>
            <w:vAlign w:val="bottom"/>
            <w:tcBorders>
              <w:bottom w:val="single" w:sz="8" w:color="auto"/>
            </w:tcBorders>
            <w:vMerge w:val="continue"/>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vMerge w:val="continue"/>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vMerge w:val="continue"/>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37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560" w:type="dxa"/>
            <w:vAlign w:val="bottom"/>
            <w:gridSpan w:val="2"/>
          </w:tcPr>
          <w:p>
            <w:pPr>
              <w:jc w:val="right"/>
              <w:ind w:right="793"/>
              <w:spacing w:after="0"/>
              <w:rPr>
                <w:sz w:val="20"/>
                <w:szCs w:val="20"/>
                <w:color w:val="auto"/>
              </w:rPr>
            </w:pPr>
            <w:r>
              <w:rPr>
                <w:rFonts w:ascii="Arial" w:cs="Arial" w:eastAsia="Arial" w:hAnsi="Arial"/>
                <w:sz w:val="14"/>
                <w:szCs w:val="14"/>
                <w:i w:val="1"/>
                <w:iCs w:val="1"/>
                <w:color w:val="auto"/>
              </w:rPr>
              <w:t>(millions of dollars)</w:t>
            </w:r>
          </w:p>
        </w:tc>
        <w:tc>
          <w:tcPr>
            <w:tcW w:w="1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370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1420" w:type="dxa"/>
            <w:vAlign w:val="bottom"/>
            <w:tcBorders>
              <w:bottom w:val="single" w:sz="8" w:color="auto"/>
            </w:tcBorders>
          </w:tcPr>
          <w:p>
            <w:pPr>
              <w:jc w:val="right"/>
              <w:ind w:right="253"/>
              <w:spacing w:after="0"/>
              <w:rPr>
                <w:sz w:val="20"/>
                <w:szCs w:val="20"/>
                <w:color w:val="auto"/>
              </w:rPr>
            </w:pPr>
            <w:r>
              <w:rPr>
                <w:rFonts w:ascii="Arial" w:cs="Arial" w:eastAsia="Arial" w:hAnsi="Arial"/>
                <w:sz w:val="18"/>
                <w:szCs w:val="18"/>
                <w:color w:val="auto"/>
              </w:rPr>
              <w:t>116,972</w:t>
            </w:r>
          </w:p>
        </w:tc>
        <w:tc>
          <w:tcPr>
            <w:tcW w:w="124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34,995</w:t>
            </w:r>
          </w:p>
        </w:tc>
        <w:tc>
          <w:tcPr>
            <w:tcW w:w="1300" w:type="dxa"/>
            <w:vAlign w:val="bottom"/>
            <w:tcBorders>
              <w:bottom w:val="single" w:sz="8" w:color="auto"/>
            </w:tcBorders>
          </w:tcPr>
          <w:p>
            <w:pPr>
              <w:jc w:val="right"/>
              <w:ind w:right="234"/>
              <w:spacing w:after="0"/>
              <w:rPr>
                <w:sz w:val="20"/>
                <w:szCs w:val="20"/>
                <w:color w:val="auto"/>
              </w:rPr>
            </w:pPr>
            <w:r>
              <w:rPr>
                <w:rFonts w:ascii="Arial" w:cs="Arial" w:eastAsia="Arial" w:hAnsi="Arial"/>
                <w:sz w:val="18"/>
                <w:szCs w:val="18"/>
                <w:color w:val="auto"/>
              </w:rPr>
              <w:t>69,954</w:t>
            </w:r>
          </w:p>
        </w:tc>
        <w:tc>
          <w:tcPr>
            <w:tcW w:w="126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21,282</w:t>
            </w:r>
          </w:p>
        </w:tc>
        <w:tc>
          <w:tcPr>
            <w:tcW w:w="1300" w:type="dxa"/>
            <w:vAlign w:val="bottom"/>
            <w:tcBorders>
              <w:bottom w:val="single" w:sz="8" w:color="auto"/>
            </w:tcBorders>
          </w:tcPr>
          <w:p>
            <w:pPr>
              <w:jc w:val="right"/>
              <w:ind w:right="253"/>
              <w:spacing w:after="0"/>
              <w:rPr>
                <w:sz w:val="20"/>
                <w:szCs w:val="20"/>
                <w:color w:val="auto"/>
              </w:rPr>
            </w:pPr>
            <w:r>
              <w:rPr>
                <w:rFonts w:ascii="Arial" w:cs="Arial" w:eastAsia="Arial" w:hAnsi="Arial"/>
                <w:sz w:val="18"/>
                <w:szCs w:val="18"/>
                <w:color w:val="auto"/>
              </w:rPr>
              <w:t>102,365</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31,240</w:t>
            </w:r>
          </w:p>
        </w:tc>
        <w:tc>
          <w:tcPr>
            <w:tcW w:w="0" w:type="dxa"/>
            <w:vAlign w:val="bottom"/>
          </w:tcPr>
          <w:p>
            <w:pPr>
              <w:spacing w:after="0"/>
              <w:rPr>
                <w:sz w:val="1"/>
                <w:szCs w:val="1"/>
                <w:color w:val="auto"/>
              </w:rPr>
            </w:pPr>
          </w:p>
        </w:tc>
      </w:tr>
      <w:tr>
        <w:trPr>
          <w:trHeight w:val="222"/>
        </w:trPr>
        <w:tc>
          <w:tcPr>
            <w:tcW w:w="370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1420" w:type="dxa"/>
            <w:vAlign w:val="bottom"/>
          </w:tcPr>
          <w:p>
            <w:pPr>
              <w:jc w:val="right"/>
              <w:ind w:right="253"/>
              <w:spacing w:after="0"/>
              <w:rPr>
                <w:sz w:val="20"/>
                <w:szCs w:val="20"/>
                <w:color w:val="auto"/>
              </w:rPr>
            </w:pPr>
            <w:r>
              <w:rPr>
                <w:rFonts w:ascii="Arial" w:cs="Arial" w:eastAsia="Arial" w:hAnsi="Arial"/>
                <w:sz w:val="18"/>
                <w:szCs w:val="18"/>
                <w:color w:val="auto"/>
              </w:rPr>
              <w:t>35,142</w:t>
            </w:r>
          </w:p>
        </w:tc>
        <w:tc>
          <w:tcPr>
            <w:tcW w:w="1240" w:type="dxa"/>
            <w:vAlign w:val="bottom"/>
          </w:tcPr>
          <w:p>
            <w:pPr>
              <w:jc w:val="right"/>
              <w:ind w:right="213"/>
              <w:spacing w:after="0"/>
              <w:rPr>
                <w:sz w:val="20"/>
                <w:szCs w:val="20"/>
                <w:color w:val="auto"/>
              </w:rPr>
            </w:pPr>
            <w:r>
              <w:rPr>
                <w:rFonts w:ascii="Arial" w:cs="Arial" w:eastAsia="Arial" w:hAnsi="Arial"/>
                <w:sz w:val="18"/>
                <w:szCs w:val="18"/>
                <w:color w:val="auto"/>
              </w:rPr>
              <w:t>9,278</w:t>
            </w:r>
          </w:p>
        </w:tc>
        <w:tc>
          <w:tcPr>
            <w:tcW w:w="1300" w:type="dxa"/>
            <w:vAlign w:val="bottom"/>
          </w:tcPr>
          <w:p>
            <w:pPr>
              <w:jc w:val="right"/>
              <w:ind w:right="234"/>
              <w:spacing w:after="0"/>
              <w:rPr>
                <w:sz w:val="20"/>
                <w:szCs w:val="20"/>
                <w:color w:val="auto"/>
              </w:rPr>
            </w:pPr>
            <w:r>
              <w:rPr>
                <w:rFonts w:ascii="Arial" w:cs="Arial" w:eastAsia="Arial" w:hAnsi="Arial"/>
                <w:sz w:val="18"/>
                <w:szCs w:val="18"/>
                <w:color w:val="auto"/>
              </w:rPr>
              <w:t>12,743</w:t>
            </w:r>
          </w:p>
        </w:tc>
        <w:tc>
          <w:tcPr>
            <w:tcW w:w="1260" w:type="dxa"/>
            <w:vAlign w:val="bottom"/>
          </w:tcPr>
          <w:p>
            <w:pPr>
              <w:jc w:val="right"/>
              <w:ind w:right="213"/>
              <w:spacing w:after="0"/>
              <w:rPr>
                <w:sz w:val="20"/>
                <w:szCs w:val="20"/>
                <w:color w:val="auto"/>
              </w:rPr>
            </w:pPr>
            <w:r>
              <w:rPr>
                <w:rFonts w:ascii="Arial" w:cs="Arial" w:eastAsia="Arial" w:hAnsi="Arial"/>
                <w:sz w:val="18"/>
                <w:szCs w:val="18"/>
                <w:color w:val="auto"/>
              </w:rPr>
              <w:t>2,830</w:t>
            </w:r>
          </w:p>
        </w:tc>
        <w:tc>
          <w:tcPr>
            <w:tcW w:w="1300" w:type="dxa"/>
            <w:vAlign w:val="bottom"/>
          </w:tcPr>
          <w:p>
            <w:pPr>
              <w:jc w:val="right"/>
              <w:ind w:right="253"/>
              <w:spacing w:after="0"/>
              <w:rPr>
                <w:sz w:val="20"/>
                <w:szCs w:val="20"/>
                <w:color w:val="auto"/>
              </w:rPr>
            </w:pPr>
            <w:r>
              <w:rPr>
                <w:rFonts w:ascii="Arial" w:cs="Arial" w:eastAsia="Arial" w:hAnsi="Arial"/>
                <w:sz w:val="18"/>
                <w:szCs w:val="18"/>
                <w:color w:val="auto"/>
              </w:rPr>
              <w:t>29,424</w:t>
            </w:r>
          </w:p>
        </w:tc>
        <w:tc>
          <w:tcPr>
            <w:tcW w:w="1020" w:type="dxa"/>
            <w:vAlign w:val="bottom"/>
          </w:tcPr>
          <w:p>
            <w:pPr>
              <w:jc w:val="right"/>
              <w:spacing w:after="0"/>
              <w:rPr>
                <w:sz w:val="20"/>
                <w:szCs w:val="20"/>
                <w:color w:val="auto"/>
              </w:rPr>
            </w:pPr>
            <w:r>
              <w:rPr>
                <w:rFonts w:ascii="Arial" w:cs="Arial" w:eastAsia="Arial" w:hAnsi="Arial"/>
                <w:sz w:val="18"/>
                <w:szCs w:val="18"/>
                <w:color w:val="auto"/>
              </w:rPr>
              <w:t>7,927</w:t>
            </w: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Arial" w:cs="Arial" w:eastAsia="Arial" w:hAnsi="Arial"/>
                <w:sz w:val="18"/>
                <w:szCs w:val="18"/>
                <w:color w:val="auto"/>
              </w:rPr>
              <w:t>Income taxes</w:t>
            </w:r>
          </w:p>
        </w:tc>
        <w:tc>
          <w:tcPr>
            <w:tcW w:w="1420" w:type="dxa"/>
            <w:vAlign w:val="bottom"/>
            <w:tcBorders>
              <w:bottom w:val="single" w:sz="8" w:color="auto"/>
            </w:tcBorders>
          </w:tcPr>
          <w:p>
            <w:pPr>
              <w:jc w:val="right"/>
              <w:ind w:right="253"/>
              <w:spacing w:after="0"/>
              <w:rPr>
                <w:sz w:val="20"/>
                <w:szCs w:val="20"/>
                <w:color w:val="auto"/>
              </w:rPr>
            </w:pPr>
            <w:r>
              <w:rPr>
                <w:rFonts w:ascii="Arial" w:cs="Arial" w:eastAsia="Arial" w:hAnsi="Arial"/>
                <w:sz w:val="18"/>
                <w:szCs w:val="18"/>
                <w:color w:val="auto"/>
              </w:rPr>
              <w:t>11,010</w:t>
            </w:r>
          </w:p>
        </w:tc>
        <w:tc>
          <w:tcPr>
            <w:tcW w:w="124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2,763</w:t>
            </w:r>
          </w:p>
        </w:tc>
        <w:tc>
          <w:tcPr>
            <w:tcW w:w="1300" w:type="dxa"/>
            <w:vAlign w:val="bottom"/>
            <w:tcBorders>
              <w:bottom w:val="single" w:sz="8" w:color="auto"/>
            </w:tcBorders>
          </w:tcPr>
          <w:p>
            <w:pPr>
              <w:jc w:val="right"/>
              <w:ind w:right="234"/>
              <w:spacing w:after="0"/>
              <w:rPr>
                <w:sz w:val="20"/>
                <w:szCs w:val="20"/>
                <w:color w:val="auto"/>
              </w:rPr>
            </w:pPr>
            <w:r>
              <w:rPr>
                <w:rFonts w:ascii="Arial" w:cs="Arial" w:eastAsia="Arial" w:hAnsi="Arial"/>
                <w:sz w:val="18"/>
                <w:szCs w:val="18"/>
                <w:color w:val="auto"/>
              </w:rPr>
              <w:t>4,333</w:t>
            </w:r>
          </w:p>
        </w:tc>
        <w:tc>
          <w:tcPr>
            <w:tcW w:w="126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870</w:t>
            </w:r>
          </w:p>
        </w:tc>
        <w:tc>
          <w:tcPr>
            <w:tcW w:w="1300" w:type="dxa"/>
            <w:vAlign w:val="bottom"/>
            <w:tcBorders>
              <w:bottom w:val="single" w:sz="8" w:color="auto"/>
            </w:tcBorders>
          </w:tcPr>
          <w:p>
            <w:pPr>
              <w:jc w:val="right"/>
              <w:ind w:right="253"/>
              <w:spacing w:after="0"/>
              <w:rPr>
                <w:sz w:val="20"/>
                <w:szCs w:val="20"/>
                <w:color w:val="auto"/>
              </w:rPr>
            </w:pPr>
            <w:r>
              <w:rPr>
                <w:rFonts w:ascii="Arial" w:cs="Arial" w:eastAsia="Arial" w:hAnsi="Arial"/>
                <w:sz w:val="18"/>
                <w:szCs w:val="18"/>
                <w:color w:val="auto"/>
              </w:rPr>
              <w:t>9,725</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23"/>
        </w:trPr>
        <w:tc>
          <w:tcPr>
            <w:tcW w:w="3700" w:type="dxa"/>
            <w:vAlign w:val="bottom"/>
          </w:tcPr>
          <w:p>
            <w:pPr>
              <w:ind w:left="220"/>
              <w:spacing w:after="0"/>
              <w:rPr>
                <w:sz w:val="20"/>
                <w:szCs w:val="20"/>
                <w:color w:val="auto"/>
              </w:rPr>
            </w:pPr>
            <w:r>
              <w:rPr>
                <w:rFonts w:ascii="Arial" w:cs="Arial" w:eastAsia="Arial" w:hAnsi="Arial"/>
                <w:sz w:val="18"/>
                <w:szCs w:val="18"/>
                <w:color w:val="auto"/>
              </w:rPr>
              <w:t>Income from equity affiliates</w:t>
            </w:r>
          </w:p>
        </w:tc>
        <w:tc>
          <w:tcPr>
            <w:tcW w:w="1420" w:type="dxa"/>
            <w:vAlign w:val="bottom"/>
            <w:tcBorders>
              <w:bottom w:val="single" w:sz="8" w:color="auto"/>
            </w:tcBorders>
          </w:tcPr>
          <w:p>
            <w:pPr>
              <w:jc w:val="right"/>
              <w:ind w:right="253"/>
              <w:spacing w:after="0"/>
              <w:rPr>
                <w:sz w:val="20"/>
                <w:szCs w:val="20"/>
                <w:color w:val="auto"/>
              </w:rPr>
            </w:pPr>
            <w:r>
              <w:rPr>
                <w:rFonts w:ascii="Arial" w:cs="Arial" w:eastAsia="Arial" w:hAnsi="Arial"/>
                <w:sz w:val="18"/>
                <w:szCs w:val="18"/>
                <w:color w:val="auto"/>
              </w:rPr>
              <w:t>24,132</w:t>
            </w:r>
          </w:p>
        </w:tc>
        <w:tc>
          <w:tcPr>
            <w:tcW w:w="124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6,515</w:t>
            </w:r>
          </w:p>
        </w:tc>
        <w:tc>
          <w:tcPr>
            <w:tcW w:w="1300" w:type="dxa"/>
            <w:vAlign w:val="bottom"/>
            <w:tcBorders>
              <w:bottom w:val="single" w:sz="8" w:color="auto"/>
            </w:tcBorders>
          </w:tcPr>
          <w:p>
            <w:pPr>
              <w:jc w:val="right"/>
              <w:ind w:right="234"/>
              <w:spacing w:after="0"/>
              <w:rPr>
                <w:sz w:val="20"/>
                <w:szCs w:val="20"/>
                <w:color w:val="auto"/>
              </w:rPr>
            </w:pPr>
            <w:r>
              <w:rPr>
                <w:rFonts w:ascii="Arial" w:cs="Arial" w:eastAsia="Arial" w:hAnsi="Arial"/>
                <w:sz w:val="18"/>
                <w:szCs w:val="18"/>
                <w:color w:val="auto"/>
              </w:rPr>
              <w:t>8,410</w:t>
            </w:r>
          </w:p>
        </w:tc>
        <w:tc>
          <w:tcPr>
            <w:tcW w:w="126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1,960</w:t>
            </w:r>
          </w:p>
        </w:tc>
        <w:tc>
          <w:tcPr>
            <w:tcW w:w="1300" w:type="dxa"/>
            <w:vAlign w:val="bottom"/>
            <w:tcBorders>
              <w:bottom w:val="single" w:sz="8" w:color="auto"/>
            </w:tcBorders>
          </w:tcPr>
          <w:p>
            <w:pPr>
              <w:jc w:val="right"/>
              <w:ind w:right="253"/>
              <w:spacing w:after="0"/>
              <w:rPr>
                <w:sz w:val="20"/>
                <w:szCs w:val="20"/>
                <w:color w:val="auto"/>
              </w:rPr>
            </w:pPr>
            <w:r>
              <w:rPr>
                <w:rFonts w:ascii="Arial" w:cs="Arial" w:eastAsia="Arial" w:hAnsi="Arial"/>
                <w:sz w:val="18"/>
                <w:szCs w:val="18"/>
                <w:color w:val="auto"/>
              </w:rPr>
              <w:t>19,699</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5,427</w:t>
            </w:r>
          </w:p>
        </w:tc>
        <w:tc>
          <w:tcPr>
            <w:tcW w:w="0" w:type="dxa"/>
            <w:vAlign w:val="bottom"/>
          </w:tcPr>
          <w:p>
            <w:pPr>
              <w:spacing w:after="0"/>
              <w:rPr>
                <w:sz w:val="1"/>
                <w:szCs w:val="1"/>
                <w:color w:val="auto"/>
              </w:rPr>
            </w:pPr>
          </w:p>
        </w:tc>
      </w:tr>
      <w:tr>
        <w:trPr>
          <w:trHeight w:val="479"/>
        </w:trPr>
        <w:tc>
          <w:tcPr>
            <w:tcW w:w="37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420" w:type="dxa"/>
            <w:vAlign w:val="bottom"/>
          </w:tcPr>
          <w:p>
            <w:pPr>
              <w:jc w:val="right"/>
              <w:ind w:right="253"/>
              <w:spacing w:after="0"/>
              <w:rPr>
                <w:sz w:val="20"/>
                <w:szCs w:val="20"/>
                <w:color w:val="auto"/>
              </w:rPr>
            </w:pPr>
            <w:r>
              <w:rPr>
                <w:rFonts w:ascii="Arial" w:cs="Arial" w:eastAsia="Arial" w:hAnsi="Arial"/>
                <w:sz w:val="18"/>
                <w:szCs w:val="18"/>
                <w:color w:val="auto"/>
              </w:rPr>
              <w:t>45,267</w:t>
            </w:r>
          </w:p>
        </w:tc>
        <w:tc>
          <w:tcPr>
            <w:tcW w:w="1240" w:type="dxa"/>
            <w:vAlign w:val="bottom"/>
          </w:tcPr>
          <w:p>
            <w:pPr>
              <w:jc w:val="right"/>
              <w:ind w:right="213"/>
              <w:spacing w:after="0"/>
              <w:rPr>
                <w:sz w:val="20"/>
                <w:szCs w:val="20"/>
                <w:color w:val="auto"/>
              </w:rPr>
            </w:pPr>
            <w:r>
              <w:rPr>
                <w:rFonts w:ascii="Arial" w:cs="Arial" w:eastAsia="Arial" w:hAnsi="Arial"/>
                <w:sz w:val="18"/>
                <w:szCs w:val="18"/>
                <w:color w:val="auto"/>
              </w:rPr>
              <w:t>15,542</w:t>
            </w:r>
          </w:p>
        </w:tc>
        <w:tc>
          <w:tcPr>
            <w:tcW w:w="1300" w:type="dxa"/>
            <w:vAlign w:val="bottom"/>
          </w:tcPr>
          <w:p>
            <w:pPr>
              <w:jc w:val="right"/>
              <w:ind w:right="234"/>
              <w:spacing w:after="0"/>
              <w:rPr>
                <w:sz w:val="20"/>
                <w:szCs w:val="20"/>
                <w:color w:val="auto"/>
              </w:rPr>
            </w:pPr>
            <w:r>
              <w:rPr>
                <w:rFonts w:ascii="Arial" w:cs="Arial" w:eastAsia="Arial" w:hAnsi="Arial"/>
                <w:sz w:val="18"/>
                <w:szCs w:val="18"/>
                <w:color w:val="auto"/>
              </w:rPr>
              <w:t>33,419</w:t>
            </w:r>
          </w:p>
        </w:tc>
        <w:tc>
          <w:tcPr>
            <w:tcW w:w="1260" w:type="dxa"/>
            <w:vAlign w:val="bottom"/>
          </w:tcPr>
          <w:p>
            <w:pPr>
              <w:jc w:val="right"/>
              <w:ind w:right="213"/>
              <w:spacing w:after="0"/>
              <w:rPr>
                <w:sz w:val="20"/>
                <w:szCs w:val="20"/>
                <w:color w:val="auto"/>
              </w:rPr>
            </w:pPr>
            <w:r>
              <w:rPr>
                <w:rFonts w:ascii="Arial" w:cs="Arial" w:eastAsia="Arial" w:hAnsi="Arial"/>
                <w:sz w:val="18"/>
                <w:szCs w:val="18"/>
                <w:color w:val="auto"/>
              </w:rPr>
              <w:t>11,969</w:t>
            </w:r>
          </w:p>
        </w:tc>
        <w:tc>
          <w:tcPr>
            <w:tcW w:w="1300" w:type="dxa"/>
            <w:vAlign w:val="bottom"/>
          </w:tcPr>
          <w:p>
            <w:pPr>
              <w:jc w:val="right"/>
              <w:ind w:right="253"/>
              <w:spacing w:after="0"/>
              <w:rPr>
                <w:sz w:val="20"/>
                <w:szCs w:val="20"/>
                <w:color w:val="auto"/>
              </w:rPr>
            </w:pPr>
            <w:r>
              <w:rPr>
                <w:rFonts w:ascii="Arial" w:cs="Arial" w:eastAsia="Arial" w:hAnsi="Arial"/>
                <w:sz w:val="18"/>
                <w:szCs w:val="18"/>
                <w:color w:val="auto"/>
              </w:rPr>
              <w:t>36,035</w:t>
            </w:r>
          </w:p>
        </w:tc>
        <w:tc>
          <w:tcPr>
            <w:tcW w:w="1020" w:type="dxa"/>
            <w:vAlign w:val="bottom"/>
          </w:tcPr>
          <w:p>
            <w:pPr>
              <w:jc w:val="right"/>
              <w:spacing w:after="0"/>
              <w:rPr>
                <w:sz w:val="20"/>
                <w:szCs w:val="20"/>
                <w:color w:val="auto"/>
              </w:rPr>
            </w:pPr>
            <w:r>
              <w:rPr>
                <w:rFonts w:ascii="Arial" w:cs="Arial" w:eastAsia="Arial" w:hAnsi="Arial"/>
                <w:sz w:val="18"/>
                <w:szCs w:val="18"/>
                <w:color w:val="auto"/>
              </w:rPr>
              <w:t>12,661</w:t>
            </w: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Arial" w:cs="Arial" w:eastAsia="Arial" w:hAnsi="Arial"/>
                <w:sz w:val="18"/>
                <w:szCs w:val="18"/>
                <w:color w:val="auto"/>
              </w:rPr>
              <w:t>Long-term assets</w:t>
            </w:r>
          </w:p>
        </w:tc>
        <w:tc>
          <w:tcPr>
            <w:tcW w:w="1420" w:type="dxa"/>
            <w:vAlign w:val="bottom"/>
            <w:tcBorders>
              <w:bottom w:val="single" w:sz="8" w:color="auto"/>
            </w:tcBorders>
          </w:tcPr>
          <w:p>
            <w:pPr>
              <w:jc w:val="right"/>
              <w:ind w:right="253"/>
              <w:spacing w:after="0"/>
              <w:rPr>
                <w:sz w:val="20"/>
                <w:szCs w:val="20"/>
                <w:color w:val="auto"/>
              </w:rPr>
            </w:pPr>
            <w:r>
              <w:rPr>
                <w:rFonts w:ascii="Arial" w:cs="Arial" w:eastAsia="Arial" w:hAnsi="Arial"/>
                <w:sz w:val="18"/>
                <w:szCs w:val="18"/>
                <w:color w:val="auto"/>
              </w:rPr>
              <w:t>150,699</w:t>
            </w:r>
          </w:p>
        </w:tc>
        <w:tc>
          <w:tcPr>
            <w:tcW w:w="124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41,614</w:t>
            </w:r>
          </w:p>
        </w:tc>
        <w:tc>
          <w:tcPr>
            <w:tcW w:w="1300" w:type="dxa"/>
            <w:vAlign w:val="bottom"/>
            <w:tcBorders>
              <w:bottom w:val="single" w:sz="8" w:color="auto"/>
            </w:tcBorders>
          </w:tcPr>
          <w:p>
            <w:pPr>
              <w:jc w:val="right"/>
              <w:ind w:right="234"/>
              <w:spacing w:after="0"/>
              <w:rPr>
                <w:sz w:val="20"/>
                <w:szCs w:val="20"/>
                <w:color w:val="auto"/>
              </w:rPr>
            </w:pPr>
            <w:r>
              <w:rPr>
                <w:rFonts w:ascii="Arial" w:cs="Arial" w:eastAsia="Arial" w:hAnsi="Arial"/>
                <w:sz w:val="18"/>
                <w:szCs w:val="18"/>
                <w:color w:val="auto"/>
              </w:rPr>
              <w:t>150,358</w:t>
            </w:r>
          </w:p>
        </w:tc>
        <w:tc>
          <w:tcPr>
            <w:tcW w:w="126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41,457</w:t>
            </w:r>
          </w:p>
        </w:tc>
        <w:tc>
          <w:tcPr>
            <w:tcW w:w="1300" w:type="dxa"/>
            <w:vAlign w:val="bottom"/>
            <w:tcBorders>
              <w:bottom w:val="single" w:sz="8" w:color="auto"/>
            </w:tcBorders>
          </w:tcPr>
          <w:p>
            <w:pPr>
              <w:jc w:val="right"/>
              <w:ind w:right="253"/>
              <w:spacing w:after="0"/>
              <w:rPr>
                <w:sz w:val="20"/>
                <w:szCs w:val="20"/>
                <w:color w:val="auto"/>
              </w:rPr>
            </w:pPr>
            <w:r>
              <w:rPr>
                <w:rFonts w:ascii="Arial" w:cs="Arial" w:eastAsia="Arial" w:hAnsi="Arial"/>
                <w:sz w:val="18"/>
                <w:szCs w:val="18"/>
                <w:color w:val="auto"/>
              </w:rPr>
              <w:t>143,321</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40,001</w:t>
            </w:r>
          </w:p>
        </w:tc>
        <w:tc>
          <w:tcPr>
            <w:tcW w:w="0" w:type="dxa"/>
            <w:vAlign w:val="bottom"/>
          </w:tcPr>
          <w:p>
            <w:pPr>
              <w:spacing w:after="0"/>
              <w:rPr>
                <w:sz w:val="1"/>
                <w:szCs w:val="1"/>
                <w:color w:val="auto"/>
              </w:rPr>
            </w:pPr>
          </w:p>
        </w:tc>
      </w:tr>
      <w:tr>
        <w:trPr>
          <w:trHeight w:val="223"/>
        </w:trPr>
        <w:tc>
          <w:tcPr>
            <w:tcW w:w="3700" w:type="dxa"/>
            <w:vAlign w:val="bottom"/>
          </w:tcPr>
          <w:p>
            <w:pPr>
              <w:ind w:left="220"/>
              <w:spacing w:after="0"/>
              <w:rPr>
                <w:sz w:val="20"/>
                <w:szCs w:val="20"/>
                <w:color w:val="auto"/>
              </w:rPr>
            </w:pPr>
            <w:r>
              <w:rPr>
                <w:rFonts w:ascii="Arial" w:cs="Arial" w:eastAsia="Arial" w:hAnsi="Arial"/>
                <w:sz w:val="18"/>
                <w:szCs w:val="18"/>
                <w:color w:val="auto"/>
              </w:rPr>
              <w:t>Total assets</w:t>
            </w:r>
          </w:p>
        </w:tc>
        <w:tc>
          <w:tcPr>
            <w:tcW w:w="1420" w:type="dxa"/>
            <w:vAlign w:val="bottom"/>
            <w:tcBorders>
              <w:bottom w:val="single" w:sz="8" w:color="auto"/>
            </w:tcBorders>
          </w:tcPr>
          <w:p>
            <w:pPr>
              <w:jc w:val="right"/>
              <w:ind w:right="253"/>
              <w:spacing w:after="0"/>
              <w:rPr>
                <w:sz w:val="20"/>
                <w:szCs w:val="20"/>
                <w:color w:val="auto"/>
              </w:rPr>
            </w:pPr>
            <w:r>
              <w:rPr>
                <w:rFonts w:ascii="Arial" w:cs="Arial" w:eastAsia="Arial" w:hAnsi="Arial"/>
                <w:sz w:val="18"/>
                <w:szCs w:val="18"/>
                <w:color w:val="auto"/>
              </w:rPr>
              <w:t>195,966</w:t>
            </w:r>
          </w:p>
        </w:tc>
        <w:tc>
          <w:tcPr>
            <w:tcW w:w="124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57,156</w:t>
            </w:r>
          </w:p>
        </w:tc>
        <w:tc>
          <w:tcPr>
            <w:tcW w:w="1300" w:type="dxa"/>
            <w:vAlign w:val="bottom"/>
            <w:tcBorders>
              <w:bottom w:val="single" w:sz="8" w:color="auto"/>
            </w:tcBorders>
          </w:tcPr>
          <w:p>
            <w:pPr>
              <w:jc w:val="right"/>
              <w:ind w:right="234"/>
              <w:spacing w:after="0"/>
              <w:rPr>
                <w:sz w:val="20"/>
                <w:szCs w:val="20"/>
                <w:color w:val="auto"/>
              </w:rPr>
            </w:pPr>
            <w:r>
              <w:rPr>
                <w:rFonts w:ascii="Arial" w:cs="Arial" w:eastAsia="Arial" w:hAnsi="Arial"/>
                <w:sz w:val="18"/>
                <w:szCs w:val="18"/>
                <w:color w:val="auto"/>
              </w:rPr>
              <w:t>183,777</w:t>
            </w:r>
          </w:p>
        </w:tc>
        <w:tc>
          <w:tcPr>
            <w:tcW w:w="126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53,426</w:t>
            </w:r>
          </w:p>
        </w:tc>
        <w:tc>
          <w:tcPr>
            <w:tcW w:w="1300" w:type="dxa"/>
            <w:vAlign w:val="bottom"/>
            <w:tcBorders>
              <w:bottom w:val="single" w:sz="8" w:color="auto"/>
            </w:tcBorders>
          </w:tcPr>
          <w:p>
            <w:pPr>
              <w:jc w:val="right"/>
              <w:ind w:right="253"/>
              <w:spacing w:after="0"/>
              <w:rPr>
                <w:sz w:val="20"/>
                <w:szCs w:val="20"/>
                <w:color w:val="auto"/>
              </w:rPr>
            </w:pPr>
            <w:r>
              <w:rPr>
                <w:rFonts w:ascii="Arial" w:cs="Arial" w:eastAsia="Arial" w:hAnsi="Arial"/>
                <w:sz w:val="18"/>
                <w:szCs w:val="18"/>
                <w:color w:val="auto"/>
              </w:rPr>
              <w:t>179,356</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52,662</w:t>
            </w:r>
          </w:p>
        </w:tc>
        <w:tc>
          <w:tcPr>
            <w:tcW w:w="0" w:type="dxa"/>
            <w:vAlign w:val="bottom"/>
          </w:tcPr>
          <w:p>
            <w:pPr>
              <w:spacing w:after="0"/>
              <w:rPr>
                <w:sz w:val="1"/>
                <w:szCs w:val="1"/>
                <w:color w:val="auto"/>
              </w:rPr>
            </w:pPr>
          </w:p>
        </w:tc>
      </w:tr>
      <w:tr>
        <w:trPr>
          <w:trHeight w:val="222"/>
        </w:trPr>
        <w:tc>
          <w:tcPr>
            <w:tcW w:w="37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420" w:type="dxa"/>
            <w:vAlign w:val="bottom"/>
          </w:tcPr>
          <w:p>
            <w:pPr>
              <w:jc w:val="right"/>
              <w:ind w:right="253"/>
              <w:spacing w:after="0"/>
              <w:rPr>
                <w:sz w:val="20"/>
                <w:szCs w:val="20"/>
                <w:color w:val="auto"/>
              </w:rPr>
            </w:pPr>
            <w:r>
              <w:rPr>
                <w:rFonts w:ascii="Arial" w:cs="Arial" w:eastAsia="Arial" w:hAnsi="Arial"/>
                <w:sz w:val="18"/>
                <w:szCs w:val="18"/>
                <w:color w:val="auto"/>
              </w:rPr>
              <w:t>28,862</w:t>
            </w:r>
          </w:p>
        </w:tc>
        <w:tc>
          <w:tcPr>
            <w:tcW w:w="1240" w:type="dxa"/>
            <w:vAlign w:val="bottom"/>
          </w:tcPr>
          <w:p>
            <w:pPr>
              <w:jc w:val="right"/>
              <w:ind w:right="213"/>
              <w:spacing w:after="0"/>
              <w:rPr>
                <w:sz w:val="20"/>
                <w:szCs w:val="20"/>
                <w:color w:val="auto"/>
              </w:rPr>
            </w:pPr>
            <w:r>
              <w:rPr>
                <w:rFonts w:ascii="Arial" w:cs="Arial" w:eastAsia="Arial" w:hAnsi="Arial"/>
                <w:sz w:val="18"/>
                <w:szCs w:val="18"/>
                <w:color w:val="auto"/>
              </w:rPr>
              <w:t>8,297</w:t>
            </w:r>
          </w:p>
        </w:tc>
        <w:tc>
          <w:tcPr>
            <w:tcW w:w="1300" w:type="dxa"/>
            <w:vAlign w:val="bottom"/>
          </w:tcPr>
          <w:p>
            <w:pPr>
              <w:jc w:val="right"/>
              <w:ind w:right="234"/>
              <w:spacing w:after="0"/>
              <w:rPr>
                <w:sz w:val="20"/>
                <w:szCs w:val="20"/>
                <w:color w:val="auto"/>
              </w:rPr>
            </w:pPr>
            <w:r>
              <w:rPr>
                <w:rFonts w:ascii="Arial" w:cs="Arial" w:eastAsia="Arial" w:hAnsi="Arial"/>
                <w:sz w:val="18"/>
                <w:szCs w:val="18"/>
                <w:color w:val="auto"/>
              </w:rPr>
              <w:t>18,827</w:t>
            </w:r>
          </w:p>
        </w:tc>
        <w:tc>
          <w:tcPr>
            <w:tcW w:w="1260" w:type="dxa"/>
            <w:vAlign w:val="bottom"/>
          </w:tcPr>
          <w:p>
            <w:pPr>
              <w:jc w:val="right"/>
              <w:ind w:right="213"/>
              <w:spacing w:after="0"/>
              <w:rPr>
                <w:sz w:val="20"/>
                <w:szCs w:val="20"/>
                <w:color w:val="auto"/>
              </w:rPr>
            </w:pPr>
            <w:r>
              <w:rPr>
                <w:rFonts w:ascii="Arial" w:cs="Arial" w:eastAsia="Arial" w:hAnsi="Arial"/>
                <w:sz w:val="18"/>
                <w:szCs w:val="18"/>
                <w:color w:val="auto"/>
              </w:rPr>
              <w:t>5,245</w:t>
            </w:r>
          </w:p>
        </w:tc>
        <w:tc>
          <w:tcPr>
            <w:tcW w:w="1300" w:type="dxa"/>
            <w:vAlign w:val="bottom"/>
          </w:tcPr>
          <w:p>
            <w:pPr>
              <w:jc w:val="right"/>
              <w:ind w:right="253"/>
              <w:spacing w:after="0"/>
              <w:rPr>
                <w:sz w:val="20"/>
                <w:szCs w:val="20"/>
                <w:color w:val="auto"/>
              </w:rPr>
            </w:pPr>
            <w:r>
              <w:rPr>
                <w:rFonts w:ascii="Arial" w:cs="Arial" w:eastAsia="Arial" w:hAnsi="Arial"/>
                <w:sz w:val="18"/>
                <w:szCs w:val="18"/>
                <w:color w:val="auto"/>
              </w:rPr>
              <w:t>24,583</w:t>
            </w:r>
          </w:p>
        </w:tc>
        <w:tc>
          <w:tcPr>
            <w:tcW w:w="1020" w:type="dxa"/>
            <w:vAlign w:val="bottom"/>
          </w:tcPr>
          <w:p>
            <w:pPr>
              <w:jc w:val="right"/>
              <w:spacing w:after="0"/>
              <w:rPr>
                <w:sz w:val="20"/>
                <w:szCs w:val="20"/>
                <w:color w:val="auto"/>
              </w:rPr>
            </w:pPr>
            <w:r>
              <w:rPr>
                <w:rFonts w:ascii="Arial" w:cs="Arial" w:eastAsia="Arial" w:hAnsi="Arial"/>
                <w:sz w:val="18"/>
                <w:szCs w:val="18"/>
                <w:color w:val="auto"/>
              </w:rPr>
              <w:t>6,939</w:t>
            </w: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Arial" w:cs="Arial" w:eastAsia="Arial" w:hAnsi="Arial"/>
                <w:sz w:val="18"/>
                <w:szCs w:val="18"/>
                <w:color w:val="auto"/>
              </w:rPr>
              <w:t>Long-term liabilities</w:t>
            </w:r>
          </w:p>
        </w:tc>
        <w:tc>
          <w:tcPr>
            <w:tcW w:w="1420" w:type="dxa"/>
            <w:vAlign w:val="bottom"/>
            <w:tcBorders>
              <w:bottom w:val="single" w:sz="8" w:color="auto"/>
            </w:tcBorders>
          </w:tcPr>
          <w:p>
            <w:pPr>
              <w:jc w:val="right"/>
              <w:ind w:right="253"/>
              <w:spacing w:after="0"/>
              <w:rPr>
                <w:sz w:val="20"/>
                <w:szCs w:val="20"/>
                <w:color w:val="auto"/>
              </w:rPr>
            </w:pPr>
            <w:r>
              <w:rPr>
                <w:rFonts w:ascii="Arial" w:cs="Arial" w:eastAsia="Arial" w:hAnsi="Arial"/>
                <w:sz w:val="18"/>
                <w:szCs w:val="18"/>
                <w:color w:val="auto"/>
              </w:rPr>
              <w:t>63,138</w:t>
            </w:r>
          </w:p>
        </w:tc>
        <w:tc>
          <w:tcPr>
            <w:tcW w:w="124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19,084</w:t>
            </w:r>
          </w:p>
        </w:tc>
        <w:tc>
          <w:tcPr>
            <w:tcW w:w="1300" w:type="dxa"/>
            <w:vAlign w:val="bottom"/>
            <w:tcBorders>
              <w:bottom w:val="single" w:sz="8" w:color="auto"/>
            </w:tcBorders>
          </w:tcPr>
          <w:p>
            <w:pPr>
              <w:jc w:val="right"/>
              <w:ind w:right="234"/>
              <w:spacing w:after="0"/>
              <w:rPr>
                <w:sz w:val="20"/>
                <w:szCs w:val="20"/>
                <w:color w:val="auto"/>
              </w:rPr>
            </w:pPr>
            <w:r>
              <w:rPr>
                <w:rFonts w:ascii="Arial" w:cs="Arial" w:eastAsia="Arial" w:hAnsi="Arial"/>
                <w:sz w:val="18"/>
                <w:szCs w:val="18"/>
                <w:color w:val="auto"/>
              </w:rPr>
              <w:t>66,053</w:t>
            </w:r>
          </w:p>
        </w:tc>
        <w:tc>
          <w:tcPr>
            <w:tcW w:w="126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19,927</w:t>
            </w:r>
          </w:p>
        </w:tc>
        <w:tc>
          <w:tcPr>
            <w:tcW w:w="1300" w:type="dxa"/>
            <w:vAlign w:val="bottom"/>
            <w:tcBorders>
              <w:bottom w:val="single" w:sz="8" w:color="auto"/>
            </w:tcBorders>
          </w:tcPr>
          <w:p>
            <w:pPr>
              <w:jc w:val="right"/>
              <w:ind w:right="253"/>
              <w:spacing w:after="0"/>
              <w:rPr>
                <w:sz w:val="20"/>
                <w:szCs w:val="20"/>
                <w:color w:val="auto"/>
              </w:rPr>
            </w:pPr>
            <w:r>
              <w:rPr>
                <w:rFonts w:ascii="Arial" w:cs="Arial" w:eastAsia="Arial" w:hAnsi="Arial"/>
                <w:sz w:val="18"/>
                <w:szCs w:val="18"/>
                <w:color w:val="auto"/>
              </w:rPr>
              <w:t>61,022</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18,158</w:t>
            </w:r>
          </w:p>
        </w:tc>
        <w:tc>
          <w:tcPr>
            <w:tcW w:w="0" w:type="dxa"/>
            <w:vAlign w:val="bottom"/>
          </w:tcPr>
          <w:p>
            <w:pPr>
              <w:spacing w:after="0"/>
              <w:rPr>
                <w:sz w:val="1"/>
                <w:szCs w:val="1"/>
                <w:color w:val="auto"/>
              </w:rPr>
            </w:pPr>
          </w:p>
        </w:tc>
      </w:tr>
      <w:tr>
        <w:trPr>
          <w:trHeight w:val="223"/>
        </w:trPr>
        <w:tc>
          <w:tcPr>
            <w:tcW w:w="3700" w:type="dxa"/>
            <w:vAlign w:val="bottom"/>
          </w:tcPr>
          <w:p>
            <w:pPr>
              <w:ind w:left="220"/>
              <w:spacing w:after="0"/>
              <w:rPr>
                <w:sz w:val="20"/>
                <w:szCs w:val="20"/>
                <w:color w:val="auto"/>
              </w:rPr>
            </w:pPr>
            <w:r>
              <w:rPr>
                <w:rFonts w:ascii="Arial" w:cs="Arial" w:eastAsia="Arial" w:hAnsi="Arial"/>
                <w:sz w:val="18"/>
                <w:szCs w:val="18"/>
                <w:color w:val="auto"/>
              </w:rPr>
              <w:t>Net assets</w:t>
            </w:r>
          </w:p>
        </w:tc>
        <w:tc>
          <w:tcPr>
            <w:tcW w:w="1420" w:type="dxa"/>
            <w:vAlign w:val="bottom"/>
            <w:tcBorders>
              <w:bottom w:val="single" w:sz="8" w:color="auto"/>
            </w:tcBorders>
          </w:tcPr>
          <w:p>
            <w:pPr>
              <w:jc w:val="right"/>
              <w:ind w:right="253"/>
              <w:spacing w:after="0"/>
              <w:rPr>
                <w:sz w:val="20"/>
                <w:szCs w:val="20"/>
                <w:color w:val="auto"/>
              </w:rPr>
            </w:pPr>
            <w:r>
              <w:rPr>
                <w:rFonts w:ascii="Arial" w:cs="Arial" w:eastAsia="Arial" w:hAnsi="Arial"/>
                <w:sz w:val="18"/>
                <w:szCs w:val="18"/>
                <w:color w:val="auto"/>
              </w:rPr>
              <w:t>103,966</w:t>
            </w:r>
          </w:p>
        </w:tc>
        <w:tc>
          <w:tcPr>
            <w:tcW w:w="124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29,775</w:t>
            </w:r>
          </w:p>
        </w:tc>
        <w:tc>
          <w:tcPr>
            <w:tcW w:w="1300" w:type="dxa"/>
            <w:vAlign w:val="bottom"/>
            <w:tcBorders>
              <w:bottom w:val="single" w:sz="8" w:color="auto"/>
            </w:tcBorders>
          </w:tcPr>
          <w:p>
            <w:pPr>
              <w:jc w:val="right"/>
              <w:ind w:right="234"/>
              <w:spacing w:after="0"/>
              <w:rPr>
                <w:sz w:val="20"/>
                <w:szCs w:val="20"/>
                <w:color w:val="auto"/>
              </w:rPr>
            </w:pPr>
            <w:r>
              <w:rPr>
                <w:rFonts w:ascii="Arial" w:cs="Arial" w:eastAsia="Arial" w:hAnsi="Arial"/>
                <w:sz w:val="18"/>
                <w:szCs w:val="18"/>
                <w:color w:val="auto"/>
              </w:rPr>
              <w:t>98,897</w:t>
            </w:r>
          </w:p>
        </w:tc>
        <w:tc>
          <w:tcPr>
            <w:tcW w:w="126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28,254</w:t>
            </w:r>
          </w:p>
        </w:tc>
        <w:tc>
          <w:tcPr>
            <w:tcW w:w="1300" w:type="dxa"/>
            <w:vAlign w:val="bottom"/>
            <w:tcBorders>
              <w:bottom w:val="single" w:sz="8" w:color="auto"/>
            </w:tcBorders>
          </w:tcPr>
          <w:p>
            <w:pPr>
              <w:jc w:val="right"/>
              <w:ind w:right="253"/>
              <w:spacing w:after="0"/>
              <w:rPr>
                <w:sz w:val="20"/>
                <w:szCs w:val="20"/>
                <w:color w:val="auto"/>
              </w:rPr>
            </w:pPr>
            <w:r>
              <w:rPr>
                <w:rFonts w:ascii="Arial" w:cs="Arial" w:eastAsia="Arial" w:hAnsi="Arial"/>
                <w:sz w:val="18"/>
                <w:szCs w:val="18"/>
                <w:color w:val="auto"/>
              </w:rPr>
              <w:t>93,751</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27,565</w:t>
            </w:r>
          </w:p>
        </w:tc>
        <w:tc>
          <w:tcPr>
            <w:tcW w:w="0" w:type="dxa"/>
            <w:vAlign w:val="bottom"/>
          </w:tcPr>
          <w:p>
            <w:pPr>
              <w:spacing w:after="0"/>
              <w:rPr>
                <w:sz w:val="1"/>
                <w:szCs w:val="1"/>
                <w:color w:val="auto"/>
              </w:rPr>
            </w:pPr>
          </w:p>
        </w:tc>
      </w:tr>
      <w:tr>
        <w:trPr>
          <w:trHeight w:val="993"/>
        </w:trPr>
        <w:tc>
          <w:tcPr>
            <w:tcW w:w="37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40" w:type="dxa"/>
            <w:vAlign w:val="bottom"/>
          </w:tcPr>
          <w:p>
            <w:pPr>
              <w:jc w:val="right"/>
              <w:ind w:right="553"/>
              <w:spacing w:after="0"/>
              <w:rPr>
                <w:sz w:val="20"/>
                <w:szCs w:val="20"/>
                <w:color w:val="auto"/>
              </w:rPr>
            </w:pPr>
            <w:r>
              <w:rPr>
                <w:rFonts w:ascii="Arial" w:cs="Arial" w:eastAsia="Arial" w:hAnsi="Arial"/>
                <w:sz w:val="18"/>
                <w:szCs w:val="18"/>
                <w:color w:val="auto"/>
              </w:rPr>
              <w:t>83</w:t>
            </w:r>
          </w:p>
        </w:tc>
        <w:tc>
          <w:tcPr>
            <w:tcW w:w="1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700" w:type="dxa"/>
            <w:vAlign w:val="bottom"/>
            <w:tcBorders>
              <w:bottom w:val="single" w:sz="8" w:color="9A9A9A"/>
            </w:tcBorders>
          </w:tcPr>
          <w:p>
            <w:pPr>
              <w:spacing w:after="0"/>
              <w:rPr>
                <w:sz w:val="8"/>
                <w:szCs w:val="8"/>
                <w:color w:val="auto"/>
              </w:rPr>
            </w:pPr>
          </w:p>
        </w:tc>
        <w:tc>
          <w:tcPr>
            <w:tcW w:w="142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color w:val="auto"/>
        </w:rPr>
        <w:t>A list of significant equity companies as of December 31, 2021, together with the Corporation’s percentage ownership interest, is detailed below:</w:t>
      </w:r>
    </w:p>
    <w:p>
      <w:pPr>
        <w:spacing w:after="0" w:line="142"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2420" w:type="dxa"/>
            <w:vAlign w:val="bottom"/>
          </w:tcPr>
          <w:p>
            <w:pPr>
              <w:jc w:val="center"/>
              <w:ind w:left="1060"/>
              <w:spacing w:after="0"/>
              <w:rPr>
                <w:sz w:val="20"/>
                <w:szCs w:val="20"/>
                <w:color w:val="auto"/>
              </w:rPr>
            </w:pPr>
            <w:r>
              <w:rPr>
                <w:rFonts w:ascii="Arial" w:cs="Arial" w:eastAsia="Arial" w:hAnsi="Arial"/>
                <w:sz w:val="14"/>
                <w:szCs w:val="14"/>
                <w:b w:val="1"/>
                <w:bCs w:val="1"/>
                <w:color w:val="auto"/>
                <w:w w:val="90"/>
              </w:rPr>
              <w:t>Percentage</w:t>
            </w:r>
          </w:p>
        </w:tc>
      </w:tr>
      <w:tr>
        <w:trPr>
          <w:trHeight w:val="188"/>
        </w:trPr>
        <w:tc>
          <w:tcPr>
            <w:tcW w:w="544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tcPr>
          <w:p>
            <w:pPr>
              <w:jc w:val="center"/>
              <w:ind w:left="1060"/>
              <w:spacing w:after="0"/>
              <w:rPr>
                <w:sz w:val="20"/>
                <w:szCs w:val="20"/>
                <w:color w:val="auto"/>
              </w:rPr>
            </w:pPr>
            <w:r>
              <w:rPr>
                <w:rFonts w:ascii="Arial" w:cs="Arial" w:eastAsia="Arial" w:hAnsi="Arial"/>
                <w:sz w:val="14"/>
                <w:szCs w:val="14"/>
                <w:b w:val="1"/>
                <w:bCs w:val="1"/>
                <w:color w:val="auto"/>
                <w:w w:val="94"/>
              </w:rPr>
              <w:t>Ownership Interest</w:t>
            </w:r>
          </w:p>
        </w:tc>
      </w:tr>
      <w:tr>
        <w:trPr>
          <w:trHeight w:val="228"/>
        </w:trPr>
        <w:tc>
          <w:tcPr>
            <w:tcW w:w="5440" w:type="dxa"/>
            <w:vAlign w:val="bottom"/>
          </w:tcPr>
          <w:p>
            <w:pPr>
              <w:ind w:left="20"/>
              <w:spacing w:after="0"/>
              <w:rPr>
                <w:sz w:val="20"/>
                <w:szCs w:val="20"/>
                <w:color w:val="auto"/>
              </w:rPr>
            </w:pPr>
            <w:r>
              <w:rPr>
                <w:rFonts w:ascii="Arial" w:cs="Arial" w:eastAsia="Arial" w:hAnsi="Arial"/>
                <w:sz w:val="18"/>
                <w:szCs w:val="18"/>
                <w:b w:val="1"/>
                <w:bCs w:val="1"/>
                <w:color w:val="auto"/>
              </w:rPr>
              <w:t>Upstream</w:t>
            </w:r>
          </w:p>
        </w:tc>
        <w:tc>
          <w:tcPr>
            <w:tcW w:w="2420" w:type="dxa"/>
            <w:vAlign w:val="bottom"/>
          </w:tcPr>
          <w:p>
            <w:pPr>
              <w:spacing w:after="0"/>
              <w:rPr>
                <w:sz w:val="19"/>
                <w:szCs w:val="19"/>
                <w:color w:val="auto"/>
              </w:rPr>
            </w:pPr>
          </w:p>
        </w:tc>
      </w:tr>
      <w:tr>
        <w:trPr>
          <w:trHeight w:val="206"/>
        </w:trPr>
        <w:tc>
          <w:tcPr>
            <w:tcW w:w="5440" w:type="dxa"/>
            <w:vAlign w:val="bottom"/>
          </w:tcPr>
          <w:p>
            <w:pPr>
              <w:ind w:left="20"/>
              <w:spacing w:after="0"/>
              <w:rPr>
                <w:sz w:val="20"/>
                <w:szCs w:val="20"/>
                <w:color w:val="auto"/>
              </w:rPr>
            </w:pPr>
            <w:r>
              <w:rPr>
                <w:rFonts w:ascii="Arial" w:cs="Arial" w:eastAsia="Arial" w:hAnsi="Arial"/>
                <w:sz w:val="16"/>
                <w:szCs w:val="16"/>
                <w:color w:val="auto"/>
              </w:rPr>
              <w:t>Aera Energy LLC</w:t>
            </w:r>
          </w:p>
        </w:tc>
        <w:tc>
          <w:tcPr>
            <w:tcW w:w="2420" w:type="dxa"/>
            <w:vAlign w:val="bottom"/>
          </w:tcPr>
          <w:p>
            <w:pPr>
              <w:jc w:val="center"/>
              <w:ind w:left="1060"/>
              <w:spacing w:after="0"/>
              <w:rPr>
                <w:sz w:val="20"/>
                <w:szCs w:val="20"/>
                <w:color w:val="auto"/>
              </w:rPr>
            </w:pPr>
            <w:r>
              <w:rPr>
                <w:rFonts w:ascii="Arial" w:cs="Arial" w:eastAsia="Arial" w:hAnsi="Arial"/>
                <w:sz w:val="16"/>
                <w:szCs w:val="16"/>
                <w:color w:val="auto"/>
                <w:w w:val="89"/>
              </w:rPr>
              <w:t>48</w:t>
            </w:r>
          </w:p>
        </w:tc>
      </w:tr>
      <w:tr>
        <w:trPr>
          <w:trHeight w:val="216"/>
        </w:trPr>
        <w:tc>
          <w:tcPr>
            <w:tcW w:w="5440" w:type="dxa"/>
            <w:vAlign w:val="bottom"/>
          </w:tcPr>
          <w:p>
            <w:pPr>
              <w:ind w:left="20"/>
              <w:spacing w:after="0"/>
              <w:rPr>
                <w:sz w:val="20"/>
                <w:szCs w:val="20"/>
                <w:color w:val="auto"/>
              </w:rPr>
            </w:pPr>
            <w:r>
              <w:rPr>
                <w:rFonts w:ascii="Arial" w:cs="Arial" w:eastAsia="Arial" w:hAnsi="Arial"/>
                <w:sz w:val="16"/>
                <w:szCs w:val="16"/>
                <w:color w:val="auto"/>
              </w:rPr>
              <w:t>Barzan Gas Company Limited</w:t>
            </w:r>
          </w:p>
        </w:tc>
        <w:tc>
          <w:tcPr>
            <w:tcW w:w="2420" w:type="dxa"/>
            <w:vAlign w:val="bottom"/>
          </w:tcPr>
          <w:p>
            <w:pPr>
              <w:jc w:val="center"/>
              <w:ind w:left="1060"/>
              <w:spacing w:after="0"/>
              <w:rPr>
                <w:sz w:val="20"/>
                <w:szCs w:val="20"/>
                <w:color w:val="auto"/>
              </w:rPr>
            </w:pPr>
            <w:r>
              <w:rPr>
                <w:rFonts w:ascii="Arial" w:cs="Arial" w:eastAsia="Arial" w:hAnsi="Arial"/>
                <w:sz w:val="16"/>
                <w:szCs w:val="16"/>
                <w:color w:val="auto"/>
                <w:w w:val="89"/>
              </w:rPr>
              <w:t>7</w:t>
            </w:r>
          </w:p>
        </w:tc>
      </w:tr>
      <w:tr>
        <w:trPr>
          <w:trHeight w:val="216"/>
        </w:trPr>
        <w:tc>
          <w:tcPr>
            <w:tcW w:w="5440" w:type="dxa"/>
            <w:vAlign w:val="bottom"/>
          </w:tcPr>
          <w:p>
            <w:pPr>
              <w:ind w:left="20"/>
              <w:spacing w:after="0"/>
              <w:rPr>
                <w:sz w:val="20"/>
                <w:szCs w:val="20"/>
                <w:color w:val="auto"/>
              </w:rPr>
            </w:pPr>
            <w:r>
              <w:rPr>
                <w:rFonts w:ascii="Arial" w:cs="Arial" w:eastAsia="Arial" w:hAnsi="Arial"/>
                <w:sz w:val="16"/>
                <w:szCs w:val="16"/>
                <w:color w:val="auto"/>
              </w:rPr>
              <w:t>BEB Erdgas und Erdoel GmbH &amp; Co. KG</w:t>
            </w:r>
          </w:p>
        </w:tc>
        <w:tc>
          <w:tcPr>
            <w:tcW w:w="2420" w:type="dxa"/>
            <w:vAlign w:val="bottom"/>
          </w:tcPr>
          <w:p>
            <w:pPr>
              <w:jc w:val="center"/>
              <w:ind w:left="1060"/>
              <w:spacing w:after="0"/>
              <w:rPr>
                <w:sz w:val="20"/>
                <w:szCs w:val="20"/>
                <w:color w:val="auto"/>
              </w:rPr>
            </w:pPr>
            <w:r>
              <w:rPr>
                <w:rFonts w:ascii="Arial" w:cs="Arial" w:eastAsia="Arial" w:hAnsi="Arial"/>
                <w:sz w:val="16"/>
                <w:szCs w:val="16"/>
                <w:color w:val="auto"/>
                <w:w w:val="89"/>
              </w:rPr>
              <w:t>50</w:t>
            </w:r>
          </w:p>
        </w:tc>
      </w:tr>
      <w:tr>
        <w:trPr>
          <w:trHeight w:val="216"/>
        </w:trPr>
        <w:tc>
          <w:tcPr>
            <w:tcW w:w="5440" w:type="dxa"/>
            <w:vAlign w:val="bottom"/>
          </w:tcPr>
          <w:p>
            <w:pPr>
              <w:ind w:left="20"/>
              <w:spacing w:after="0"/>
              <w:rPr>
                <w:sz w:val="20"/>
                <w:szCs w:val="20"/>
                <w:color w:val="auto"/>
              </w:rPr>
            </w:pPr>
            <w:r>
              <w:rPr>
                <w:rFonts w:ascii="Arial" w:cs="Arial" w:eastAsia="Arial" w:hAnsi="Arial"/>
                <w:sz w:val="16"/>
                <w:szCs w:val="16"/>
                <w:color w:val="auto"/>
              </w:rPr>
              <w:t>Caspian Pipeline Consortium</w:t>
            </w:r>
          </w:p>
        </w:tc>
        <w:tc>
          <w:tcPr>
            <w:tcW w:w="2420" w:type="dxa"/>
            <w:vAlign w:val="bottom"/>
          </w:tcPr>
          <w:p>
            <w:pPr>
              <w:jc w:val="center"/>
              <w:ind w:left="1060"/>
              <w:spacing w:after="0"/>
              <w:rPr>
                <w:sz w:val="20"/>
                <w:szCs w:val="20"/>
                <w:color w:val="auto"/>
              </w:rPr>
            </w:pPr>
            <w:r>
              <w:rPr>
                <w:rFonts w:ascii="Arial" w:cs="Arial" w:eastAsia="Arial" w:hAnsi="Arial"/>
                <w:sz w:val="16"/>
                <w:szCs w:val="16"/>
                <w:color w:val="auto"/>
                <w:w w:val="89"/>
              </w:rPr>
              <w:t>8</w:t>
            </w:r>
          </w:p>
        </w:tc>
      </w:tr>
      <w:tr>
        <w:trPr>
          <w:trHeight w:val="216"/>
        </w:trPr>
        <w:tc>
          <w:tcPr>
            <w:tcW w:w="5440" w:type="dxa"/>
            <w:vAlign w:val="bottom"/>
          </w:tcPr>
          <w:p>
            <w:pPr>
              <w:ind w:left="20"/>
              <w:spacing w:after="0"/>
              <w:rPr>
                <w:sz w:val="20"/>
                <w:szCs w:val="20"/>
                <w:color w:val="auto"/>
              </w:rPr>
            </w:pPr>
            <w:r>
              <w:rPr>
                <w:rFonts w:ascii="Arial" w:cs="Arial" w:eastAsia="Arial" w:hAnsi="Arial"/>
                <w:sz w:val="16"/>
                <w:szCs w:val="16"/>
                <w:color w:val="auto"/>
              </w:rPr>
              <w:t>CORAL FLNG, S.A.</w:t>
            </w:r>
          </w:p>
        </w:tc>
        <w:tc>
          <w:tcPr>
            <w:tcW w:w="2420" w:type="dxa"/>
            <w:vAlign w:val="bottom"/>
          </w:tcPr>
          <w:p>
            <w:pPr>
              <w:jc w:val="center"/>
              <w:ind w:left="1060"/>
              <w:spacing w:after="0"/>
              <w:rPr>
                <w:sz w:val="20"/>
                <w:szCs w:val="20"/>
                <w:color w:val="auto"/>
              </w:rPr>
            </w:pPr>
            <w:r>
              <w:rPr>
                <w:rFonts w:ascii="Arial" w:cs="Arial" w:eastAsia="Arial" w:hAnsi="Arial"/>
                <w:sz w:val="16"/>
                <w:szCs w:val="16"/>
                <w:color w:val="auto"/>
                <w:w w:val="89"/>
              </w:rPr>
              <w:t>25</w:t>
            </w:r>
          </w:p>
        </w:tc>
      </w:tr>
      <w:tr>
        <w:trPr>
          <w:trHeight w:val="216"/>
        </w:trPr>
        <w:tc>
          <w:tcPr>
            <w:tcW w:w="5440" w:type="dxa"/>
            <w:vAlign w:val="bottom"/>
          </w:tcPr>
          <w:p>
            <w:pPr>
              <w:ind w:left="20"/>
              <w:spacing w:after="0"/>
              <w:rPr>
                <w:sz w:val="20"/>
                <w:szCs w:val="20"/>
                <w:color w:val="auto"/>
              </w:rPr>
            </w:pPr>
            <w:r>
              <w:rPr>
                <w:rFonts w:ascii="Arial" w:cs="Arial" w:eastAsia="Arial" w:hAnsi="Arial"/>
                <w:sz w:val="16"/>
                <w:szCs w:val="16"/>
                <w:color w:val="auto"/>
              </w:rPr>
              <w:t>Cross Timbers Energy, LLC</w:t>
            </w:r>
          </w:p>
        </w:tc>
        <w:tc>
          <w:tcPr>
            <w:tcW w:w="2420" w:type="dxa"/>
            <w:vAlign w:val="bottom"/>
          </w:tcPr>
          <w:p>
            <w:pPr>
              <w:jc w:val="center"/>
              <w:ind w:left="1060"/>
              <w:spacing w:after="0"/>
              <w:rPr>
                <w:sz w:val="20"/>
                <w:szCs w:val="20"/>
                <w:color w:val="auto"/>
              </w:rPr>
            </w:pPr>
            <w:r>
              <w:rPr>
                <w:rFonts w:ascii="Arial" w:cs="Arial" w:eastAsia="Arial" w:hAnsi="Arial"/>
                <w:sz w:val="16"/>
                <w:szCs w:val="16"/>
                <w:color w:val="auto"/>
                <w:w w:val="89"/>
              </w:rPr>
              <w:t>50</w:t>
            </w:r>
          </w:p>
        </w:tc>
      </w:tr>
      <w:tr>
        <w:trPr>
          <w:trHeight w:val="216"/>
        </w:trPr>
        <w:tc>
          <w:tcPr>
            <w:tcW w:w="5440" w:type="dxa"/>
            <w:vAlign w:val="bottom"/>
          </w:tcPr>
          <w:p>
            <w:pPr>
              <w:ind w:left="20"/>
              <w:spacing w:after="0"/>
              <w:rPr>
                <w:sz w:val="20"/>
                <w:szCs w:val="20"/>
                <w:color w:val="auto"/>
              </w:rPr>
            </w:pPr>
            <w:r>
              <w:rPr>
                <w:rFonts w:ascii="Arial" w:cs="Arial" w:eastAsia="Arial" w:hAnsi="Arial"/>
                <w:sz w:val="16"/>
                <w:szCs w:val="16"/>
                <w:color w:val="auto"/>
              </w:rPr>
              <w:t>GasTerra B.V.</w:t>
            </w:r>
          </w:p>
        </w:tc>
        <w:tc>
          <w:tcPr>
            <w:tcW w:w="2420" w:type="dxa"/>
            <w:vAlign w:val="bottom"/>
          </w:tcPr>
          <w:p>
            <w:pPr>
              <w:jc w:val="center"/>
              <w:ind w:left="1060"/>
              <w:spacing w:after="0"/>
              <w:rPr>
                <w:sz w:val="20"/>
                <w:szCs w:val="20"/>
                <w:color w:val="auto"/>
              </w:rPr>
            </w:pPr>
            <w:r>
              <w:rPr>
                <w:rFonts w:ascii="Arial" w:cs="Arial" w:eastAsia="Arial" w:hAnsi="Arial"/>
                <w:sz w:val="16"/>
                <w:szCs w:val="16"/>
                <w:color w:val="auto"/>
                <w:w w:val="89"/>
              </w:rPr>
              <w:t>25</w:t>
            </w:r>
          </w:p>
        </w:tc>
      </w:tr>
      <w:tr>
        <w:trPr>
          <w:trHeight w:val="216"/>
        </w:trPr>
        <w:tc>
          <w:tcPr>
            <w:tcW w:w="5440" w:type="dxa"/>
            <w:vAlign w:val="bottom"/>
          </w:tcPr>
          <w:p>
            <w:pPr>
              <w:ind w:left="20"/>
              <w:spacing w:after="0"/>
              <w:rPr>
                <w:sz w:val="20"/>
                <w:szCs w:val="20"/>
                <w:color w:val="auto"/>
              </w:rPr>
            </w:pPr>
            <w:r>
              <w:rPr>
                <w:rFonts w:ascii="Arial" w:cs="Arial" w:eastAsia="Arial" w:hAnsi="Arial"/>
                <w:sz w:val="16"/>
                <w:szCs w:val="16"/>
                <w:color w:val="auto"/>
              </w:rPr>
              <w:t>Golden Pass LNG Terminal LLC</w:t>
            </w:r>
          </w:p>
        </w:tc>
        <w:tc>
          <w:tcPr>
            <w:tcW w:w="2420" w:type="dxa"/>
            <w:vAlign w:val="bottom"/>
          </w:tcPr>
          <w:p>
            <w:pPr>
              <w:jc w:val="center"/>
              <w:ind w:left="1060"/>
              <w:spacing w:after="0"/>
              <w:rPr>
                <w:sz w:val="20"/>
                <w:szCs w:val="20"/>
                <w:color w:val="auto"/>
              </w:rPr>
            </w:pPr>
            <w:r>
              <w:rPr>
                <w:rFonts w:ascii="Arial" w:cs="Arial" w:eastAsia="Arial" w:hAnsi="Arial"/>
                <w:sz w:val="16"/>
                <w:szCs w:val="16"/>
                <w:color w:val="auto"/>
                <w:w w:val="89"/>
              </w:rPr>
              <w:t>30</w:t>
            </w:r>
          </w:p>
        </w:tc>
      </w:tr>
      <w:tr>
        <w:trPr>
          <w:trHeight w:val="216"/>
        </w:trPr>
        <w:tc>
          <w:tcPr>
            <w:tcW w:w="5440" w:type="dxa"/>
            <w:vAlign w:val="bottom"/>
          </w:tcPr>
          <w:p>
            <w:pPr>
              <w:ind w:left="20"/>
              <w:spacing w:after="0"/>
              <w:rPr>
                <w:sz w:val="20"/>
                <w:szCs w:val="20"/>
                <w:color w:val="auto"/>
              </w:rPr>
            </w:pPr>
            <w:r>
              <w:rPr>
                <w:rFonts w:ascii="Arial" w:cs="Arial" w:eastAsia="Arial" w:hAnsi="Arial"/>
                <w:sz w:val="16"/>
                <w:szCs w:val="16"/>
                <w:color w:val="auto"/>
              </w:rPr>
              <w:t>Golden Pass Pipeline LLC</w:t>
            </w:r>
          </w:p>
        </w:tc>
        <w:tc>
          <w:tcPr>
            <w:tcW w:w="2420" w:type="dxa"/>
            <w:vAlign w:val="bottom"/>
          </w:tcPr>
          <w:p>
            <w:pPr>
              <w:jc w:val="center"/>
              <w:ind w:left="1060"/>
              <w:spacing w:after="0"/>
              <w:rPr>
                <w:sz w:val="20"/>
                <w:szCs w:val="20"/>
                <w:color w:val="auto"/>
              </w:rPr>
            </w:pPr>
            <w:r>
              <w:rPr>
                <w:rFonts w:ascii="Arial" w:cs="Arial" w:eastAsia="Arial" w:hAnsi="Arial"/>
                <w:sz w:val="16"/>
                <w:szCs w:val="16"/>
                <w:color w:val="auto"/>
                <w:w w:val="89"/>
              </w:rPr>
              <w:t>30</w:t>
            </w:r>
          </w:p>
        </w:tc>
      </w:tr>
      <w:tr>
        <w:trPr>
          <w:trHeight w:val="216"/>
        </w:trPr>
        <w:tc>
          <w:tcPr>
            <w:tcW w:w="5440" w:type="dxa"/>
            <w:vAlign w:val="bottom"/>
          </w:tcPr>
          <w:p>
            <w:pPr>
              <w:ind w:left="20"/>
              <w:spacing w:after="0"/>
              <w:rPr>
                <w:sz w:val="20"/>
                <w:szCs w:val="20"/>
                <w:color w:val="auto"/>
              </w:rPr>
            </w:pPr>
            <w:r>
              <w:rPr>
                <w:rFonts w:ascii="Arial" w:cs="Arial" w:eastAsia="Arial" w:hAnsi="Arial"/>
                <w:sz w:val="16"/>
                <w:szCs w:val="16"/>
                <w:color w:val="auto"/>
              </w:rPr>
              <w:t>Marine Well Containment Company LLC</w:t>
            </w:r>
          </w:p>
        </w:tc>
        <w:tc>
          <w:tcPr>
            <w:tcW w:w="2420" w:type="dxa"/>
            <w:vAlign w:val="bottom"/>
          </w:tcPr>
          <w:p>
            <w:pPr>
              <w:jc w:val="center"/>
              <w:ind w:left="1060"/>
              <w:spacing w:after="0"/>
              <w:rPr>
                <w:sz w:val="20"/>
                <w:szCs w:val="20"/>
                <w:color w:val="auto"/>
              </w:rPr>
            </w:pPr>
            <w:r>
              <w:rPr>
                <w:rFonts w:ascii="Arial" w:cs="Arial" w:eastAsia="Arial" w:hAnsi="Arial"/>
                <w:sz w:val="16"/>
                <w:szCs w:val="16"/>
                <w:color w:val="auto"/>
                <w:w w:val="89"/>
              </w:rPr>
              <w:t>10</w:t>
            </w:r>
          </w:p>
        </w:tc>
      </w:tr>
      <w:tr>
        <w:trPr>
          <w:trHeight w:val="216"/>
        </w:trPr>
        <w:tc>
          <w:tcPr>
            <w:tcW w:w="5440" w:type="dxa"/>
            <w:vAlign w:val="bottom"/>
          </w:tcPr>
          <w:p>
            <w:pPr>
              <w:ind w:left="20"/>
              <w:spacing w:after="0"/>
              <w:rPr>
                <w:sz w:val="20"/>
                <w:szCs w:val="20"/>
                <w:color w:val="auto"/>
              </w:rPr>
            </w:pPr>
            <w:r>
              <w:rPr>
                <w:rFonts w:ascii="Arial" w:cs="Arial" w:eastAsia="Arial" w:hAnsi="Arial"/>
                <w:sz w:val="16"/>
                <w:szCs w:val="16"/>
                <w:color w:val="auto"/>
              </w:rPr>
              <w:t>Mozambique Rovuma Venture, S.p.A.</w:t>
            </w:r>
          </w:p>
        </w:tc>
        <w:tc>
          <w:tcPr>
            <w:tcW w:w="2420" w:type="dxa"/>
            <w:vAlign w:val="bottom"/>
          </w:tcPr>
          <w:p>
            <w:pPr>
              <w:jc w:val="center"/>
              <w:ind w:left="1060"/>
              <w:spacing w:after="0"/>
              <w:rPr>
                <w:sz w:val="20"/>
                <w:szCs w:val="20"/>
                <w:color w:val="auto"/>
              </w:rPr>
            </w:pPr>
            <w:r>
              <w:rPr>
                <w:rFonts w:ascii="Arial" w:cs="Arial" w:eastAsia="Arial" w:hAnsi="Arial"/>
                <w:sz w:val="16"/>
                <w:szCs w:val="16"/>
                <w:color w:val="auto"/>
                <w:w w:val="89"/>
              </w:rPr>
              <w:t>36</w:t>
            </w:r>
          </w:p>
        </w:tc>
      </w:tr>
      <w:tr>
        <w:trPr>
          <w:trHeight w:val="216"/>
        </w:trPr>
        <w:tc>
          <w:tcPr>
            <w:tcW w:w="5440" w:type="dxa"/>
            <w:vAlign w:val="bottom"/>
          </w:tcPr>
          <w:p>
            <w:pPr>
              <w:ind w:left="20"/>
              <w:spacing w:after="0"/>
              <w:rPr>
                <w:sz w:val="20"/>
                <w:szCs w:val="20"/>
                <w:color w:val="auto"/>
              </w:rPr>
            </w:pPr>
            <w:r>
              <w:rPr>
                <w:rFonts w:ascii="Arial" w:cs="Arial" w:eastAsia="Arial" w:hAnsi="Arial"/>
                <w:sz w:val="16"/>
                <w:szCs w:val="16"/>
                <w:color w:val="auto"/>
              </w:rPr>
              <w:t>Nederlandse Aardolie Maatschappij B.V.</w:t>
            </w:r>
          </w:p>
        </w:tc>
        <w:tc>
          <w:tcPr>
            <w:tcW w:w="2420" w:type="dxa"/>
            <w:vAlign w:val="bottom"/>
          </w:tcPr>
          <w:p>
            <w:pPr>
              <w:jc w:val="center"/>
              <w:ind w:left="1060"/>
              <w:spacing w:after="0"/>
              <w:rPr>
                <w:sz w:val="20"/>
                <w:szCs w:val="20"/>
                <w:color w:val="auto"/>
              </w:rPr>
            </w:pPr>
            <w:r>
              <w:rPr>
                <w:rFonts w:ascii="Arial" w:cs="Arial" w:eastAsia="Arial" w:hAnsi="Arial"/>
                <w:sz w:val="16"/>
                <w:szCs w:val="16"/>
                <w:color w:val="auto"/>
                <w:w w:val="89"/>
              </w:rPr>
              <w:t>50</w:t>
            </w:r>
          </w:p>
        </w:tc>
      </w:tr>
      <w:tr>
        <w:trPr>
          <w:trHeight w:val="216"/>
        </w:trPr>
        <w:tc>
          <w:tcPr>
            <w:tcW w:w="5440" w:type="dxa"/>
            <w:vAlign w:val="bottom"/>
          </w:tcPr>
          <w:p>
            <w:pPr>
              <w:ind w:left="20"/>
              <w:spacing w:after="0"/>
              <w:rPr>
                <w:sz w:val="20"/>
                <w:szCs w:val="20"/>
                <w:color w:val="auto"/>
              </w:rPr>
            </w:pPr>
            <w:r>
              <w:rPr>
                <w:rFonts w:ascii="Arial" w:cs="Arial" w:eastAsia="Arial" w:hAnsi="Arial"/>
                <w:sz w:val="16"/>
                <w:szCs w:val="16"/>
                <w:color w:val="auto"/>
              </w:rPr>
              <w:t>Papua New Guinea Liquefied Natural Gas Global Company LDC</w:t>
            </w:r>
          </w:p>
        </w:tc>
        <w:tc>
          <w:tcPr>
            <w:tcW w:w="2420" w:type="dxa"/>
            <w:vAlign w:val="bottom"/>
          </w:tcPr>
          <w:p>
            <w:pPr>
              <w:jc w:val="center"/>
              <w:ind w:left="1060"/>
              <w:spacing w:after="0"/>
              <w:rPr>
                <w:sz w:val="20"/>
                <w:szCs w:val="20"/>
                <w:color w:val="auto"/>
              </w:rPr>
            </w:pPr>
            <w:r>
              <w:rPr>
                <w:rFonts w:ascii="Arial" w:cs="Arial" w:eastAsia="Arial" w:hAnsi="Arial"/>
                <w:sz w:val="16"/>
                <w:szCs w:val="16"/>
                <w:color w:val="auto"/>
                <w:w w:val="89"/>
              </w:rPr>
              <w:t>33</w:t>
            </w:r>
          </w:p>
        </w:tc>
      </w:tr>
      <w:tr>
        <w:trPr>
          <w:trHeight w:val="216"/>
        </w:trPr>
        <w:tc>
          <w:tcPr>
            <w:tcW w:w="5440" w:type="dxa"/>
            <w:vAlign w:val="bottom"/>
          </w:tcPr>
          <w:p>
            <w:pPr>
              <w:ind w:left="20"/>
              <w:spacing w:after="0"/>
              <w:rPr>
                <w:sz w:val="20"/>
                <w:szCs w:val="20"/>
                <w:color w:val="auto"/>
              </w:rPr>
            </w:pPr>
            <w:r>
              <w:rPr>
                <w:rFonts w:ascii="Arial" w:cs="Arial" w:eastAsia="Arial" w:hAnsi="Arial"/>
                <w:sz w:val="16"/>
                <w:szCs w:val="16"/>
                <w:color w:val="auto"/>
              </w:rPr>
              <w:t>Permian Highway Pipeline LLC</w:t>
            </w:r>
          </w:p>
        </w:tc>
        <w:tc>
          <w:tcPr>
            <w:tcW w:w="2420" w:type="dxa"/>
            <w:vAlign w:val="bottom"/>
          </w:tcPr>
          <w:p>
            <w:pPr>
              <w:jc w:val="center"/>
              <w:ind w:left="1060"/>
              <w:spacing w:after="0"/>
              <w:rPr>
                <w:sz w:val="20"/>
                <w:szCs w:val="20"/>
                <w:color w:val="auto"/>
              </w:rPr>
            </w:pPr>
            <w:r>
              <w:rPr>
                <w:rFonts w:ascii="Arial" w:cs="Arial" w:eastAsia="Arial" w:hAnsi="Arial"/>
                <w:sz w:val="16"/>
                <w:szCs w:val="16"/>
                <w:color w:val="auto"/>
                <w:w w:val="89"/>
              </w:rPr>
              <w:t>20</w:t>
            </w:r>
          </w:p>
        </w:tc>
      </w:tr>
      <w:tr>
        <w:trPr>
          <w:trHeight w:val="216"/>
        </w:trPr>
        <w:tc>
          <w:tcPr>
            <w:tcW w:w="5440" w:type="dxa"/>
            <w:vAlign w:val="bottom"/>
          </w:tcPr>
          <w:p>
            <w:pPr>
              <w:ind w:left="20"/>
              <w:spacing w:after="0"/>
              <w:rPr>
                <w:sz w:val="20"/>
                <w:szCs w:val="20"/>
                <w:color w:val="auto"/>
              </w:rPr>
            </w:pPr>
            <w:r>
              <w:rPr>
                <w:rFonts w:ascii="Arial" w:cs="Arial" w:eastAsia="Arial" w:hAnsi="Arial"/>
                <w:sz w:val="16"/>
                <w:szCs w:val="16"/>
                <w:color w:val="auto"/>
              </w:rPr>
              <w:t>Qatar Liquefied Gas Company Limited</w:t>
            </w:r>
          </w:p>
        </w:tc>
        <w:tc>
          <w:tcPr>
            <w:tcW w:w="2420" w:type="dxa"/>
            <w:vAlign w:val="bottom"/>
          </w:tcPr>
          <w:p>
            <w:pPr>
              <w:jc w:val="center"/>
              <w:ind w:left="1060"/>
              <w:spacing w:after="0"/>
              <w:rPr>
                <w:sz w:val="20"/>
                <w:szCs w:val="20"/>
                <w:color w:val="auto"/>
              </w:rPr>
            </w:pPr>
            <w:r>
              <w:rPr>
                <w:rFonts w:ascii="Arial" w:cs="Arial" w:eastAsia="Arial" w:hAnsi="Arial"/>
                <w:sz w:val="16"/>
                <w:szCs w:val="16"/>
                <w:color w:val="auto"/>
                <w:w w:val="89"/>
              </w:rPr>
              <w:t>10</w:t>
            </w:r>
          </w:p>
        </w:tc>
      </w:tr>
      <w:tr>
        <w:trPr>
          <w:trHeight w:val="216"/>
        </w:trPr>
        <w:tc>
          <w:tcPr>
            <w:tcW w:w="5440" w:type="dxa"/>
            <w:vAlign w:val="bottom"/>
          </w:tcPr>
          <w:p>
            <w:pPr>
              <w:ind w:left="20"/>
              <w:spacing w:after="0"/>
              <w:rPr>
                <w:sz w:val="20"/>
                <w:szCs w:val="20"/>
                <w:color w:val="auto"/>
              </w:rPr>
            </w:pPr>
            <w:r>
              <w:rPr>
                <w:rFonts w:ascii="Arial" w:cs="Arial" w:eastAsia="Arial" w:hAnsi="Arial"/>
                <w:sz w:val="16"/>
                <w:szCs w:val="16"/>
                <w:color w:val="auto"/>
              </w:rPr>
              <w:t>Qatar Liquefied Gas Company Limited (2)</w:t>
            </w:r>
          </w:p>
        </w:tc>
        <w:tc>
          <w:tcPr>
            <w:tcW w:w="2420" w:type="dxa"/>
            <w:vAlign w:val="bottom"/>
          </w:tcPr>
          <w:p>
            <w:pPr>
              <w:jc w:val="center"/>
              <w:ind w:left="1060"/>
              <w:spacing w:after="0"/>
              <w:rPr>
                <w:sz w:val="20"/>
                <w:szCs w:val="20"/>
                <w:color w:val="auto"/>
              </w:rPr>
            </w:pPr>
            <w:r>
              <w:rPr>
                <w:rFonts w:ascii="Arial" w:cs="Arial" w:eastAsia="Arial" w:hAnsi="Arial"/>
                <w:sz w:val="16"/>
                <w:szCs w:val="16"/>
                <w:color w:val="auto"/>
                <w:w w:val="89"/>
              </w:rPr>
              <w:t>24</w:t>
            </w:r>
          </w:p>
        </w:tc>
      </w:tr>
      <w:tr>
        <w:trPr>
          <w:trHeight w:val="216"/>
        </w:trPr>
        <w:tc>
          <w:tcPr>
            <w:tcW w:w="5440" w:type="dxa"/>
            <w:vAlign w:val="bottom"/>
          </w:tcPr>
          <w:p>
            <w:pPr>
              <w:ind w:left="20"/>
              <w:spacing w:after="0"/>
              <w:rPr>
                <w:sz w:val="20"/>
                <w:szCs w:val="20"/>
                <w:color w:val="auto"/>
              </w:rPr>
            </w:pPr>
            <w:r>
              <w:rPr>
                <w:rFonts w:ascii="Arial" w:cs="Arial" w:eastAsia="Arial" w:hAnsi="Arial"/>
                <w:sz w:val="16"/>
                <w:szCs w:val="16"/>
                <w:color w:val="auto"/>
              </w:rPr>
              <w:t>Ras Laffan Liquefied Natural Gas Company Limited</w:t>
            </w:r>
          </w:p>
        </w:tc>
        <w:tc>
          <w:tcPr>
            <w:tcW w:w="2420" w:type="dxa"/>
            <w:vAlign w:val="bottom"/>
          </w:tcPr>
          <w:p>
            <w:pPr>
              <w:jc w:val="center"/>
              <w:ind w:left="1060"/>
              <w:spacing w:after="0"/>
              <w:rPr>
                <w:sz w:val="20"/>
                <w:szCs w:val="20"/>
                <w:color w:val="auto"/>
              </w:rPr>
            </w:pPr>
            <w:r>
              <w:rPr>
                <w:rFonts w:ascii="Arial" w:cs="Arial" w:eastAsia="Arial" w:hAnsi="Arial"/>
                <w:sz w:val="16"/>
                <w:szCs w:val="16"/>
                <w:color w:val="auto"/>
                <w:w w:val="89"/>
              </w:rPr>
              <w:t>25</w:t>
            </w:r>
          </w:p>
        </w:tc>
      </w:tr>
      <w:tr>
        <w:trPr>
          <w:trHeight w:val="216"/>
        </w:trPr>
        <w:tc>
          <w:tcPr>
            <w:tcW w:w="5440" w:type="dxa"/>
            <w:vAlign w:val="bottom"/>
          </w:tcPr>
          <w:p>
            <w:pPr>
              <w:ind w:left="20"/>
              <w:spacing w:after="0"/>
              <w:rPr>
                <w:sz w:val="20"/>
                <w:szCs w:val="20"/>
                <w:color w:val="auto"/>
              </w:rPr>
            </w:pPr>
            <w:r>
              <w:rPr>
                <w:rFonts w:ascii="Arial" w:cs="Arial" w:eastAsia="Arial" w:hAnsi="Arial"/>
                <w:sz w:val="16"/>
                <w:szCs w:val="16"/>
                <w:color w:val="auto"/>
              </w:rPr>
              <w:t>Ras Laffan Liquefied Natural Gas Company Limited (II)</w:t>
            </w:r>
          </w:p>
        </w:tc>
        <w:tc>
          <w:tcPr>
            <w:tcW w:w="2420" w:type="dxa"/>
            <w:vAlign w:val="bottom"/>
          </w:tcPr>
          <w:p>
            <w:pPr>
              <w:jc w:val="center"/>
              <w:ind w:left="1060"/>
              <w:spacing w:after="0"/>
              <w:rPr>
                <w:sz w:val="20"/>
                <w:szCs w:val="20"/>
                <w:color w:val="auto"/>
              </w:rPr>
            </w:pPr>
            <w:r>
              <w:rPr>
                <w:rFonts w:ascii="Arial" w:cs="Arial" w:eastAsia="Arial" w:hAnsi="Arial"/>
                <w:sz w:val="16"/>
                <w:szCs w:val="16"/>
                <w:color w:val="auto"/>
                <w:w w:val="89"/>
              </w:rPr>
              <w:t>31</w:t>
            </w:r>
          </w:p>
        </w:tc>
      </w:tr>
      <w:tr>
        <w:trPr>
          <w:trHeight w:val="216"/>
        </w:trPr>
        <w:tc>
          <w:tcPr>
            <w:tcW w:w="5440" w:type="dxa"/>
            <w:vAlign w:val="bottom"/>
          </w:tcPr>
          <w:p>
            <w:pPr>
              <w:ind w:left="20"/>
              <w:spacing w:after="0"/>
              <w:rPr>
                <w:sz w:val="20"/>
                <w:szCs w:val="20"/>
                <w:color w:val="auto"/>
              </w:rPr>
            </w:pPr>
            <w:r>
              <w:rPr>
                <w:rFonts w:ascii="Arial" w:cs="Arial" w:eastAsia="Arial" w:hAnsi="Arial"/>
                <w:sz w:val="16"/>
                <w:szCs w:val="16"/>
                <w:color w:val="auto"/>
              </w:rPr>
              <w:t>Ras Laffan Liquefied Natural Gas Company Limited (3)</w:t>
            </w:r>
          </w:p>
        </w:tc>
        <w:tc>
          <w:tcPr>
            <w:tcW w:w="2420" w:type="dxa"/>
            <w:vAlign w:val="bottom"/>
          </w:tcPr>
          <w:p>
            <w:pPr>
              <w:jc w:val="center"/>
              <w:ind w:left="1060"/>
              <w:spacing w:after="0"/>
              <w:rPr>
                <w:sz w:val="20"/>
                <w:szCs w:val="20"/>
                <w:color w:val="auto"/>
              </w:rPr>
            </w:pPr>
            <w:r>
              <w:rPr>
                <w:rFonts w:ascii="Arial" w:cs="Arial" w:eastAsia="Arial" w:hAnsi="Arial"/>
                <w:sz w:val="16"/>
                <w:szCs w:val="16"/>
                <w:color w:val="auto"/>
                <w:w w:val="89"/>
              </w:rPr>
              <w:t>30</w:t>
            </w:r>
          </w:p>
        </w:tc>
      </w:tr>
      <w:tr>
        <w:trPr>
          <w:trHeight w:val="216"/>
        </w:trPr>
        <w:tc>
          <w:tcPr>
            <w:tcW w:w="5440" w:type="dxa"/>
            <w:vAlign w:val="bottom"/>
          </w:tcPr>
          <w:p>
            <w:pPr>
              <w:ind w:left="20"/>
              <w:spacing w:after="0"/>
              <w:rPr>
                <w:sz w:val="20"/>
                <w:szCs w:val="20"/>
                <w:color w:val="auto"/>
              </w:rPr>
            </w:pPr>
            <w:r>
              <w:rPr>
                <w:rFonts w:ascii="Arial" w:cs="Arial" w:eastAsia="Arial" w:hAnsi="Arial"/>
                <w:sz w:val="16"/>
                <w:szCs w:val="16"/>
                <w:color w:val="auto"/>
              </w:rPr>
              <w:t>South Hook LNG Terminal Company Limited</w:t>
            </w:r>
          </w:p>
        </w:tc>
        <w:tc>
          <w:tcPr>
            <w:tcW w:w="2420" w:type="dxa"/>
            <w:vAlign w:val="bottom"/>
          </w:tcPr>
          <w:p>
            <w:pPr>
              <w:jc w:val="center"/>
              <w:ind w:left="1060"/>
              <w:spacing w:after="0"/>
              <w:rPr>
                <w:sz w:val="20"/>
                <w:szCs w:val="20"/>
                <w:color w:val="auto"/>
              </w:rPr>
            </w:pPr>
            <w:r>
              <w:rPr>
                <w:rFonts w:ascii="Arial" w:cs="Arial" w:eastAsia="Arial" w:hAnsi="Arial"/>
                <w:sz w:val="16"/>
                <w:szCs w:val="16"/>
                <w:color w:val="auto"/>
                <w:w w:val="89"/>
              </w:rPr>
              <w:t>24</w:t>
            </w:r>
          </w:p>
        </w:tc>
      </w:tr>
      <w:tr>
        <w:trPr>
          <w:trHeight w:val="216"/>
        </w:trPr>
        <w:tc>
          <w:tcPr>
            <w:tcW w:w="5440" w:type="dxa"/>
            <w:vAlign w:val="bottom"/>
          </w:tcPr>
          <w:p>
            <w:pPr>
              <w:ind w:left="20"/>
              <w:spacing w:after="0"/>
              <w:rPr>
                <w:sz w:val="20"/>
                <w:szCs w:val="20"/>
                <w:color w:val="auto"/>
              </w:rPr>
            </w:pPr>
            <w:r>
              <w:rPr>
                <w:rFonts w:ascii="Arial" w:cs="Arial" w:eastAsia="Arial" w:hAnsi="Arial"/>
                <w:sz w:val="16"/>
                <w:szCs w:val="16"/>
                <w:color w:val="auto"/>
              </w:rPr>
              <w:t>Tengizchevroil, LLP</w:t>
            </w:r>
          </w:p>
        </w:tc>
        <w:tc>
          <w:tcPr>
            <w:tcW w:w="2420" w:type="dxa"/>
            <w:vAlign w:val="bottom"/>
          </w:tcPr>
          <w:p>
            <w:pPr>
              <w:jc w:val="center"/>
              <w:ind w:left="1060"/>
              <w:spacing w:after="0"/>
              <w:rPr>
                <w:sz w:val="20"/>
                <w:szCs w:val="20"/>
                <w:color w:val="auto"/>
              </w:rPr>
            </w:pPr>
            <w:r>
              <w:rPr>
                <w:rFonts w:ascii="Arial" w:cs="Arial" w:eastAsia="Arial" w:hAnsi="Arial"/>
                <w:sz w:val="16"/>
                <w:szCs w:val="16"/>
                <w:color w:val="auto"/>
                <w:w w:val="89"/>
              </w:rPr>
              <w:t>25</w:t>
            </w:r>
          </w:p>
        </w:tc>
      </w:tr>
      <w:tr>
        <w:trPr>
          <w:trHeight w:val="216"/>
        </w:trPr>
        <w:tc>
          <w:tcPr>
            <w:tcW w:w="5440" w:type="dxa"/>
            <w:vAlign w:val="bottom"/>
          </w:tcPr>
          <w:p>
            <w:pPr>
              <w:ind w:left="20"/>
              <w:spacing w:after="0"/>
              <w:rPr>
                <w:sz w:val="20"/>
                <w:szCs w:val="20"/>
                <w:color w:val="auto"/>
              </w:rPr>
            </w:pPr>
            <w:r>
              <w:rPr>
                <w:rFonts w:ascii="Arial" w:cs="Arial" w:eastAsia="Arial" w:hAnsi="Arial"/>
                <w:sz w:val="16"/>
                <w:szCs w:val="16"/>
                <w:color w:val="auto"/>
              </w:rPr>
              <w:t>Terminale GNL Adriatico S.r.l.</w:t>
            </w:r>
          </w:p>
        </w:tc>
        <w:tc>
          <w:tcPr>
            <w:tcW w:w="2420" w:type="dxa"/>
            <w:vAlign w:val="bottom"/>
          </w:tcPr>
          <w:p>
            <w:pPr>
              <w:jc w:val="center"/>
              <w:ind w:left="1060"/>
              <w:spacing w:after="0"/>
              <w:rPr>
                <w:sz w:val="20"/>
                <w:szCs w:val="20"/>
                <w:color w:val="auto"/>
              </w:rPr>
            </w:pPr>
            <w:r>
              <w:rPr>
                <w:rFonts w:ascii="Arial" w:cs="Arial" w:eastAsia="Arial" w:hAnsi="Arial"/>
                <w:sz w:val="16"/>
                <w:szCs w:val="16"/>
                <w:color w:val="auto"/>
                <w:w w:val="89"/>
              </w:rPr>
              <w:t>71</w:t>
            </w:r>
          </w:p>
        </w:tc>
      </w:tr>
      <w:tr>
        <w:trPr>
          <w:trHeight w:val="451"/>
        </w:trPr>
        <w:tc>
          <w:tcPr>
            <w:tcW w:w="5440" w:type="dxa"/>
            <w:vAlign w:val="bottom"/>
          </w:tcPr>
          <w:p>
            <w:pPr>
              <w:ind w:left="20"/>
              <w:spacing w:after="0"/>
              <w:rPr>
                <w:sz w:val="20"/>
                <w:szCs w:val="20"/>
                <w:color w:val="auto"/>
              </w:rPr>
            </w:pPr>
            <w:r>
              <w:rPr>
                <w:rFonts w:ascii="Arial" w:cs="Arial" w:eastAsia="Arial" w:hAnsi="Arial"/>
                <w:sz w:val="18"/>
                <w:szCs w:val="18"/>
                <w:b w:val="1"/>
                <w:bCs w:val="1"/>
                <w:color w:val="auto"/>
              </w:rPr>
              <w:t>Downstream</w:t>
            </w:r>
          </w:p>
        </w:tc>
        <w:tc>
          <w:tcPr>
            <w:tcW w:w="2420" w:type="dxa"/>
            <w:vAlign w:val="bottom"/>
          </w:tcPr>
          <w:p>
            <w:pPr>
              <w:spacing w:after="0"/>
              <w:rPr>
                <w:sz w:val="24"/>
                <w:szCs w:val="24"/>
                <w:color w:val="auto"/>
              </w:rPr>
            </w:pPr>
          </w:p>
        </w:tc>
      </w:tr>
      <w:tr>
        <w:trPr>
          <w:trHeight w:val="210"/>
        </w:trPr>
        <w:tc>
          <w:tcPr>
            <w:tcW w:w="5440" w:type="dxa"/>
            <w:vAlign w:val="bottom"/>
          </w:tcPr>
          <w:p>
            <w:pPr>
              <w:ind w:left="20"/>
              <w:spacing w:after="0"/>
              <w:rPr>
                <w:sz w:val="20"/>
                <w:szCs w:val="20"/>
                <w:color w:val="auto"/>
              </w:rPr>
            </w:pPr>
            <w:r>
              <w:rPr>
                <w:rFonts w:ascii="Arial" w:cs="Arial" w:eastAsia="Arial" w:hAnsi="Arial"/>
                <w:sz w:val="16"/>
                <w:szCs w:val="16"/>
                <w:color w:val="auto"/>
              </w:rPr>
              <w:t>Alberta Products Pipe Line Ltd.</w:t>
            </w:r>
          </w:p>
        </w:tc>
        <w:tc>
          <w:tcPr>
            <w:tcW w:w="2420" w:type="dxa"/>
            <w:vAlign w:val="bottom"/>
          </w:tcPr>
          <w:p>
            <w:pPr>
              <w:jc w:val="center"/>
              <w:ind w:left="1060"/>
              <w:spacing w:after="0"/>
              <w:rPr>
                <w:sz w:val="20"/>
                <w:szCs w:val="20"/>
                <w:color w:val="auto"/>
              </w:rPr>
            </w:pPr>
            <w:r>
              <w:rPr>
                <w:rFonts w:ascii="Arial" w:cs="Arial" w:eastAsia="Arial" w:hAnsi="Arial"/>
                <w:sz w:val="16"/>
                <w:szCs w:val="16"/>
                <w:color w:val="auto"/>
                <w:w w:val="89"/>
              </w:rPr>
              <w:t>45</w:t>
            </w:r>
          </w:p>
        </w:tc>
      </w:tr>
      <w:tr>
        <w:trPr>
          <w:trHeight w:val="216"/>
        </w:trPr>
        <w:tc>
          <w:tcPr>
            <w:tcW w:w="5440" w:type="dxa"/>
            <w:vAlign w:val="bottom"/>
          </w:tcPr>
          <w:p>
            <w:pPr>
              <w:ind w:left="20"/>
              <w:spacing w:after="0"/>
              <w:rPr>
                <w:sz w:val="20"/>
                <w:szCs w:val="20"/>
                <w:color w:val="auto"/>
              </w:rPr>
            </w:pPr>
            <w:r>
              <w:rPr>
                <w:rFonts w:ascii="Arial" w:cs="Arial" w:eastAsia="Arial" w:hAnsi="Arial"/>
                <w:sz w:val="16"/>
                <w:szCs w:val="16"/>
                <w:color w:val="auto"/>
              </w:rPr>
              <w:t>Fujian Refining &amp; Petrochemical Co. Ltd.</w:t>
            </w:r>
          </w:p>
        </w:tc>
        <w:tc>
          <w:tcPr>
            <w:tcW w:w="2420" w:type="dxa"/>
            <w:vAlign w:val="bottom"/>
          </w:tcPr>
          <w:p>
            <w:pPr>
              <w:jc w:val="center"/>
              <w:ind w:left="1060"/>
              <w:spacing w:after="0"/>
              <w:rPr>
                <w:sz w:val="20"/>
                <w:szCs w:val="20"/>
                <w:color w:val="auto"/>
              </w:rPr>
            </w:pPr>
            <w:r>
              <w:rPr>
                <w:rFonts w:ascii="Arial" w:cs="Arial" w:eastAsia="Arial" w:hAnsi="Arial"/>
                <w:sz w:val="16"/>
                <w:szCs w:val="16"/>
                <w:color w:val="auto"/>
                <w:w w:val="89"/>
              </w:rPr>
              <w:t>25</w:t>
            </w:r>
          </w:p>
        </w:tc>
      </w:tr>
      <w:tr>
        <w:trPr>
          <w:trHeight w:val="216"/>
        </w:trPr>
        <w:tc>
          <w:tcPr>
            <w:tcW w:w="5440" w:type="dxa"/>
            <w:vAlign w:val="bottom"/>
          </w:tcPr>
          <w:p>
            <w:pPr>
              <w:ind w:left="20"/>
              <w:spacing w:after="0"/>
              <w:rPr>
                <w:sz w:val="20"/>
                <w:szCs w:val="20"/>
                <w:color w:val="auto"/>
              </w:rPr>
            </w:pPr>
            <w:r>
              <w:rPr>
                <w:rFonts w:ascii="Arial" w:cs="Arial" w:eastAsia="Arial" w:hAnsi="Arial"/>
                <w:sz w:val="16"/>
                <w:szCs w:val="16"/>
                <w:color w:val="auto"/>
              </w:rPr>
              <w:t>Permian Express Partners LLC</w:t>
            </w:r>
          </w:p>
        </w:tc>
        <w:tc>
          <w:tcPr>
            <w:tcW w:w="2420" w:type="dxa"/>
            <w:vAlign w:val="bottom"/>
          </w:tcPr>
          <w:p>
            <w:pPr>
              <w:jc w:val="center"/>
              <w:ind w:left="1060"/>
              <w:spacing w:after="0"/>
              <w:rPr>
                <w:sz w:val="20"/>
                <w:szCs w:val="20"/>
                <w:color w:val="auto"/>
              </w:rPr>
            </w:pPr>
            <w:r>
              <w:rPr>
                <w:rFonts w:ascii="Arial" w:cs="Arial" w:eastAsia="Arial" w:hAnsi="Arial"/>
                <w:sz w:val="16"/>
                <w:szCs w:val="16"/>
                <w:color w:val="auto"/>
                <w:w w:val="89"/>
              </w:rPr>
              <w:t>12</w:t>
            </w:r>
          </w:p>
        </w:tc>
      </w:tr>
      <w:tr>
        <w:trPr>
          <w:trHeight w:val="216"/>
        </w:trPr>
        <w:tc>
          <w:tcPr>
            <w:tcW w:w="5440" w:type="dxa"/>
            <w:vAlign w:val="bottom"/>
          </w:tcPr>
          <w:p>
            <w:pPr>
              <w:ind w:left="20"/>
              <w:spacing w:after="0"/>
              <w:rPr>
                <w:sz w:val="20"/>
                <w:szCs w:val="20"/>
                <w:color w:val="auto"/>
              </w:rPr>
            </w:pPr>
            <w:r>
              <w:rPr>
                <w:rFonts w:ascii="Arial" w:cs="Arial" w:eastAsia="Arial" w:hAnsi="Arial"/>
                <w:sz w:val="16"/>
                <w:szCs w:val="16"/>
                <w:color w:val="auto"/>
              </w:rPr>
              <w:t>Saudi Aramco Mobil Refinery Company Ltd.</w:t>
            </w:r>
          </w:p>
        </w:tc>
        <w:tc>
          <w:tcPr>
            <w:tcW w:w="2420" w:type="dxa"/>
            <w:vAlign w:val="bottom"/>
          </w:tcPr>
          <w:p>
            <w:pPr>
              <w:jc w:val="center"/>
              <w:ind w:left="1060"/>
              <w:spacing w:after="0"/>
              <w:rPr>
                <w:sz w:val="20"/>
                <w:szCs w:val="20"/>
                <w:color w:val="auto"/>
              </w:rPr>
            </w:pPr>
            <w:r>
              <w:rPr>
                <w:rFonts w:ascii="Arial" w:cs="Arial" w:eastAsia="Arial" w:hAnsi="Arial"/>
                <w:sz w:val="16"/>
                <w:szCs w:val="16"/>
                <w:color w:val="auto"/>
                <w:w w:val="89"/>
              </w:rPr>
              <w:t>50</w:t>
            </w:r>
          </w:p>
        </w:tc>
      </w:tr>
      <w:tr>
        <w:trPr>
          <w:trHeight w:val="465"/>
        </w:trPr>
        <w:tc>
          <w:tcPr>
            <w:tcW w:w="5440" w:type="dxa"/>
            <w:vAlign w:val="bottom"/>
          </w:tcPr>
          <w:p>
            <w:pPr>
              <w:ind w:left="20"/>
              <w:spacing w:after="0"/>
              <w:rPr>
                <w:sz w:val="20"/>
                <w:szCs w:val="20"/>
                <w:color w:val="auto"/>
              </w:rPr>
            </w:pPr>
            <w:r>
              <w:rPr>
                <w:rFonts w:ascii="Arial" w:cs="Arial" w:eastAsia="Arial" w:hAnsi="Arial"/>
                <w:sz w:val="18"/>
                <w:szCs w:val="18"/>
                <w:b w:val="1"/>
                <w:bCs w:val="1"/>
                <w:color w:val="auto"/>
              </w:rPr>
              <w:t>Chemical</w:t>
            </w:r>
          </w:p>
        </w:tc>
        <w:tc>
          <w:tcPr>
            <w:tcW w:w="2420" w:type="dxa"/>
            <w:vAlign w:val="bottom"/>
          </w:tcPr>
          <w:p>
            <w:pPr>
              <w:spacing w:after="0"/>
              <w:rPr>
                <w:sz w:val="24"/>
                <w:szCs w:val="24"/>
                <w:color w:val="auto"/>
              </w:rPr>
            </w:pPr>
          </w:p>
        </w:tc>
      </w:tr>
      <w:tr>
        <w:trPr>
          <w:trHeight w:val="210"/>
        </w:trPr>
        <w:tc>
          <w:tcPr>
            <w:tcW w:w="5440" w:type="dxa"/>
            <w:vAlign w:val="bottom"/>
          </w:tcPr>
          <w:p>
            <w:pPr>
              <w:ind w:left="20"/>
              <w:spacing w:after="0"/>
              <w:rPr>
                <w:sz w:val="20"/>
                <w:szCs w:val="20"/>
                <w:color w:val="auto"/>
              </w:rPr>
            </w:pPr>
            <w:r>
              <w:rPr>
                <w:rFonts w:ascii="Arial" w:cs="Arial" w:eastAsia="Arial" w:hAnsi="Arial"/>
                <w:sz w:val="16"/>
                <w:szCs w:val="16"/>
                <w:color w:val="auto"/>
              </w:rPr>
              <w:t>Al-Jubail Petrochemical Company</w:t>
            </w:r>
          </w:p>
        </w:tc>
        <w:tc>
          <w:tcPr>
            <w:tcW w:w="2420" w:type="dxa"/>
            <w:vAlign w:val="bottom"/>
          </w:tcPr>
          <w:p>
            <w:pPr>
              <w:jc w:val="center"/>
              <w:ind w:left="1060"/>
              <w:spacing w:after="0"/>
              <w:rPr>
                <w:sz w:val="20"/>
                <w:szCs w:val="20"/>
                <w:color w:val="auto"/>
              </w:rPr>
            </w:pPr>
            <w:r>
              <w:rPr>
                <w:rFonts w:ascii="Arial" w:cs="Arial" w:eastAsia="Arial" w:hAnsi="Arial"/>
                <w:sz w:val="16"/>
                <w:szCs w:val="16"/>
                <w:color w:val="auto"/>
                <w:w w:val="89"/>
              </w:rPr>
              <w:t>50</w:t>
            </w:r>
          </w:p>
        </w:tc>
      </w:tr>
      <w:tr>
        <w:trPr>
          <w:trHeight w:val="216"/>
        </w:trPr>
        <w:tc>
          <w:tcPr>
            <w:tcW w:w="5440" w:type="dxa"/>
            <w:vAlign w:val="bottom"/>
          </w:tcPr>
          <w:p>
            <w:pPr>
              <w:ind w:left="20"/>
              <w:spacing w:after="0"/>
              <w:rPr>
                <w:sz w:val="20"/>
                <w:szCs w:val="20"/>
                <w:color w:val="auto"/>
              </w:rPr>
            </w:pPr>
            <w:r>
              <w:rPr>
                <w:rFonts w:ascii="Arial" w:cs="Arial" w:eastAsia="Arial" w:hAnsi="Arial"/>
                <w:sz w:val="16"/>
                <w:szCs w:val="16"/>
                <w:color w:val="auto"/>
              </w:rPr>
              <w:t>Gulf Coast Growth Ventures LLC</w:t>
            </w:r>
          </w:p>
        </w:tc>
        <w:tc>
          <w:tcPr>
            <w:tcW w:w="2420" w:type="dxa"/>
            <w:vAlign w:val="bottom"/>
          </w:tcPr>
          <w:p>
            <w:pPr>
              <w:jc w:val="center"/>
              <w:ind w:left="1060"/>
              <w:spacing w:after="0"/>
              <w:rPr>
                <w:sz w:val="20"/>
                <w:szCs w:val="20"/>
                <w:color w:val="auto"/>
              </w:rPr>
            </w:pPr>
            <w:r>
              <w:rPr>
                <w:rFonts w:ascii="Arial" w:cs="Arial" w:eastAsia="Arial" w:hAnsi="Arial"/>
                <w:sz w:val="16"/>
                <w:szCs w:val="16"/>
                <w:color w:val="auto"/>
                <w:w w:val="89"/>
              </w:rPr>
              <w:t>50</w:t>
            </w:r>
          </w:p>
        </w:tc>
      </w:tr>
      <w:tr>
        <w:trPr>
          <w:trHeight w:val="216"/>
        </w:trPr>
        <w:tc>
          <w:tcPr>
            <w:tcW w:w="5440" w:type="dxa"/>
            <w:vAlign w:val="bottom"/>
          </w:tcPr>
          <w:p>
            <w:pPr>
              <w:ind w:left="20"/>
              <w:spacing w:after="0"/>
              <w:rPr>
                <w:sz w:val="20"/>
                <w:szCs w:val="20"/>
                <w:color w:val="auto"/>
              </w:rPr>
            </w:pPr>
            <w:r>
              <w:rPr>
                <w:rFonts w:ascii="Arial" w:cs="Arial" w:eastAsia="Arial" w:hAnsi="Arial"/>
                <w:sz w:val="16"/>
                <w:szCs w:val="16"/>
                <w:color w:val="auto"/>
              </w:rPr>
              <w:t>Saudi Yanbu Petrochemical Co.</w:t>
            </w:r>
          </w:p>
        </w:tc>
        <w:tc>
          <w:tcPr>
            <w:tcW w:w="2420" w:type="dxa"/>
            <w:vAlign w:val="bottom"/>
          </w:tcPr>
          <w:p>
            <w:pPr>
              <w:jc w:val="center"/>
              <w:ind w:left="1060"/>
              <w:spacing w:after="0"/>
              <w:rPr>
                <w:sz w:val="20"/>
                <w:szCs w:val="20"/>
                <w:color w:val="auto"/>
              </w:rPr>
            </w:pPr>
            <w:r>
              <w:rPr>
                <w:rFonts w:ascii="Arial" w:cs="Arial" w:eastAsia="Arial" w:hAnsi="Arial"/>
                <w:sz w:val="16"/>
                <w:szCs w:val="16"/>
                <w:color w:val="auto"/>
                <w:w w:val="89"/>
              </w:rPr>
              <w:t>50</w:t>
            </w:r>
          </w:p>
        </w:tc>
      </w:tr>
    </w:tbl>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320" w:top="121" w:right="111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Investments, Advances and Long-Term Receivables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Dec 31, 2021</w:t>
            </w:r>
          </w:p>
        </w:tc>
        <w:tc>
          <w:tcPr>
            <w:tcW w:w="12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Dec 31, 2020</w:t>
            </w:r>
          </w:p>
        </w:tc>
        <w:tc>
          <w:tcPr>
            <w:tcW w:w="0" w:type="dxa"/>
            <w:vAlign w:val="bottom"/>
          </w:tcPr>
          <w:p>
            <w:pPr>
              <w:spacing w:after="0"/>
              <w:rPr>
                <w:sz w:val="1"/>
                <w:szCs w:val="1"/>
                <w:color w:val="auto"/>
              </w:rPr>
            </w:pPr>
          </w:p>
        </w:tc>
      </w:tr>
      <w:tr>
        <w:trPr>
          <w:trHeight w:val="190"/>
        </w:trPr>
        <w:tc>
          <w:tcPr>
            <w:tcW w:w="59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60" w:type="dxa"/>
            <w:vAlign w:val="bottom"/>
            <w:gridSpan w:val="2"/>
          </w:tcPr>
          <w:p>
            <w:pPr>
              <w:jc w:val="right"/>
              <w:ind w:right="753"/>
              <w:spacing w:after="0"/>
              <w:rPr>
                <w:sz w:val="20"/>
                <w:szCs w:val="20"/>
                <w:color w:val="auto"/>
              </w:rPr>
            </w:pPr>
            <w:r>
              <w:rPr>
                <w:rFonts w:ascii="Arial" w:cs="Arial" w:eastAsia="Arial" w:hAnsi="Arial"/>
                <w:sz w:val="14"/>
                <w:szCs w:val="14"/>
                <w:i w:val="1"/>
                <w:iCs w:val="1"/>
                <w:color w:val="auto"/>
              </w:rPr>
              <w:t>(millions of dollars)</w:t>
            </w:r>
          </w:p>
        </w:tc>
        <w:tc>
          <w:tcPr>
            <w:tcW w:w="0" w:type="dxa"/>
            <w:vAlign w:val="bottom"/>
          </w:tcPr>
          <w:p>
            <w:pPr>
              <w:spacing w:after="0"/>
              <w:rPr>
                <w:sz w:val="1"/>
                <w:szCs w:val="1"/>
                <w:color w:val="auto"/>
              </w:rPr>
            </w:pPr>
          </w:p>
        </w:tc>
      </w:tr>
      <w:tr>
        <w:trPr>
          <w:trHeight w:val="268"/>
        </w:trPr>
        <w:tc>
          <w:tcPr>
            <w:tcW w:w="5900" w:type="dxa"/>
            <w:vAlign w:val="bottom"/>
          </w:tcPr>
          <w:p>
            <w:pPr>
              <w:ind w:left="20"/>
              <w:spacing w:after="0"/>
              <w:rPr>
                <w:sz w:val="20"/>
                <w:szCs w:val="20"/>
                <w:color w:val="auto"/>
              </w:rPr>
            </w:pPr>
            <w:r>
              <w:rPr>
                <w:rFonts w:ascii="Arial" w:cs="Arial" w:eastAsia="Arial" w:hAnsi="Arial"/>
                <w:sz w:val="18"/>
                <w:szCs w:val="18"/>
                <w:color w:val="auto"/>
              </w:rPr>
              <w:t>Equity method company investments and advances</w:t>
            </w:r>
          </w:p>
        </w:tc>
        <w:tc>
          <w:tcPr>
            <w:tcW w:w="15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900" w:type="dxa"/>
            <w:vAlign w:val="bottom"/>
          </w:tcPr>
          <w:p>
            <w:pPr>
              <w:ind w:left="220"/>
              <w:spacing w:after="0"/>
              <w:rPr>
                <w:sz w:val="20"/>
                <w:szCs w:val="20"/>
                <w:color w:val="auto"/>
              </w:rPr>
            </w:pPr>
            <w:r>
              <w:rPr>
                <w:rFonts w:ascii="Arial" w:cs="Arial" w:eastAsia="Arial" w:hAnsi="Arial"/>
                <w:sz w:val="18"/>
                <w:szCs w:val="18"/>
                <w:color w:val="auto"/>
              </w:rPr>
              <w:t>Investments</w:t>
            </w:r>
          </w:p>
        </w:tc>
        <w:tc>
          <w:tcPr>
            <w:tcW w:w="1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195"/>
              <w:spacing w:after="0"/>
              <w:rPr>
                <w:sz w:val="20"/>
                <w:szCs w:val="20"/>
                <w:color w:val="auto"/>
              </w:rPr>
            </w:pPr>
            <w:r>
              <w:rPr>
                <w:rFonts w:ascii="Arial" w:cs="Arial" w:eastAsia="Arial" w:hAnsi="Arial"/>
                <w:sz w:val="18"/>
                <w:szCs w:val="18"/>
                <w:color w:val="auto"/>
              </w:rPr>
              <w:t>31,225</w:t>
            </w:r>
          </w:p>
        </w:tc>
        <w:tc>
          <w:tcPr>
            <w:tcW w:w="1260" w:type="dxa"/>
            <w:vAlign w:val="bottom"/>
          </w:tcPr>
          <w:p>
            <w:pPr>
              <w:jc w:val="right"/>
              <w:spacing w:after="0"/>
              <w:rPr>
                <w:sz w:val="20"/>
                <w:szCs w:val="20"/>
                <w:color w:val="auto"/>
              </w:rPr>
            </w:pPr>
            <w:r>
              <w:rPr>
                <w:rFonts w:ascii="Arial" w:cs="Arial" w:eastAsia="Arial" w:hAnsi="Arial"/>
                <w:sz w:val="18"/>
                <w:szCs w:val="18"/>
                <w:color w:val="auto"/>
              </w:rPr>
              <w:t>29,772</w:t>
            </w:r>
          </w:p>
        </w:tc>
        <w:tc>
          <w:tcPr>
            <w:tcW w:w="0" w:type="dxa"/>
            <w:vAlign w:val="bottom"/>
          </w:tcPr>
          <w:p>
            <w:pPr>
              <w:spacing w:after="0"/>
              <w:rPr>
                <w:sz w:val="1"/>
                <w:szCs w:val="1"/>
                <w:color w:val="auto"/>
              </w:rPr>
            </w:pPr>
          </w:p>
        </w:tc>
      </w:tr>
      <w:tr>
        <w:trPr>
          <w:trHeight w:val="230"/>
        </w:trPr>
        <w:tc>
          <w:tcPr>
            <w:tcW w:w="5900" w:type="dxa"/>
            <w:vAlign w:val="bottom"/>
          </w:tcPr>
          <w:p>
            <w:pPr>
              <w:ind w:left="220"/>
              <w:spacing w:after="0"/>
              <w:rPr>
                <w:sz w:val="20"/>
                <w:szCs w:val="20"/>
                <w:color w:val="auto"/>
              </w:rPr>
            </w:pPr>
            <w:r>
              <w:rPr>
                <w:rFonts w:ascii="Arial" w:cs="Arial" w:eastAsia="Arial" w:hAnsi="Arial"/>
                <w:sz w:val="18"/>
                <w:szCs w:val="18"/>
                <w:color w:val="auto"/>
              </w:rPr>
              <w:t>Advances, net of allowances of $34 million and $31 million</w:t>
            </w:r>
          </w:p>
        </w:tc>
        <w:tc>
          <w:tcPr>
            <w:tcW w:w="15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95"/>
              <w:spacing w:after="0"/>
              <w:rPr>
                <w:sz w:val="20"/>
                <w:szCs w:val="20"/>
                <w:color w:val="auto"/>
              </w:rPr>
            </w:pPr>
            <w:r>
              <w:rPr>
                <w:rFonts w:ascii="Arial" w:cs="Arial" w:eastAsia="Arial" w:hAnsi="Arial"/>
                <w:sz w:val="18"/>
                <w:szCs w:val="18"/>
                <w:color w:val="auto"/>
              </w:rPr>
              <w:t>8,326</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8,812</w:t>
            </w:r>
          </w:p>
        </w:tc>
        <w:tc>
          <w:tcPr>
            <w:tcW w:w="0" w:type="dxa"/>
            <w:vAlign w:val="bottom"/>
          </w:tcPr>
          <w:p>
            <w:pPr>
              <w:spacing w:after="0"/>
              <w:rPr>
                <w:sz w:val="1"/>
                <w:szCs w:val="1"/>
                <w:color w:val="auto"/>
              </w:rPr>
            </w:pPr>
          </w:p>
        </w:tc>
      </w:tr>
      <w:tr>
        <w:trPr>
          <w:trHeight w:val="222"/>
        </w:trPr>
        <w:tc>
          <w:tcPr>
            <w:tcW w:w="5900" w:type="dxa"/>
            <w:vAlign w:val="bottom"/>
          </w:tcPr>
          <w:p>
            <w:pPr>
              <w:ind w:left="480"/>
              <w:spacing w:after="0"/>
              <w:rPr>
                <w:sz w:val="20"/>
                <w:szCs w:val="20"/>
                <w:color w:val="auto"/>
              </w:rPr>
            </w:pPr>
            <w:r>
              <w:rPr>
                <w:rFonts w:ascii="Arial" w:cs="Arial" w:eastAsia="Arial" w:hAnsi="Arial"/>
                <w:sz w:val="18"/>
                <w:szCs w:val="18"/>
                <w:color w:val="auto"/>
              </w:rPr>
              <w:t>Total equity method company investments and advances</w:t>
            </w:r>
          </w:p>
        </w:tc>
        <w:tc>
          <w:tcPr>
            <w:tcW w:w="1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195"/>
              <w:spacing w:after="0"/>
              <w:rPr>
                <w:sz w:val="20"/>
                <w:szCs w:val="20"/>
                <w:color w:val="auto"/>
              </w:rPr>
            </w:pPr>
            <w:r>
              <w:rPr>
                <w:rFonts w:ascii="Arial" w:cs="Arial" w:eastAsia="Arial" w:hAnsi="Arial"/>
                <w:sz w:val="18"/>
                <w:szCs w:val="18"/>
                <w:color w:val="auto"/>
              </w:rPr>
              <w:t>39,551</w:t>
            </w:r>
          </w:p>
        </w:tc>
        <w:tc>
          <w:tcPr>
            <w:tcW w:w="1260" w:type="dxa"/>
            <w:vAlign w:val="bottom"/>
          </w:tcPr>
          <w:p>
            <w:pPr>
              <w:jc w:val="right"/>
              <w:spacing w:after="0"/>
              <w:rPr>
                <w:sz w:val="20"/>
                <w:szCs w:val="20"/>
                <w:color w:val="auto"/>
              </w:rPr>
            </w:pPr>
            <w:r>
              <w:rPr>
                <w:rFonts w:ascii="Arial" w:cs="Arial" w:eastAsia="Arial" w:hAnsi="Arial"/>
                <w:sz w:val="18"/>
                <w:szCs w:val="18"/>
                <w:color w:val="auto"/>
              </w:rPr>
              <w:t>38,584</w:t>
            </w:r>
          </w:p>
        </w:tc>
        <w:tc>
          <w:tcPr>
            <w:tcW w:w="0" w:type="dxa"/>
            <w:vAlign w:val="bottom"/>
          </w:tcPr>
          <w:p>
            <w:pPr>
              <w:spacing w:after="0"/>
              <w:rPr>
                <w:sz w:val="1"/>
                <w:szCs w:val="1"/>
                <w:color w:val="auto"/>
              </w:rPr>
            </w:pPr>
          </w:p>
        </w:tc>
      </w:tr>
      <w:tr>
        <w:trPr>
          <w:trHeight w:val="229"/>
        </w:trPr>
        <w:tc>
          <w:tcPr>
            <w:tcW w:w="5900" w:type="dxa"/>
            <w:vAlign w:val="bottom"/>
          </w:tcPr>
          <w:p>
            <w:pPr>
              <w:ind w:left="20"/>
              <w:spacing w:after="0"/>
              <w:rPr>
                <w:sz w:val="20"/>
                <w:szCs w:val="20"/>
                <w:color w:val="auto"/>
              </w:rPr>
            </w:pPr>
            <w:r>
              <w:rPr>
                <w:rFonts w:ascii="Arial" w:cs="Arial" w:eastAsia="Arial" w:hAnsi="Arial"/>
                <w:sz w:val="18"/>
                <w:szCs w:val="18"/>
                <w:color w:val="auto"/>
                <w:w w:val="90"/>
              </w:rPr>
              <w:t>Equity securities carried at fair value and other investments at adjusted cost basis</w:t>
            </w:r>
          </w:p>
        </w:tc>
        <w:tc>
          <w:tcPr>
            <w:tcW w:w="1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195"/>
              <w:spacing w:after="0"/>
              <w:rPr>
                <w:sz w:val="20"/>
                <w:szCs w:val="20"/>
                <w:color w:val="auto"/>
              </w:rPr>
            </w:pPr>
            <w:r>
              <w:rPr>
                <w:rFonts w:ascii="Arial" w:cs="Arial" w:eastAsia="Arial" w:hAnsi="Arial"/>
                <w:sz w:val="18"/>
                <w:szCs w:val="18"/>
                <w:color w:val="auto"/>
              </w:rPr>
              <w:t>138</w:t>
            </w:r>
          </w:p>
        </w:tc>
        <w:tc>
          <w:tcPr>
            <w:tcW w:w="1260" w:type="dxa"/>
            <w:vAlign w:val="bottom"/>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30"/>
        </w:trPr>
        <w:tc>
          <w:tcPr>
            <w:tcW w:w="7420" w:type="dxa"/>
            <w:vAlign w:val="bottom"/>
            <w:gridSpan w:val="2"/>
          </w:tcPr>
          <w:p>
            <w:pPr>
              <w:ind w:left="20"/>
              <w:spacing w:after="0"/>
              <w:rPr>
                <w:sz w:val="20"/>
                <w:szCs w:val="20"/>
                <w:color w:val="auto"/>
              </w:rPr>
            </w:pPr>
            <w:r>
              <w:rPr>
                <w:rFonts w:ascii="Arial" w:cs="Arial" w:eastAsia="Arial" w:hAnsi="Arial"/>
                <w:sz w:val="18"/>
                <w:szCs w:val="18"/>
                <w:color w:val="auto"/>
                <w:w w:val="98"/>
              </w:rPr>
              <w:t>Long-term receivables and miscellaneous, net of reserves of $5,974 million and $6,115 million</w:t>
            </w:r>
          </w:p>
        </w:tc>
        <w:tc>
          <w:tcPr>
            <w:tcW w:w="9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95"/>
              <w:spacing w:after="0"/>
              <w:rPr>
                <w:sz w:val="20"/>
                <w:szCs w:val="20"/>
                <w:color w:val="auto"/>
              </w:rPr>
            </w:pPr>
            <w:r>
              <w:rPr>
                <w:rFonts w:ascii="Arial" w:cs="Arial" w:eastAsia="Arial" w:hAnsi="Arial"/>
                <w:sz w:val="18"/>
                <w:szCs w:val="18"/>
                <w:color w:val="auto"/>
              </w:rPr>
              <w:t>5,506</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4,788</w:t>
            </w:r>
          </w:p>
        </w:tc>
        <w:tc>
          <w:tcPr>
            <w:tcW w:w="0" w:type="dxa"/>
            <w:vAlign w:val="bottom"/>
          </w:tcPr>
          <w:p>
            <w:pPr>
              <w:spacing w:after="0"/>
              <w:rPr>
                <w:sz w:val="1"/>
                <w:szCs w:val="1"/>
                <w:color w:val="auto"/>
              </w:rPr>
            </w:pPr>
          </w:p>
        </w:tc>
      </w:tr>
      <w:tr>
        <w:trPr>
          <w:trHeight w:val="223"/>
        </w:trPr>
        <w:tc>
          <w:tcPr>
            <w:tcW w:w="5900" w:type="dxa"/>
            <w:vAlign w:val="bottom"/>
          </w:tcPr>
          <w:p>
            <w:pPr>
              <w:ind w:left="480"/>
              <w:spacing w:after="0"/>
              <w:rPr>
                <w:sz w:val="20"/>
                <w:szCs w:val="20"/>
                <w:color w:val="auto"/>
              </w:rPr>
            </w:pPr>
            <w:r>
              <w:rPr>
                <w:rFonts w:ascii="Arial" w:cs="Arial" w:eastAsia="Arial" w:hAnsi="Arial"/>
                <w:sz w:val="18"/>
                <w:szCs w:val="18"/>
                <w:color w:val="auto"/>
              </w:rPr>
              <w:t>Total</w:t>
            </w:r>
          </w:p>
        </w:tc>
        <w:tc>
          <w:tcPr>
            <w:tcW w:w="1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95"/>
              <w:spacing w:after="0"/>
              <w:rPr>
                <w:sz w:val="20"/>
                <w:szCs w:val="20"/>
                <w:color w:val="auto"/>
              </w:rPr>
            </w:pPr>
            <w:r>
              <w:rPr>
                <w:rFonts w:ascii="Arial" w:cs="Arial" w:eastAsia="Arial" w:hAnsi="Arial"/>
                <w:sz w:val="18"/>
                <w:szCs w:val="18"/>
                <w:color w:val="auto"/>
              </w:rPr>
              <w:t>45,195</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43,515</w:t>
            </w:r>
          </w:p>
        </w:tc>
        <w:tc>
          <w:tcPr>
            <w:tcW w:w="0" w:type="dxa"/>
            <w:vAlign w:val="bottom"/>
          </w:tcPr>
          <w:p>
            <w:pPr>
              <w:spacing w:after="0"/>
              <w:rPr>
                <w:sz w:val="1"/>
                <w:szCs w:val="1"/>
                <w:color w:val="auto"/>
              </w:rPr>
            </w:pPr>
          </w:p>
        </w:tc>
      </w:tr>
      <w:tr>
        <w:trPr>
          <w:trHeight w:val="547"/>
        </w:trPr>
        <w:tc>
          <w:tcPr>
            <w:tcW w:w="5900" w:type="dxa"/>
            <w:vAlign w:val="bottom"/>
          </w:tcPr>
          <w:p>
            <w:pPr>
              <w:spacing w:after="0"/>
              <w:rPr>
                <w:sz w:val="20"/>
                <w:szCs w:val="20"/>
                <w:color w:val="auto"/>
              </w:rPr>
            </w:pPr>
            <w:r>
              <w:rPr>
                <w:rFonts w:ascii="Arial" w:cs="Arial" w:eastAsia="Arial" w:hAnsi="Arial"/>
                <w:sz w:val="18"/>
                <w:szCs w:val="18"/>
                <w:b w:val="1"/>
                <w:bCs w:val="1"/>
                <w:color w:val="auto"/>
              </w:rPr>
              <w:t>9. Property, Plant and Equipment and Asset Retirement Obligations</w:t>
            </w:r>
          </w:p>
        </w:tc>
        <w:tc>
          <w:tcPr>
            <w:tcW w:w="1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7"/>
        </w:trPr>
        <w:tc>
          <w:tcPr>
            <w:tcW w:w="5900" w:type="dxa"/>
            <w:vAlign w:val="bottom"/>
          </w:tcPr>
          <w:p>
            <w:pPr>
              <w:spacing w:after="0"/>
              <w:rPr>
                <w:sz w:val="24"/>
                <w:szCs w:val="24"/>
                <w:color w:val="auto"/>
              </w:rPr>
            </w:pPr>
          </w:p>
        </w:tc>
        <w:tc>
          <w:tcPr>
            <w:tcW w:w="2680" w:type="dxa"/>
            <w:vAlign w:val="bottom"/>
            <w:gridSpan w:val="3"/>
          </w:tcPr>
          <w:p>
            <w:pPr>
              <w:jc w:val="right"/>
              <w:ind w:right="800"/>
              <w:spacing w:after="0"/>
              <w:rPr>
                <w:sz w:val="20"/>
                <w:szCs w:val="20"/>
                <w:color w:val="auto"/>
              </w:rPr>
            </w:pPr>
            <w:r>
              <w:rPr>
                <w:rFonts w:ascii="Arial" w:cs="Arial" w:eastAsia="Arial" w:hAnsi="Arial"/>
                <w:sz w:val="14"/>
                <w:szCs w:val="14"/>
                <w:b w:val="1"/>
                <w:bCs w:val="1"/>
                <w:color w:val="auto"/>
              </w:rPr>
              <w:t>December 31, 2021</w:t>
            </w:r>
          </w:p>
        </w:tc>
        <w:tc>
          <w:tcPr>
            <w:tcW w:w="2660" w:type="dxa"/>
            <w:vAlign w:val="bottom"/>
            <w:gridSpan w:val="2"/>
          </w:tcPr>
          <w:p>
            <w:pPr>
              <w:jc w:val="right"/>
              <w:ind w:right="633"/>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39"/>
        </w:trPr>
        <w:tc>
          <w:tcPr>
            <w:tcW w:w="59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Property, Plant and Equipment</w:t>
            </w:r>
          </w:p>
        </w:tc>
        <w:tc>
          <w:tcPr>
            <w:tcW w:w="15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gridSpan w:val="2"/>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5900" w:type="dxa"/>
            <w:vAlign w:val="bottom"/>
            <w:tcBorders>
              <w:bottom w:val="single" w:sz="8" w:color="auto"/>
            </w:tcBorders>
            <w:vMerge w:val="continue"/>
          </w:tcPr>
          <w:p>
            <w:pPr>
              <w:spacing w:after="0"/>
              <w:rPr>
                <w:sz w:val="18"/>
                <w:szCs w:val="18"/>
                <w:color w:val="auto"/>
              </w:rPr>
            </w:pPr>
          </w:p>
        </w:tc>
        <w:tc>
          <w:tcPr>
            <w:tcW w:w="152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Cost</w:t>
            </w:r>
          </w:p>
        </w:tc>
        <w:tc>
          <w:tcPr>
            <w:tcW w:w="1160" w:type="dxa"/>
            <w:vAlign w:val="bottom"/>
            <w:tcBorders>
              <w:bottom w:val="single" w:sz="8" w:color="auto"/>
            </w:tcBorders>
            <w:gridSpan w:val="2"/>
          </w:tcPr>
          <w:p>
            <w:pPr>
              <w:jc w:val="right"/>
              <w:ind w:right="580"/>
              <w:spacing w:after="0"/>
              <w:rPr>
                <w:sz w:val="20"/>
                <w:szCs w:val="20"/>
                <w:color w:val="auto"/>
              </w:rPr>
            </w:pPr>
            <w:r>
              <w:rPr>
                <w:rFonts w:ascii="Arial" w:cs="Arial" w:eastAsia="Arial" w:hAnsi="Arial"/>
                <w:sz w:val="14"/>
                <w:szCs w:val="14"/>
                <w:b w:val="1"/>
                <w:bCs w:val="1"/>
                <w:color w:val="auto"/>
              </w:rPr>
              <w:t>Net</w:t>
            </w:r>
          </w:p>
        </w:tc>
        <w:tc>
          <w:tcPr>
            <w:tcW w:w="140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Cost</w:t>
            </w:r>
          </w:p>
        </w:tc>
        <w:tc>
          <w:tcPr>
            <w:tcW w:w="12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84"/>
        </w:trPr>
        <w:tc>
          <w:tcPr>
            <w:tcW w:w="59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560" w:type="dxa"/>
            <w:vAlign w:val="bottom"/>
            <w:gridSpan w:val="3"/>
          </w:tcPr>
          <w:p>
            <w:pPr>
              <w:jc w:val="right"/>
              <w:ind w:right="755"/>
              <w:spacing w:after="0"/>
              <w:rPr>
                <w:sz w:val="20"/>
                <w:szCs w:val="20"/>
                <w:color w:val="auto"/>
              </w:rPr>
            </w:pPr>
            <w:r>
              <w:rPr>
                <w:rFonts w:ascii="Arial" w:cs="Arial" w:eastAsia="Arial" w:hAnsi="Arial"/>
                <w:sz w:val="14"/>
                <w:szCs w:val="14"/>
                <w:i w:val="1"/>
                <w:iCs w:val="1"/>
                <w:color w:val="auto"/>
              </w:rPr>
              <w:t>(millions of dollars)</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5900" w:type="dxa"/>
            <w:vAlign w:val="bottom"/>
          </w:tcPr>
          <w:p>
            <w:pPr>
              <w:ind w:left="20"/>
              <w:spacing w:after="0"/>
              <w:rPr>
                <w:sz w:val="20"/>
                <w:szCs w:val="20"/>
                <w:color w:val="auto"/>
              </w:rPr>
            </w:pPr>
            <w:r>
              <w:rPr>
                <w:rFonts w:ascii="Arial" w:cs="Arial" w:eastAsia="Arial" w:hAnsi="Arial"/>
                <w:sz w:val="18"/>
                <w:szCs w:val="18"/>
                <w:color w:val="auto"/>
              </w:rPr>
              <w:t>Upstream</w:t>
            </w:r>
          </w:p>
        </w:tc>
        <w:tc>
          <w:tcPr>
            <w:tcW w:w="1520" w:type="dxa"/>
            <w:vAlign w:val="bottom"/>
          </w:tcPr>
          <w:p>
            <w:pPr>
              <w:jc w:val="right"/>
              <w:ind w:right="255"/>
              <w:spacing w:after="0"/>
              <w:rPr>
                <w:sz w:val="20"/>
                <w:szCs w:val="20"/>
                <w:color w:val="auto"/>
              </w:rPr>
            </w:pPr>
            <w:r>
              <w:rPr>
                <w:rFonts w:ascii="Arial" w:cs="Arial" w:eastAsia="Arial" w:hAnsi="Arial"/>
                <w:sz w:val="18"/>
                <w:szCs w:val="18"/>
                <w:color w:val="auto"/>
              </w:rPr>
              <w:t>375,813</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156,951</w:t>
            </w:r>
          </w:p>
        </w:tc>
        <w:tc>
          <w:tcPr>
            <w:tcW w:w="1400" w:type="dxa"/>
            <w:vAlign w:val="bottom"/>
          </w:tcPr>
          <w:p>
            <w:pPr>
              <w:jc w:val="right"/>
              <w:ind w:right="95"/>
              <w:spacing w:after="0"/>
              <w:rPr>
                <w:sz w:val="20"/>
                <w:szCs w:val="20"/>
                <w:color w:val="auto"/>
              </w:rPr>
            </w:pPr>
            <w:r>
              <w:rPr>
                <w:rFonts w:ascii="Arial" w:cs="Arial" w:eastAsia="Arial" w:hAnsi="Arial"/>
                <w:sz w:val="18"/>
                <w:szCs w:val="18"/>
                <w:color w:val="auto"/>
              </w:rPr>
              <w:t>386,614</w:t>
            </w:r>
          </w:p>
        </w:tc>
        <w:tc>
          <w:tcPr>
            <w:tcW w:w="1260" w:type="dxa"/>
            <w:vAlign w:val="bottom"/>
          </w:tcPr>
          <w:p>
            <w:pPr>
              <w:jc w:val="right"/>
              <w:spacing w:after="0"/>
              <w:rPr>
                <w:sz w:val="20"/>
                <w:szCs w:val="20"/>
                <w:color w:val="auto"/>
              </w:rPr>
            </w:pPr>
            <w:r>
              <w:rPr>
                <w:rFonts w:ascii="Arial" w:cs="Arial" w:eastAsia="Arial" w:hAnsi="Arial"/>
                <w:sz w:val="18"/>
                <w:szCs w:val="18"/>
                <w:color w:val="auto"/>
              </w:rPr>
              <w:t>167,472</w:t>
            </w:r>
          </w:p>
        </w:tc>
        <w:tc>
          <w:tcPr>
            <w:tcW w:w="0" w:type="dxa"/>
            <w:vAlign w:val="bottom"/>
          </w:tcPr>
          <w:p>
            <w:pPr>
              <w:spacing w:after="0"/>
              <w:rPr>
                <w:sz w:val="1"/>
                <w:szCs w:val="1"/>
                <w:color w:val="auto"/>
              </w:rPr>
            </w:pPr>
          </w:p>
        </w:tc>
      </w:tr>
      <w:tr>
        <w:trPr>
          <w:trHeight w:val="230"/>
        </w:trPr>
        <w:tc>
          <w:tcPr>
            <w:tcW w:w="5900" w:type="dxa"/>
            <w:vAlign w:val="bottom"/>
          </w:tcPr>
          <w:p>
            <w:pPr>
              <w:ind w:left="20"/>
              <w:spacing w:after="0"/>
              <w:rPr>
                <w:sz w:val="20"/>
                <w:szCs w:val="20"/>
                <w:color w:val="auto"/>
              </w:rPr>
            </w:pPr>
            <w:r>
              <w:rPr>
                <w:rFonts w:ascii="Arial" w:cs="Arial" w:eastAsia="Arial" w:hAnsi="Arial"/>
                <w:sz w:val="18"/>
                <w:szCs w:val="18"/>
                <w:color w:val="auto"/>
              </w:rPr>
              <w:t>Downstream</w:t>
            </w:r>
          </w:p>
        </w:tc>
        <w:tc>
          <w:tcPr>
            <w:tcW w:w="1520" w:type="dxa"/>
            <w:vAlign w:val="bottom"/>
          </w:tcPr>
          <w:p>
            <w:pPr>
              <w:jc w:val="right"/>
              <w:ind w:right="255"/>
              <w:spacing w:after="0"/>
              <w:rPr>
                <w:sz w:val="20"/>
                <w:szCs w:val="20"/>
                <w:color w:val="auto"/>
              </w:rPr>
            </w:pPr>
            <w:r>
              <w:rPr>
                <w:rFonts w:ascii="Arial" w:cs="Arial" w:eastAsia="Arial" w:hAnsi="Arial"/>
                <w:sz w:val="18"/>
                <w:szCs w:val="18"/>
                <w:color w:val="auto"/>
              </w:rPr>
              <w:t>57,947</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27,417</w:t>
            </w:r>
          </w:p>
        </w:tc>
        <w:tc>
          <w:tcPr>
            <w:tcW w:w="1400" w:type="dxa"/>
            <w:vAlign w:val="bottom"/>
          </w:tcPr>
          <w:p>
            <w:pPr>
              <w:jc w:val="right"/>
              <w:ind w:right="95"/>
              <w:spacing w:after="0"/>
              <w:rPr>
                <w:sz w:val="20"/>
                <w:szCs w:val="20"/>
                <w:color w:val="auto"/>
              </w:rPr>
            </w:pPr>
            <w:r>
              <w:rPr>
                <w:rFonts w:ascii="Arial" w:cs="Arial" w:eastAsia="Arial" w:hAnsi="Arial"/>
                <w:sz w:val="18"/>
                <w:szCs w:val="18"/>
                <w:color w:val="auto"/>
              </w:rPr>
              <w:t>57,922</w:t>
            </w:r>
          </w:p>
        </w:tc>
        <w:tc>
          <w:tcPr>
            <w:tcW w:w="1260" w:type="dxa"/>
            <w:vAlign w:val="bottom"/>
          </w:tcPr>
          <w:p>
            <w:pPr>
              <w:jc w:val="right"/>
              <w:spacing w:after="0"/>
              <w:rPr>
                <w:sz w:val="20"/>
                <w:szCs w:val="20"/>
                <w:color w:val="auto"/>
              </w:rPr>
            </w:pPr>
            <w:r>
              <w:rPr>
                <w:rFonts w:ascii="Arial" w:cs="Arial" w:eastAsia="Arial" w:hAnsi="Arial"/>
                <w:sz w:val="18"/>
                <w:szCs w:val="18"/>
                <w:color w:val="auto"/>
              </w:rPr>
              <w:t>27,716</w:t>
            </w:r>
          </w:p>
        </w:tc>
        <w:tc>
          <w:tcPr>
            <w:tcW w:w="0" w:type="dxa"/>
            <w:vAlign w:val="bottom"/>
          </w:tcPr>
          <w:p>
            <w:pPr>
              <w:spacing w:after="0"/>
              <w:rPr>
                <w:sz w:val="1"/>
                <w:szCs w:val="1"/>
                <w:color w:val="auto"/>
              </w:rPr>
            </w:pPr>
          </w:p>
        </w:tc>
      </w:tr>
      <w:tr>
        <w:trPr>
          <w:trHeight w:val="229"/>
        </w:trPr>
        <w:tc>
          <w:tcPr>
            <w:tcW w:w="5900" w:type="dxa"/>
            <w:vAlign w:val="bottom"/>
          </w:tcPr>
          <w:p>
            <w:pPr>
              <w:ind w:left="20"/>
              <w:spacing w:after="0"/>
              <w:rPr>
                <w:sz w:val="20"/>
                <w:szCs w:val="20"/>
                <w:color w:val="auto"/>
              </w:rPr>
            </w:pPr>
            <w:r>
              <w:rPr>
                <w:rFonts w:ascii="Arial" w:cs="Arial" w:eastAsia="Arial" w:hAnsi="Arial"/>
                <w:sz w:val="18"/>
                <w:szCs w:val="18"/>
                <w:color w:val="auto"/>
              </w:rPr>
              <w:t>Chemical</w:t>
            </w:r>
          </w:p>
        </w:tc>
        <w:tc>
          <w:tcPr>
            <w:tcW w:w="1520" w:type="dxa"/>
            <w:vAlign w:val="bottom"/>
          </w:tcPr>
          <w:p>
            <w:pPr>
              <w:jc w:val="right"/>
              <w:ind w:right="255"/>
              <w:spacing w:after="0"/>
              <w:rPr>
                <w:sz w:val="20"/>
                <w:szCs w:val="20"/>
                <w:color w:val="auto"/>
              </w:rPr>
            </w:pPr>
            <w:r>
              <w:rPr>
                <w:rFonts w:ascii="Arial" w:cs="Arial" w:eastAsia="Arial" w:hAnsi="Arial"/>
                <w:sz w:val="18"/>
                <w:szCs w:val="18"/>
                <w:color w:val="auto"/>
              </w:rPr>
              <w:t>43,288</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21,793</w:t>
            </w:r>
          </w:p>
        </w:tc>
        <w:tc>
          <w:tcPr>
            <w:tcW w:w="1400" w:type="dxa"/>
            <w:vAlign w:val="bottom"/>
          </w:tcPr>
          <w:p>
            <w:pPr>
              <w:jc w:val="right"/>
              <w:ind w:right="95"/>
              <w:spacing w:after="0"/>
              <w:rPr>
                <w:sz w:val="20"/>
                <w:szCs w:val="20"/>
                <w:color w:val="auto"/>
              </w:rPr>
            </w:pPr>
            <w:r>
              <w:rPr>
                <w:rFonts w:ascii="Arial" w:cs="Arial" w:eastAsia="Arial" w:hAnsi="Arial"/>
                <w:sz w:val="18"/>
                <w:szCs w:val="18"/>
                <w:color w:val="auto"/>
              </w:rPr>
              <w:t>42,868</w:t>
            </w:r>
          </w:p>
        </w:tc>
        <w:tc>
          <w:tcPr>
            <w:tcW w:w="1260" w:type="dxa"/>
            <w:vAlign w:val="bottom"/>
          </w:tcPr>
          <w:p>
            <w:pPr>
              <w:jc w:val="right"/>
              <w:spacing w:after="0"/>
              <w:rPr>
                <w:sz w:val="20"/>
                <w:szCs w:val="20"/>
                <w:color w:val="auto"/>
              </w:rPr>
            </w:pPr>
            <w:r>
              <w:rPr>
                <w:rFonts w:ascii="Arial" w:cs="Arial" w:eastAsia="Arial" w:hAnsi="Arial"/>
                <w:sz w:val="18"/>
                <w:szCs w:val="18"/>
                <w:color w:val="auto"/>
              </w:rPr>
              <w:t>21,924</w:t>
            </w:r>
          </w:p>
        </w:tc>
        <w:tc>
          <w:tcPr>
            <w:tcW w:w="0" w:type="dxa"/>
            <w:vAlign w:val="bottom"/>
          </w:tcPr>
          <w:p>
            <w:pPr>
              <w:spacing w:after="0"/>
              <w:rPr>
                <w:sz w:val="1"/>
                <w:szCs w:val="1"/>
                <w:color w:val="auto"/>
              </w:rPr>
            </w:pPr>
          </w:p>
        </w:tc>
      </w:tr>
      <w:tr>
        <w:trPr>
          <w:trHeight w:val="230"/>
        </w:trPr>
        <w:tc>
          <w:tcPr>
            <w:tcW w:w="5900" w:type="dxa"/>
            <w:vAlign w:val="bottom"/>
          </w:tcPr>
          <w:p>
            <w:pPr>
              <w:ind w:left="20"/>
              <w:spacing w:after="0"/>
              <w:rPr>
                <w:sz w:val="20"/>
                <w:szCs w:val="20"/>
                <w:color w:val="auto"/>
              </w:rPr>
            </w:pPr>
            <w:r>
              <w:rPr>
                <w:rFonts w:ascii="Arial" w:cs="Arial" w:eastAsia="Arial" w:hAnsi="Arial"/>
                <w:sz w:val="18"/>
                <w:szCs w:val="18"/>
                <w:color w:val="auto"/>
              </w:rPr>
              <w:t>Other</w:t>
            </w:r>
          </w:p>
        </w:tc>
        <w:tc>
          <w:tcPr>
            <w:tcW w:w="1520" w:type="dxa"/>
            <w:vAlign w:val="bottom"/>
            <w:tcBorders>
              <w:bottom w:val="single" w:sz="8" w:color="auto"/>
            </w:tcBorders>
          </w:tcPr>
          <w:p>
            <w:pPr>
              <w:jc w:val="right"/>
              <w:ind w:right="255"/>
              <w:spacing w:after="0"/>
              <w:rPr>
                <w:sz w:val="20"/>
                <w:szCs w:val="20"/>
                <w:color w:val="auto"/>
              </w:rPr>
            </w:pPr>
            <w:r>
              <w:rPr>
                <w:rFonts w:ascii="Arial" w:cs="Arial" w:eastAsia="Arial" w:hAnsi="Arial"/>
                <w:sz w:val="18"/>
                <w:szCs w:val="18"/>
                <w:color w:val="auto"/>
              </w:rPr>
              <w:t>18,014</w:t>
            </w:r>
          </w:p>
        </w:tc>
        <w:tc>
          <w:tcPr>
            <w:tcW w:w="11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10,391</w:t>
            </w:r>
          </w:p>
        </w:tc>
        <w:tc>
          <w:tcPr>
            <w:tcW w:w="140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17,918</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10,441</w:t>
            </w:r>
          </w:p>
        </w:tc>
        <w:tc>
          <w:tcPr>
            <w:tcW w:w="0" w:type="dxa"/>
            <w:vAlign w:val="bottom"/>
          </w:tcPr>
          <w:p>
            <w:pPr>
              <w:spacing w:after="0"/>
              <w:rPr>
                <w:sz w:val="1"/>
                <w:szCs w:val="1"/>
                <w:color w:val="auto"/>
              </w:rPr>
            </w:pPr>
          </w:p>
        </w:tc>
      </w:tr>
      <w:tr>
        <w:trPr>
          <w:trHeight w:val="223"/>
        </w:trPr>
        <w:tc>
          <w:tcPr>
            <w:tcW w:w="5900" w:type="dxa"/>
            <w:vAlign w:val="bottom"/>
          </w:tcPr>
          <w:p>
            <w:pPr>
              <w:ind w:left="220"/>
              <w:spacing w:after="0"/>
              <w:rPr>
                <w:sz w:val="20"/>
                <w:szCs w:val="20"/>
                <w:color w:val="auto"/>
              </w:rPr>
            </w:pPr>
            <w:r>
              <w:rPr>
                <w:rFonts w:ascii="Arial" w:cs="Arial" w:eastAsia="Arial" w:hAnsi="Arial"/>
                <w:sz w:val="18"/>
                <w:szCs w:val="18"/>
                <w:color w:val="auto"/>
              </w:rPr>
              <w:t>Total</w:t>
            </w:r>
          </w:p>
        </w:tc>
        <w:tc>
          <w:tcPr>
            <w:tcW w:w="1520" w:type="dxa"/>
            <w:vAlign w:val="bottom"/>
            <w:tcBorders>
              <w:bottom w:val="single" w:sz="8" w:color="auto"/>
            </w:tcBorders>
          </w:tcPr>
          <w:p>
            <w:pPr>
              <w:jc w:val="right"/>
              <w:ind w:right="255"/>
              <w:spacing w:after="0"/>
              <w:rPr>
                <w:sz w:val="20"/>
                <w:szCs w:val="20"/>
                <w:color w:val="auto"/>
              </w:rPr>
            </w:pPr>
            <w:r>
              <w:rPr>
                <w:rFonts w:ascii="Arial" w:cs="Arial" w:eastAsia="Arial" w:hAnsi="Arial"/>
                <w:sz w:val="18"/>
                <w:szCs w:val="18"/>
                <w:color w:val="auto"/>
              </w:rPr>
              <w:t>495,062</w:t>
            </w:r>
          </w:p>
        </w:tc>
        <w:tc>
          <w:tcPr>
            <w:tcW w:w="11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216,552</w:t>
            </w:r>
          </w:p>
        </w:tc>
        <w:tc>
          <w:tcPr>
            <w:tcW w:w="140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505,322</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227,553</w:t>
            </w: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2021, the Corporation identified situations where events or changes in circumstances indicated that the carrying value of certain long-lived assets may not be recoverable and performed impairment assessments. Before-tax impairment charges of $1.2 billion, including impairments of suspended wells, were recognized during the year largely as a result of changes to Upstream development plans.</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2020, as part of the Corporation's annual review and approval of its business and strategic plan, a decision was made to no longer develop a significant portion of the dry gas portfolio in the U.S., Canada and Argentina. The impairment of these assets resulted in before-tax charges of $24.4 billion in Upstream. Other before-tax impairment charges in 2020 included $0.9 billion in Upstream, $0.5 billion in Downstream, and $0.1 billion in Chemical. In 2019, before-tax impairment charges were $0.1 billion.</w:t>
      </w:r>
    </w:p>
    <w:p>
      <w:pPr>
        <w:spacing w:after="0" w:line="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Impairment charges are primarily recognized in the lines “Depreciation and depletion” and “Exploration expenses, including dry holes” on the Consolidated Statement of Income. Accumulated depreciation and depletion totaled $278,510 million at the end of 2021 and $277,769 million at the end of 2020.</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Retirement Obligations</w:t>
      </w:r>
    </w:p>
    <w:p>
      <w:pPr>
        <w:spacing w:after="0" w:line="1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Corporation incurs retirement obligations for certain assets. The fair values of these obligations are recorded as liabilities on a discounted basis, which is typically at the time the assets are installed. In the estimation of fair value, the Corporation uses assumptions and judgments regarding such factors as the existence of a legal obligation for an asset retirement obligation, technical assessments of the assets, estimated amounts and timing of settlements, discount rates, and inflation rates. Asset retirement obligations incurred in the current period were Level 3 fair value measurements. The costs associated with these liabilities are capitalized as part of the related assets and depreciated as the reserves are produced. Over time, the liabilities are accreted for the change in their present value.</w:t>
      </w:r>
    </w:p>
    <w:p>
      <w:pPr>
        <w:spacing w:after="0" w:line="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Asset retirement obligations for downstream and chemical facilities generally become firm at the time the facilities are permanently shut down and dismantled. These obligations may include the costs of asset disposal and additional soil remediation. However, these sites have indeterminate lives based on plans for continued operations and as such, the fair value of the conditional legal obligations cannot be measured, since it is impossible to estimate the future settlement dates of such obligations.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in the liability for asset retirement obligations: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15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2020</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r>
      <w:tr>
        <w:trPr>
          <w:trHeight w:val="217"/>
        </w:trPr>
        <w:tc>
          <w:tcPr>
            <w:tcW w:w="75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580" w:type="dxa"/>
            <w:vAlign w:val="bottom"/>
          </w:tcPr>
          <w:p>
            <w:pPr>
              <w:jc w:val="right"/>
              <w:ind w:right="274"/>
              <w:spacing w:after="0"/>
              <w:rPr>
                <w:sz w:val="20"/>
                <w:szCs w:val="20"/>
                <w:color w:val="auto"/>
              </w:rPr>
            </w:pPr>
            <w:r>
              <w:rPr>
                <w:rFonts w:ascii="Arial" w:cs="Arial" w:eastAsia="Arial" w:hAnsi="Arial"/>
                <w:sz w:val="14"/>
                <w:szCs w:val="14"/>
                <w:i w:val="1"/>
                <w:iCs w:val="1"/>
                <w:color w:val="auto"/>
              </w:rPr>
              <w:t>(millions of dollars)</w:t>
            </w:r>
          </w:p>
        </w:tc>
        <w:tc>
          <w:tcPr>
            <w:tcW w:w="940" w:type="dxa"/>
            <w:vAlign w:val="bottom"/>
          </w:tcPr>
          <w:p>
            <w:pPr>
              <w:spacing w:after="0"/>
              <w:rPr>
                <w:sz w:val="18"/>
                <w:szCs w:val="18"/>
                <w:color w:val="auto"/>
              </w:rPr>
            </w:pPr>
          </w:p>
        </w:tc>
      </w:tr>
      <w:tr>
        <w:trPr>
          <w:trHeight w:val="241"/>
        </w:trPr>
        <w:tc>
          <w:tcPr>
            <w:tcW w:w="7500" w:type="dxa"/>
            <w:vAlign w:val="bottom"/>
          </w:tcPr>
          <w:p>
            <w:pPr>
              <w:ind w:left="20"/>
              <w:spacing w:after="0"/>
              <w:rPr>
                <w:sz w:val="20"/>
                <w:szCs w:val="20"/>
                <w:color w:val="auto"/>
              </w:rPr>
            </w:pPr>
            <w:r>
              <w:rPr>
                <w:rFonts w:ascii="Arial" w:cs="Arial" w:eastAsia="Arial" w:hAnsi="Arial"/>
                <w:sz w:val="18"/>
                <w:szCs w:val="18"/>
                <w:color w:val="auto"/>
              </w:rPr>
              <w:t>Balance at January 1</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11,247</w:t>
            </w:r>
          </w:p>
        </w:tc>
        <w:tc>
          <w:tcPr>
            <w:tcW w:w="1580" w:type="dxa"/>
            <w:vAlign w:val="bottom"/>
          </w:tcPr>
          <w:p>
            <w:pPr>
              <w:jc w:val="right"/>
              <w:ind w:right="334"/>
              <w:spacing w:after="0"/>
              <w:rPr>
                <w:sz w:val="20"/>
                <w:szCs w:val="20"/>
                <w:color w:val="auto"/>
              </w:rPr>
            </w:pPr>
            <w:r>
              <w:rPr>
                <w:rFonts w:ascii="Arial" w:cs="Arial" w:eastAsia="Arial" w:hAnsi="Arial"/>
                <w:sz w:val="18"/>
                <w:szCs w:val="18"/>
                <w:color w:val="auto"/>
              </w:rPr>
              <w:t>11,280</w:t>
            </w:r>
          </w:p>
        </w:tc>
        <w:tc>
          <w:tcPr>
            <w:tcW w:w="940" w:type="dxa"/>
            <w:vAlign w:val="bottom"/>
          </w:tcPr>
          <w:p>
            <w:pPr>
              <w:jc w:val="right"/>
              <w:spacing w:after="0"/>
              <w:rPr>
                <w:sz w:val="20"/>
                <w:szCs w:val="20"/>
                <w:color w:val="auto"/>
              </w:rPr>
            </w:pPr>
            <w:r>
              <w:rPr>
                <w:rFonts w:ascii="Arial" w:cs="Arial" w:eastAsia="Arial" w:hAnsi="Arial"/>
                <w:sz w:val="18"/>
                <w:szCs w:val="18"/>
                <w:color w:val="auto"/>
              </w:rPr>
              <w:t>12,103</w:t>
            </w:r>
          </w:p>
        </w:tc>
      </w:tr>
      <w:tr>
        <w:trPr>
          <w:trHeight w:val="229"/>
        </w:trPr>
        <w:tc>
          <w:tcPr>
            <w:tcW w:w="7500" w:type="dxa"/>
            <w:vAlign w:val="bottom"/>
          </w:tcPr>
          <w:p>
            <w:pPr>
              <w:ind w:left="220"/>
              <w:spacing w:after="0"/>
              <w:rPr>
                <w:sz w:val="20"/>
                <w:szCs w:val="20"/>
                <w:color w:val="auto"/>
              </w:rPr>
            </w:pPr>
            <w:r>
              <w:rPr>
                <w:rFonts w:ascii="Arial" w:cs="Arial" w:eastAsia="Arial" w:hAnsi="Arial"/>
                <w:sz w:val="18"/>
                <w:szCs w:val="18"/>
                <w:color w:val="auto"/>
              </w:rPr>
              <w:t>Accretion expense and other provisions</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548</w:t>
            </w:r>
          </w:p>
        </w:tc>
        <w:tc>
          <w:tcPr>
            <w:tcW w:w="1580" w:type="dxa"/>
            <w:vAlign w:val="bottom"/>
          </w:tcPr>
          <w:p>
            <w:pPr>
              <w:jc w:val="right"/>
              <w:ind w:right="334"/>
              <w:spacing w:after="0"/>
              <w:rPr>
                <w:sz w:val="20"/>
                <w:szCs w:val="20"/>
                <w:color w:val="auto"/>
              </w:rPr>
            </w:pPr>
            <w:r>
              <w:rPr>
                <w:rFonts w:ascii="Arial" w:cs="Arial" w:eastAsia="Arial" w:hAnsi="Arial"/>
                <w:sz w:val="18"/>
                <w:szCs w:val="18"/>
                <w:color w:val="auto"/>
              </w:rPr>
              <w:t>584</w:t>
            </w:r>
          </w:p>
        </w:tc>
        <w:tc>
          <w:tcPr>
            <w:tcW w:w="940" w:type="dxa"/>
            <w:vAlign w:val="bottom"/>
          </w:tcPr>
          <w:p>
            <w:pPr>
              <w:jc w:val="right"/>
              <w:spacing w:after="0"/>
              <w:rPr>
                <w:sz w:val="20"/>
                <w:szCs w:val="20"/>
                <w:color w:val="auto"/>
              </w:rPr>
            </w:pPr>
            <w:r>
              <w:rPr>
                <w:rFonts w:ascii="Arial" w:cs="Arial" w:eastAsia="Arial" w:hAnsi="Arial"/>
                <w:sz w:val="18"/>
                <w:szCs w:val="18"/>
                <w:color w:val="auto"/>
              </w:rPr>
              <w:t>649</w:t>
            </w:r>
          </w:p>
        </w:tc>
      </w:tr>
      <w:tr>
        <w:trPr>
          <w:trHeight w:val="230"/>
        </w:trPr>
        <w:tc>
          <w:tcPr>
            <w:tcW w:w="7500" w:type="dxa"/>
            <w:vAlign w:val="bottom"/>
          </w:tcPr>
          <w:p>
            <w:pPr>
              <w:ind w:left="220"/>
              <w:spacing w:after="0"/>
              <w:rPr>
                <w:sz w:val="20"/>
                <w:szCs w:val="20"/>
                <w:color w:val="auto"/>
              </w:rPr>
            </w:pPr>
            <w:r>
              <w:rPr>
                <w:rFonts w:ascii="Arial" w:cs="Arial" w:eastAsia="Arial" w:hAnsi="Arial"/>
                <w:sz w:val="18"/>
                <w:szCs w:val="18"/>
                <w:color w:val="auto"/>
              </w:rPr>
              <w:t>Reduction due to property sales</w:t>
            </w:r>
          </w:p>
        </w:tc>
        <w:tc>
          <w:tcPr>
            <w:tcW w:w="1220" w:type="dxa"/>
            <w:vAlign w:val="bottom"/>
          </w:tcPr>
          <w:p>
            <w:pPr>
              <w:jc w:val="right"/>
              <w:spacing w:after="0"/>
              <w:rPr>
                <w:sz w:val="20"/>
                <w:szCs w:val="20"/>
                <w:color w:val="auto"/>
              </w:rPr>
            </w:pPr>
            <w:r>
              <w:rPr>
                <w:rFonts w:ascii="Arial" w:cs="Arial" w:eastAsia="Arial" w:hAnsi="Arial"/>
                <w:sz w:val="18"/>
                <w:szCs w:val="18"/>
                <w:color w:val="auto"/>
              </w:rPr>
              <w:t>(1,002)</w:t>
            </w:r>
          </w:p>
        </w:tc>
        <w:tc>
          <w:tcPr>
            <w:tcW w:w="1580" w:type="dxa"/>
            <w:vAlign w:val="bottom"/>
          </w:tcPr>
          <w:p>
            <w:pPr>
              <w:jc w:val="right"/>
              <w:ind w:right="274"/>
              <w:spacing w:after="0"/>
              <w:rPr>
                <w:sz w:val="20"/>
                <w:szCs w:val="20"/>
                <w:color w:val="auto"/>
              </w:rPr>
            </w:pPr>
            <w:r>
              <w:rPr>
                <w:rFonts w:ascii="Arial" w:cs="Arial" w:eastAsia="Arial" w:hAnsi="Arial"/>
                <w:sz w:val="18"/>
                <w:szCs w:val="18"/>
                <w:color w:val="auto"/>
              </w:rPr>
              <w:t>(77)</w:t>
            </w:r>
          </w:p>
        </w:tc>
        <w:tc>
          <w:tcPr>
            <w:tcW w:w="940" w:type="dxa"/>
            <w:vAlign w:val="bottom"/>
          </w:tcPr>
          <w:p>
            <w:pPr>
              <w:jc w:val="right"/>
              <w:spacing w:after="0"/>
              <w:rPr>
                <w:sz w:val="20"/>
                <w:szCs w:val="20"/>
                <w:color w:val="auto"/>
              </w:rPr>
            </w:pPr>
            <w:r>
              <w:rPr>
                <w:rFonts w:ascii="Arial" w:cs="Arial" w:eastAsia="Arial" w:hAnsi="Arial"/>
                <w:sz w:val="18"/>
                <w:szCs w:val="18"/>
                <w:color w:val="auto"/>
              </w:rPr>
              <w:t>(1,085)</w:t>
            </w:r>
          </w:p>
        </w:tc>
      </w:tr>
      <w:tr>
        <w:trPr>
          <w:trHeight w:val="229"/>
        </w:trPr>
        <w:tc>
          <w:tcPr>
            <w:tcW w:w="7500" w:type="dxa"/>
            <w:vAlign w:val="bottom"/>
          </w:tcPr>
          <w:p>
            <w:pPr>
              <w:ind w:left="220"/>
              <w:spacing w:after="0"/>
              <w:rPr>
                <w:sz w:val="20"/>
                <w:szCs w:val="20"/>
                <w:color w:val="auto"/>
              </w:rPr>
            </w:pPr>
            <w:r>
              <w:rPr>
                <w:rFonts w:ascii="Arial" w:cs="Arial" w:eastAsia="Arial" w:hAnsi="Arial"/>
                <w:sz w:val="18"/>
                <w:szCs w:val="18"/>
                <w:color w:val="auto"/>
              </w:rPr>
              <w:t>Payments made</w:t>
            </w:r>
          </w:p>
        </w:tc>
        <w:tc>
          <w:tcPr>
            <w:tcW w:w="1220" w:type="dxa"/>
            <w:vAlign w:val="bottom"/>
          </w:tcPr>
          <w:p>
            <w:pPr>
              <w:jc w:val="right"/>
              <w:spacing w:after="0"/>
              <w:rPr>
                <w:sz w:val="20"/>
                <w:szCs w:val="20"/>
                <w:color w:val="auto"/>
              </w:rPr>
            </w:pPr>
            <w:r>
              <w:rPr>
                <w:rFonts w:ascii="Arial" w:cs="Arial" w:eastAsia="Arial" w:hAnsi="Arial"/>
                <w:sz w:val="18"/>
                <w:szCs w:val="18"/>
                <w:color w:val="auto"/>
              </w:rPr>
              <w:t>(444)</w:t>
            </w:r>
          </w:p>
        </w:tc>
        <w:tc>
          <w:tcPr>
            <w:tcW w:w="1580" w:type="dxa"/>
            <w:vAlign w:val="bottom"/>
          </w:tcPr>
          <w:p>
            <w:pPr>
              <w:jc w:val="right"/>
              <w:ind w:right="274"/>
              <w:spacing w:after="0"/>
              <w:rPr>
                <w:sz w:val="20"/>
                <w:szCs w:val="20"/>
                <w:color w:val="auto"/>
              </w:rPr>
            </w:pPr>
            <w:r>
              <w:rPr>
                <w:rFonts w:ascii="Arial" w:cs="Arial" w:eastAsia="Arial" w:hAnsi="Arial"/>
                <w:sz w:val="18"/>
                <w:szCs w:val="18"/>
                <w:color w:val="auto"/>
              </w:rPr>
              <w:t>(669)</w:t>
            </w:r>
          </w:p>
        </w:tc>
        <w:tc>
          <w:tcPr>
            <w:tcW w:w="940" w:type="dxa"/>
            <w:vAlign w:val="bottom"/>
          </w:tcPr>
          <w:p>
            <w:pPr>
              <w:jc w:val="right"/>
              <w:spacing w:after="0"/>
              <w:rPr>
                <w:sz w:val="20"/>
                <w:szCs w:val="20"/>
                <w:color w:val="auto"/>
              </w:rPr>
            </w:pPr>
            <w:r>
              <w:rPr>
                <w:rFonts w:ascii="Arial" w:cs="Arial" w:eastAsia="Arial" w:hAnsi="Arial"/>
                <w:sz w:val="18"/>
                <w:szCs w:val="18"/>
                <w:color w:val="auto"/>
              </w:rPr>
              <w:t>(827)</w:t>
            </w:r>
          </w:p>
        </w:tc>
      </w:tr>
      <w:tr>
        <w:trPr>
          <w:trHeight w:val="229"/>
        </w:trPr>
        <w:tc>
          <w:tcPr>
            <w:tcW w:w="7500" w:type="dxa"/>
            <w:vAlign w:val="bottom"/>
          </w:tcPr>
          <w:p>
            <w:pPr>
              <w:ind w:left="220"/>
              <w:spacing w:after="0"/>
              <w:rPr>
                <w:sz w:val="20"/>
                <w:szCs w:val="20"/>
                <w:color w:val="auto"/>
              </w:rPr>
            </w:pPr>
            <w:r>
              <w:rPr>
                <w:rFonts w:ascii="Arial" w:cs="Arial" w:eastAsia="Arial" w:hAnsi="Arial"/>
                <w:sz w:val="18"/>
                <w:szCs w:val="18"/>
                <w:color w:val="auto"/>
              </w:rPr>
              <w:t>Liabilities incurred</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42</w:t>
            </w:r>
          </w:p>
        </w:tc>
        <w:tc>
          <w:tcPr>
            <w:tcW w:w="1580" w:type="dxa"/>
            <w:vAlign w:val="bottom"/>
          </w:tcPr>
          <w:p>
            <w:pPr>
              <w:jc w:val="right"/>
              <w:ind w:right="334"/>
              <w:spacing w:after="0"/>
              <w:rPr>
                <w:sz w:val="20"/>
                <w:szCs w:val="20"/>
                <w:color w:val="auto"/>
              </w:rPr>
            </w:pPr>
            <w:r>
              <w:rPr>
                <w:rFonts w:ascii="Arial" w:cs="Arial" w:eastAsia="Arial" w:hAnsi="Arial"/>
                <w:sz w:val="18"/>
                <w:szCs w:val="18"/>
                <w:color w:val="auto"/>
              </w:rPr>
              <w:t>26</w:t>
            </w:r>
          </w:p>
        </w:tc>
        <w:tc>
          <w:tcPr>
            <w:tcW w:w="94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30"/>
        </w:trPr>
        <w:tc>
          <w:tcPr>
            <w:tcW w:w="7500" w:type="dxa"/>
            <w:vAlign w:val="bottom"/>
          </w:tcPr>
          <w:p>
            <w:pPr>
              <w:ind w:left="220"/>
              <w:spacing w:after="0"/>
              <w:rPr>
                <w:sz w:val="20"/>
                <w:szCs w:val="20"/>
                <w:color w:val="auto"/>
              </w:rPr>
            </w:pPr>
            <w:r>
              <w:rPr>
                <w:rFonts w:ascii="Arial" w:cs="Arial" w:eastAsia="Arial" w:hAnsi="Arial"/>
                <w:sz w:val="18"/>
                <w:szCs w:val="18"/>
                <w:color w:val="auto"/>
              </w:rPr>
              <w:t>Foreign currency translation</w:t>
            </w:r>
          </w:p>
        </w:tc>
        <w:tc>
          <w:tcPr>
            <w:tcW w:w="1220" w:type="dxa"/>
            <w:vAlign w:val="bottom"/>
          </w:tcPr>
          <w:p>
            <w:pPr>
              <w:jc w:val="right"/>
              <w:spacing w:after="0"/>
              <w:rPr>
                <w:sz w:val="20"/>
                <w:szCs w:val="20"/>
                <w:color w:val="auto"/>
              </w:rPr>
            </w:pPr>
            <w:r>
              <w:rPr>
                <w:rFonts w:ascii="Arial" w:cs="Arial" w:eastAsia="Arial" w:hAnsi="Arial"/>
                <w:sz w:val="18"/>
                <w:szCs w:val="18"/>
                <w:color w:val="auto"/>
              </w:rPr>
              <w:t>(147)</w:t>
            </w:r>
          </w:p>
        </w:tc>
        <w:tc>
          <w:tcPr>
            <w:tcW w:w="1580" w:type="dxa"/>
            <w:vAlign w:val="bottom"/>
          </w:tcPr>
          <w:p>
            <w:pPr>
              <w:jc w:val="right"/>
              <w:ind w:right="334"/>
              <w:spacing w:after="0"/>
              <w:rPr>
                <w:sz w:val="20"/>
                <w:szCs w:val="20"/>
                <w:color w:val="auto"/>
              </w:rPr>
            </w:pPr>
            <w:r>
              <w:rPr>
                <w:rFonts w:ascii="Arial" w:cs="Arial" w:eastAsia="Arial" w:hAnsi="Arial"/>
                <w:sz w:val="18"/>
                <w:szCs w:val="18"/>
                <w:color w:val="auto"/>
              </w:rPr>
              <w:t>239</w:t>
            </w:r>
          </w:p>
        </w:tc>
        <w:tc>
          <w:tcPr>
            <w:tcW w:w="94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30"/>
        </w:trPr>
        <w:tc>
          <w:tcPr>
            <w:tcW w:w="7500" w:type="dxa"/>
            <w:vAlign w:val="bottom"/>
          </w:tcPr>
          <w:p>
            <w:pPr>
              <w:ind w:left="220"/>
              <w:spacing w:after="0"/>
              <w:rPr>
                <w:sz w:val="20"/>
                <w:szCs w:val="20"/>
                <w:color w:val="auto"/>
              </w:rPr>
            </w:pPr>
            <w:r>
              <w:rPr>
                <w:rFonts w:ascii="Arial" w:cs="Arial" w:eastAsia="Arial" w:hAnsi="Arial"/>
                <w:sz w:val="18"/>
                <w:szCs w:val="18"/>
                <w:color w:val="auto"/>
              </w:rPr>
              <w:t>Revisions</w:t>
            </w: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386</w:t>
            </w:r>
          </w:p>
        </w:tc>
        <w:tc>
          <w:tcPr>
            <w:tcW w:w="1580" w:type="dxa"/>
            <w:vAlign w:val="bottom"/>
            <w:tcBorders>
              <w:bottom w:val="single" w:sz="8" w:color="auto"/>
            </w:tcBorders>
          </w:tcPr>
          <w:p>
            <w:pPr>
              <w:jc w:val="right"/>
              <w:ind w:right="274"/>
              <w:spacing w:after="0"/>
              <w:rPr>
                <w:sz w:val="20"/>
                <w:szCs w:val="20"/>
                <w:color w:val="auto"/>
              </w:rPr>
            </w:pPr>
            <w:r>
              <w:rPr>
                <w:rFonts w:ascii="Arial" w:cs="Arial" w:eastAsia="Arial" w:hAnsi="Arial"/>
                <w:sz w:val="18"/>
                <w:szCs w:val="18"/>
                <w:color w:val="auto"/>
              </w:rPr>
              <w:t>(136)</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w:t>
            </w:r>
          </w:p>
        </w:tc>
      </w:tr>
      <w:tr>
        <w:trPr>
          <w:trHeight w:val="223"/>
        </w:trPr>
        <w:tc>
          <w:tcPr>
            <w:tcW w:w="7500" w:type="dxa"/>
            <w:vAlign w:val="bottom"/>
          </w:tcPr>
          <w:p>
            <w:pPr>
              <w:ind w:left="20"/>
              <w:spacing w:after="0"/>
              <w:rPr>
                <w:sz w:val="20"/>
                <w:szCs w:val="20"/>
                <w:color w:val="auto"/>
              </w:rPr>
            </w:pPr>
            <w:r>
              <w:rPr>
                <w:rFonts w:ascii="Arial" w:cs="Arial" w:eastAsia="Arial" w:hAnsi="Arial"/>
                <w:sz w:val="18"/>
                <w:szCs w:val="18"/>
                <w:color w:val="auto"/>
              </w:rPr>
              <w:t>Balance at December 31</w:t>
            </w: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10,630</w:t>
            </w:r>
          </w:p>
        </w:tc>
        <w:tc>
          <w:tcPr>
            <w:tcW w:w="1580" w:type="dxa"/>
            <w:vAlign w:val="bottom"/>
            <w:tcBorders>
              <w:bottom w:val="single" w:sz="8" w:color="auto"/>
            </w:tcBorders>
          </w:tcPr>
          <w:p>
            <w:pPr>
              <w:jc w:val="right"/>
              <w:ind w:right="334"/>
              <w:spacing w:after="0"/>
              <w:rPr>
                <w:sz w:val="20"/>
                <w:szCs w:val="20"/>
                <w:color w:val="auto"/>
              </w:rPr>
            </w:pPr>
            <w:r>
              <w:rPr>
                <w:rFonts w:ascii="Arial" w:cs="Arial" w:eastAsia="Arial" w:hAnsi="Arial"/>
                <w:sz w:val="18"/>
                <w:szCs w:val="18"/>
                <w:color w:val="auto"/>
              </w:rPr>
              <w:t>11,247</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11,280</w:t>
            </w:r>
          </w:p>
        </w:tc>
      </w:tr>
    </w:tbl>
    <w:p>
      <w:pPr>
        <w:spacing w:after="0" w:line="29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long-term Asset Retirement Obligations were $9,985 million and $10,558 million at December 31, 2021, and 2020, respectively, and are included in “Other long-term obligations” on the Consolidated Balance Sheet. Estimated cash payments in 2022 and 2023 are $645 million and $648 million, respectively.</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Accounting for Suspended Exploratory Well Costs</w:t>
      </w:r>
    </w:p>
    <w:p>
      <w:pPr>
        <w:spacing w:after="0" w:line="108"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Corporation continues capitalization of exploratory well costs when the well has found a sufficient quantity of reserves to justify its completion as a producing well and the Corporation is making sufficient progress assessing the reserves and the economic and operating viability of the project. The term “project” as used in this report can refer to a variety of different activities and does not necessarily have the same meaning as in any government payment transparency reports.</w:t>
      </w:r>
    </w:p>
    <w:p>
      <w:pPr>
        <w:spacing w:after="0" w:line="5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two tables provide details of the changes in the balance of suspended exploratory well costs as well as an aging summary of those costs.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Change in capitalized suspended exploratory well costs:</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16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2020</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4"/>
        </w:trPr>
        <w:tc>
          <w:tcPr>
            <w:tcW w:w="75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0" w:type="dxa"/>
            <w:vAlign w:val="bottom"/>
          </w:tcPr>
          <w:p>
            <w:pPr>
              <w:jc w:val="right"/>
              <w:ind w:right="314"/>
              <w:spacing w:after="0"/>
              <w:rPr>
                <w:sz w:val="20"/>
                <w:szCs w:val="20"/>
                <w:color w:val="auto"/>
              </w:rPr>
            </w:pPr>
            <w:r>
              <w:rPr>
                <w:rFonts w:ascii="Arial" w:cs="Arial" w:eastAsia="Arial" w:hAnsi="Arial"/>
                <w:sz w:val="14"/>
                <w:szCs w:val="14"/>
                <w:i w:val="1"/>
                <w:iCs w:val="1"/>
                <w:color w:val="auto"/>
              </w:rPr>
              <w:t>(millions of dollars)</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7580" w:type="dxa"/>
            <w:vAlign w:val="bottom"/>
          </w:tcPr>
          <w:p>
            <w:pPr>
              <w:ind w:left="20"/>
              <w:spacing w:after="0"/>
              <w:rPr>
                <w:sz w:val="20"/>
                <w:szCs w:val="20"/>
                <w:color w:val="auto"/>
              </w:rPr>
            </w:pPr>
            <w:r>
              <w:rPr>
                <w:rFonts w:ascii="Arial" w:cs="Arial" w:eastAsia="Arial" w:hAnsi="Arial"/>
                <w:sz w:val="18"/>
                <w:szCs w:val="18"/>
                <w:color w:val="auto"/>
              </w:rPr>
              <w:t>Balance beginning at January 1</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4,382</w:t>
            </w:r>
          </w:p>
        </w:tc>
        <w:tc>
          <w:tcPr>
            <w:tcW w:w="1600" w:type="dxa"/>
            <w:vAlign w:val="bottom"/>
          </w:tcPr>
          <w:p>
            <w:pPr>
              <w:jc w:val="right"/>
              <w:ind w:right="374"/>
              <w:spacing w:after="0"/>
              <w:rPr>
                <w:sz w:val="20"/>
                <w:szCs w:val="20"/>
                <w:color w:val="auto"/>
              </w:rPr>
            </w:pPr>
            <w:r>
              <w:rPr>
                <w:rFonts w:ascii="Arial" w:cs="Arial" w:eastAsia="Arial" w:hAnsi="Arial"/>
                <w:sz w:val="18"/>
                <w:szCs w:val="18"/>
                <w:color w:val="auto"/>
              </w:rPr>
              <w:t>4,613</w:t>
            </w:r>
          </w:p>
        </w:tc>
        <w:tc>
          <w:tcPr>
            <w:tcW w:w="860" w:type="dxa"/>
            <w:vAlign w:val="bottom"/>
          </w:tcPr>
          <w:p>
            <w:pPr>
              <w:jc w:val="right"/>
              <w:spacing w:after="0"/>
              <w:rPr>
                <w:sz w:val="20"/>
                <w:szCs w:val="20"/>
                <w:color w:val="auto"/>
              </w:rPr>
            </w:pPr>
            <w:r>
              <w:rPr>
                <w:rFonts w:ascii="Arial" w:cs="Arial" w:eastAsia="Arial" w:hAnsi="Arial"/>
                <w:sz w:val="18"/>
                <w:szCs w:val="18"/>
                <w:color w:val="auto"/>
              </w:rPr>
              <w:t>4,160</w:t>
            </w:r>
          </w:p>
        </w:tc>
        <w:tc>
          <w:tcPr>
            <w:tcW w:w="0" w:type="dxa"/>
            <w:vAlign w:val="bottom"/>
          </w:tcPr>
          <w:p>
            <w:pPr>
              <w:spacing w:after="0"/>
              <w:rPr>
                <w:sz w:val="1"/>
                <w:szCs w:val="1"/>
                <w:color w:val="auto"/>
              </w:rPr>
            </w:pPr>
          </w:p>
        </w:tc>
      </w:tr>
      <w:tr>
        <w:trPr>
          <w:trHeight w:val="229"/>
        </w:trPr>
        <w:tc>
          <w:tcPr>
            <w:tcW w:w="7580" w:type="dxa"/>
            <w:vAlign w:val="bottom"/>
          </w:tcPr>
          <w:p>
            <w:pPr>
              <w:ind w:left="220"/>
              <w:spacing w:after="0"/>
              <w:rPr>
                <w:sz w:val="20"/>
                <w:szCs w:val="20"/>
                <w:color w:val="auto"/>
              </w:rPr>
            </w:pPr>
            <w:r>
              <w:rPr>
                <w:rFonts w:ascii="Arial" w:cs="Arial" w:eastAsia="Arial" w:hAnsi="Arial"/>
                <w:sz w:val="18"/>
                <w:szCs w:val="18"/>
                <w:color w:val="auto"/>
              </w:rPr>
              <w:t>Additions pending the determination of proved reserves</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420</w:t>
            </w:r>
          </w:p>
        </w:tc>
        <w:tc>
          <w:tcPr>
            <w:tcW w:w="1600" w:type="dxa"/>
            <w:vAlign w:val="bottom"/>
          </w:tcPr>
          <w:p>
            <w:pPr>
              <w:jc w:val="right"/>
              <w:ind w:right="374"/>
              <w:spacing w:after="0"/>
              <w:rPr>
                <w:sz w:val="20"/>
                <w:szCs w:val="20"/>
                <w:color w:val="auto"/>
              </w:rPr>
            </w:pPr>
            <w:r>
              <w:rPr>
                <w:rFonts w:ascii="Arial" w:cs="Arial" w:eastAsia="Arial" w:hAnsi="Arial"/>
                <w:sz w:val="18"/>
                <w:szCs w:val="18"/>
                <w:color w:val="auto"/>
              </w:rPr>
              <w:t>208</w:t>
            </w:r>
          </w:p>
        </w:tc>
        <w:tc>
          <w:tcPr>
            <w:tcW w:w="860" w:type="dxa"/>
            <w:vAlign w:val="bottom"/>
          </w:tcPr>
          <w:p>
            <w:pPr>
              <w:jc w:val="right"/>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30"/>
        </w:trPr>
        <w:tc>
          <w:tcPr>
            <w:tcW w:w="7580" w:type="dxa"/>
            <w:vAlign w:val="bottom"/>
          </w:tcPr>
          <w:p>
            <w:pPr>
              <w:ind w:left="220"/>
              <w:spacing w:after="0"/>
              <w:rPr>
                <w:sz w:val="20"/>
                <w:szCs w:val="20"/>
                <w:color w:val="auto"/>
              </w:rPr>
            </w:pPr>
            <w:r>
              <w:rPr>
                <w:rFonts w:ascii="Arial" w:cs="Arial" w:eastAsia="Arial" w:hAnsi="Arial"/>
                <w:sz w:val="18"/>
                <w:szCs w:val="18"/>
                <w:color w:val="auto"/>
              </w:rPr>
              <w:t>Charged to expense</w:t>
            </w:r>
          </w:p>
        </w:tc>
        <w:tc>
          <w:tcPr>
            <w:tcW w:w="1200" w:type="dxa"/>
            <w:vAlign w:val="bottom"/>
          </w:tcPr>
          <w:p>
            <w:pPr>
              <w:jc w:val="right"/>
              <w:spacing w:after="0"/>
              <w:rPr>
                <w:sz w:val="20"/>
                <w:szCs w:val="20"/>
                <w:color w:val="auto"/>
              </w:rPr>
            </w:pPr>
            <w:r>
              <w:rPr>
                <w:rFonts w:ascii="Arial" w:cs="Arial" w:eastAsia="Arial" w:hAnsi="Arial"/>
                <w:sz w:val="18"/>
                <w:szCs w:val="18"/>
                <w:color w:val="auto"/>
              </w:rPr>
              <w:t>(325)</w:t>
            </w:r>
          </w:p>
        </w:tc>
        <w:tc>
          <w:tcPr>
            <w:tcW w:w="1600" w:type="dxa"/>
            <w:vAlign w:val="bottom"/>
          </w:tcPr>
          <w:p>
            <w:pPr>
              <w:jc w:val="right"/>
              <w:ind w:right="334"/>
              <w:spacing w:after="0"/>
              <w:rPr>
                <w:sz w:val="20"/>
                <w:szCs w:val="20"/>
                <w:color w:val="auto"/>
              </w:rPr>
            </w:pPr>
            <w:r>
              <w:rPr>
                <w:rFonts w:ascii="Arial" w:cs="Arial" w:eastAsia="Arial" w:hAnsi="Arial"/>
                <w:sz w:val="18"/>
                <w:szCs w:val="18"/>
                <w:color w:val="auto"/>
              </w:rPr>
              <w:t>(318)</w:t>
            </w:r>
          </w:p>
        </w:tc>
        <w:tc>
          <w:tcPr>
            <w:tcW w:w="86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76"/>
        </w:trPr>
        <w:tc>
          <w:tcPr>
            <w:tcW w:w="7580" w:type="dxa"/>
            <w:vAlign w:val="bottom"/>
          </w:tcPr>
          <w:p>
            <w:pPr>
              <w:ind w:left="220"/>
              <w:spacing w:after="0" w:line="176" w:lineRule="exact"/>
              <w:rPr>
                <w:sz w:val="20"/>
                <w:szCs w:val="20"/>
                <w:color w:val="auto"/>
              </w:rPr>
            </w:pPr>
            <w:r>
              <w:rPr>
                <w:rFonts w:ascii="Arial" w:cs="Arial" w:eastAsia="Arial" w:hAnsi="Arial"/>
                <w:sz w:val="18"/>
                <w:szCs w:val="18"/>
                <w:color w:val="auto"/>
              </w:rPr>
              <w:t>Reclassifications to wells, facilities and equipment based on the</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(328)</w:t>
            </w:r>
          </w:p>
        </w:tc>
        <w:tc>
          <w:tcPr>
            <w:tcW w:w="1600" w:type="dxa"/>
            <w:vAlign w:val="bottom"/>
            <w:vMerge w:val="restart"/>
          </w:tcPr>
          <w:p>
            <w:pPr>
              <w:jc w:val="right"/>
              <w:ind w:right="334"/>
              <w:spacing w:after="0"/>
              <w:rPr>
                <w:sz w:val="20"/>
                <w:szCs w:val="20"/>
                <w:color w:val="auto"/>
              </w:rPr>
            </w:pPr>
            <w:r>
              <w:rPr>
                <w:rFonts w:ascii="Arial" w:cs="Arial" w:eastAsia="Arial" w:hAnsi="Arial"/>
                <w:sz w:val="18"/>
                <w:szCs w:val="18"/>
                <w:color w:val="auto"/>
              </w:rPr>
              <w:t>(174)</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9"/>
        </w:trPr>
        <w:tc>
          <w:tcPr>
            <w:tcW w:w="7580" w:type="dxa"/>
            <w:vAlign w:val="bottom"/>
          </w:tcPr>
          <w:p>
            <w:pPr>
              <w:ind w:left="460"/>
              <w:spacing w:after="0"/>
              <w:rPr>
                <w:sz w:val="20"/>
                <w:szCs w:val="20"/>
                <w:color w:val="auto"/>
              </w:rPr>
            </w:pPr>
            <w:r>
              <w:rPr>
                <w:rFonts w:ascii="Arial" w:cs="Arial" w:eastAsia="Arial" w:hAnsi="Arial"/>
                <w:sz w:val="18"/>
                <w:szCs w:val="18"/>
                <w:color w:val="auto"/>
              </w:rPr>
              <w:t>determination of proved reserves</w:t>
            </w:r>
          </w:p>
        </w:tc>
        <w:tc>
          <w:tcPr>
            <w:tcW w:w="1200" w:type="dxa"/>
            <w:vAlign w:val="bottom"/>
            <w:vMerge w:val="continue"/>
          </w:tcPr>
          <w:p>
            <w:pPr>
              <w:spacing w:after="0"/>
              <w:rPr>
                <w:sz w:val="19"/>
                <w:szCs w:val="19"/>
                <w:color w:val="auto"/>
              </w:rPr>
            </w:pPr>
          </w:p>
        </w:tc>
        <w:tc>
          <w:tcPr>
            <w:tcW w:w="1600" w:type="dxa"/>
            <w:vAlign w:val="bottom"/>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tcPr>
          <w:p>
            <w:pPr>
              <w:ind w:left="220"/>
              <w:spacing w:after="0"/>
              <w:rPr>
                <w:sz w:val="20"/>
                <w:szCs w:val="20"/>
                <w:color w:val="auto"/>
              </w:rPr>
            </w:pPr>
            <w:r>
              <w:rPr>
                <w:rFonts w:ascii="Arial" w:cs="Arial" w:eastAsia="Arial" w:hAnsi="Arial"/>
                <w:sz w:val="18"/>
                <w:szCs w:val="18"/>
                <w:color w:val="auto"/>
              </w:rPr>
              <w:t>Divestments/Other</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600" w:type="dxa"/>
            <w:vAlign w:val="bottom"/>
            <w:tcBorders>
              <w:bottom w:val="single" w:sz="8" w:color="auto"/>
            </w:tcBorders>
          </w:tcPr>
          <w:p>
            <w:pPr>
              <w:jc w:val="right"/>
              <w:ind w:right="374"/>
              <w:spacing w:after="0"/>
              <w:rPr>
                <w:sz w:val="20"/>
                <w:szCs w:val="20"/>
                <w:color w:val="auto"/>
              </w:rPr>
            </w:pPr>
            <w:r>
              <w:rPr>
                <w:rFonts w:ascii="Arial" w:cs="Arial" w:eastAsia="Arial" w:hAnsi="Arial"/>
                <w:sz w:val="18"/>
                <w:szCs w:val="18"/>
                <w:color w:val="auto"/>
              </w:rPr>
              <w:t>53</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7580" w:type="dxa"/>
            <w:vAlign w:val="bottom"/>
          </w:tcPr>
          <w:p>
            <w:pPr>
              <w:ind w:left="20"/>
              <w:spacing w:after="0"/>
              <w:rPr>
                <w:sz w:val="20"/>
                <w:szCs w:val="20"/>
                <w:color w:val="auto"/>
              </w:rPr>
            </w:pPr>
            <w:r>
              <w:rPr>
                <w:rFonts w:ascii="Arial" w:cs="Arial" w:eastAsia="Arial" w:hAnsi="Arial"/>
                <w:sz w:val="18"/>
                <w:szCs w:val="18"/>
                <w:color w:val="auto"/>
              </w:rPr>
              <w:t>Ending balance at December 31</w:t>
            </w:r>
          </w:p>
        </w:tc>
        <w:tc>
          <w:tcPr>
            <w:tcW w:w="12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4,120</w:t>
            </w:r>
          </w:p>
        </w:tc>
        <w:tc>
          <w:tcPr>
            <w:tcW w:w="1600" w:type="dxa"/>
            <w:vAlign w:val="bottom"/>
            <w:tcBorders>
              <w:bottom w:val="single" w:sz="8" w:color="auto"/>
            </w:tcBorders>
          </w:tcPr>
          <w:p>
            <w:pPr>
              <w:jc w:val="right"/>
              <w:ind w:right="374"/>
              <w:spacing w:after="0"/>
              <w:rPr>
                <w:sz w:val="20"/>
                <w:szCs w:val="20"/>
                <w:color w:val="auto"/>
              </w:rPr>
            </w:pPr>
            <w:r>
              <w:rPr>
                <w:rFonts w:ascii="Arial" w:cs="Arial" w:eastAsia="Arial" w:hAnsi="Arial"/>
                <w:sz w:val="18"/>
                <w:szCs w:val="18"/>
                <w:color w:val="auto"/>
              </w:rPr>
              <w:t>4,382</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4,613</w:t>
            </w:r>
          </w:p>
        </w:tc>
        <w:tc>
          <w:tcPr>
            <w:tcW w:w="0" w:type="dxa"/>
            <w:vAlign w:val="bottom"/>
          </w:tcPr>
          <w:p>
            <w:pPr>
              <w:spacing w:after="0"/>
              <w:rPr>
                <w:sz w:val="1"/>
                <w:szCs w:val="1"/>
                <w:color w:val="auto"/>
              </w:rPr>
            </w:pPr>
          </w:p>
        </w:tc>
      </w:tr>
      <w:tr>
        <w:trPr>
          <w:trHeight w:val="224"/>
        </w:trPr>
        <w:tc>
          <w:tcPr>
            <w:tcW w:w="7580" w:type="dxa"/>
            <w:vAlign w:val="bottom"/>
          </w:tcPr>
          <w:p>
            <w:pPr>
              <w:ind w:left="20"/>
              <w:spacing w:after="0"/>
              <w:rPr>
                <w:sz w:val="20"/>
                <w:szCs w:val="20"/>
                <w:color w:val="auto"/>
              </w:rPr>
            </w:pPr>
            <w:r>
              <w:rPr>
                <w:rFonts w:ascii="Arial" w:cs="Arial" w:eastAsia="Arial" w:hAnsi="Arial"/>
                <w:sz w:val="18"/>
                <w:szCs w:val="18"/>
                <w:color w:val="auto"/>
              </w:rPr>
              <w:t>Ending balance attributed to equity companies included above</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306</w:t>
            </w:r>
          </w:p>
        </w:tc>
        <w:tc>
          <w:tcPr>
            <w:tcW w:w="1600" w:type="dxa"/>
            <w:vAlign w:val="bottom"/>
          </w:tcPr>
          <w:p>
            <w:pPr>
              <w:jc w:val="right"/>
              <w:ind w:right="374"/>
              <w:spacing w:after="0"/>
              <w:rPr>
                <w:sz w:val="20"/>
                <w:szCs w:val="20"/>
                <w:color w:val="auto"/>
              </w:rPr>
            </w:pPr>
            <w:r>
              <w:rPr>
                <w:rFonts w:ascii="Arial" w:cs="Arial" w:eastAsia="Arial" w:hAnsi="Arial"/>
                <w:sz w:val="18"/>
                <w:szCs w:val="18"/>
                <w:color w:val="auto"/>
              </w:rPr>
              <w:t>306</w:t>
            </w:r>
          </w:p>
        </w:tc>
        <w:tc>
          <w:tcPr>
            <w:tcW w:w="860" w:type="dxa"/>
            <w:vAlign w:val="bottom"/>
          </w:tcPr>
          <w:p>
            <w:pPr>
              <w:jc w:val="right"/>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566"/>
        </w:trPr>
        <w:tc>
          <w:tcPr>
            <w:tcW w:w="7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Period end capitalized suspended exploratory well costs:</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16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2020</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4"/>
        </w:trPr>
        <w:tc>
          <w:tcPr>
            <w:tcW w:w="75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0" w:type="dxa"/>
            <w:vAlign w:val="bottom"/>
          </w:tcPr>
          <w:p>
            <w:pPr>
              <w:jc w:val="right"/>
              <w:ind w:right="314"/>
              <w:spacing w:after="0"/>
              <w:rPr>
                <w:sz w:val="20"/>
                <w:szCs w:val="20"/>
                <w:color w:val="auto"/>
              </w:rPr>
            </w:pPr>
            <w:r>
              <w:rPr>
                <w:rFonts w:ascii="Arial" w:cs="Arial" w:eastAsia="Arial" w:hAnsi="Arial"/>
                <w:sz w:val="14"/>
                <w:szCs w:val="14"/>
                <w:i w:val="1"/>
                <w:iCs w:val="1"/>
                <w:color w:val="auto"/>
              </w:rPr>
              <w:t>(millions of dollars)</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7580" w:type="dxa"/>
            <w:vAlign w:val="bottom"/>
          </w:tcPr>
          <w:p>
            <w:pPr>
              <w:ind w:left="20"/>
              <w:spacing w:after="0"/>
              <w:rPr>
                <w:sz w:val="20"/>
                <w:szCs w:val="20"/>
                <w:color w:val="auto"/>
              </w:rPr>
            </w:pPr>
            <w:r>
              <w:rPr>
                <w:rFonts w:ascii="Arial" w:cs="Arial" w:eastAsia="Arial" w:hAnsi="Arial"/>
                <w:sz w:val="18"/>
                <w:szCs w:val="18"/>
                <w:color w:val="auto"/>
              </w:rPr>
              <w:t>Capitalized for a period of one year or less</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420</w:t>
            </w:r>
          </w:p>
        </w:tc>
        <w:tc>
          <w:tcPr>
            <w:tcW w:w="1600" w:type="dxa"/>
            <w:vAlign w:val="bottom"/>
          </w:tcPr>
          <w:p>
            <w:pPr>
              <w:jc w:val="right"/>
              <w:ind w:right="374"/>
              <w:spacing w:after="0"/>
              <w:rPr>
                <w:sz w:val="20"/>
                <w:szCs w:val="20"/>
                <w:color w:val="auto"/>
              </w:rPr>
            </w:pPr>
            <w:r>
              <w:rPr>
                <w:rFonts w:ascii="Arial" w:cs="Arial" w:eastAsia="Arial" w:hAnsi="Arial"/>
                <w:sz w:val="18"/>
                <w:szCs w:val="18"/>
                <w:color w:val="auto"/>
              </w:rPr>
              <w:t>208</w:t>
            </w:r>
          </w:p>
        </w:tc>
        <w:tc>
          <w:tcPr>
            <w:tcW w:w="860" w:type="dxa"/>
            <w:vAlign w:val="bottom"/>
          </w:tcPr>
          <w:p>
            <w:pPr>
              <w:jc w:val="right"/>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29"/>
        </w:trPr>
        <w:tc>
          <w:tcPr>
            <w:tcW w:w="7580" w:type="dxa"/>
            <w:vAlign w:val="bottom"/>
          </w:tcPr>
          <w:p>
            <w:pPr>
              <w:ind w:left="220"/>
              <w:spacing w:after="0"/>
              <w:rPr>
                <w:sz w:val="20"/>
                <w:szCs w:val="20"/>
                <w:color w:val="auto"/>
              </w:rPr>
            </w:pPr>
            <w:r>
              <w:rPr>
                <w:rFonts w:ascii="Arial" w:cs="Arial" w:eastAsia="Arial" w:hAnsi="Arial"/>
                <w:sz w:val="18"/>
                <w:szCs w:val="18"/>
                <w:color w:val="auto"/>
              </w:rPr>
              <w:t>Capitalized for a period of between one and five years</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1,642</w:t>
            </w:r>
          </w:p>
        </w:tc>
        <w:tc>
          <w:tcPr>
            <w:tcW w:w="1600" w:type="dxa"/>
            <w:vAlign w:val="bottom"/>
          </w:tcPr>
          <w:p>
            <w:pPr>
              <w:jc w:val="right"/>
              <w:ind w:right="374"/>
              <w:spacing w:after="0"/>
              <w:rPr>
                <w:sz w:val="20"/>
                <w:szCs w:val="20"/>
                <w:color w:val="auto"/>
              </w:rPr>
            </w:pPr>
            <w:r>
              <w:rPr>
                <w:rFonts w:ascii="Arial" w:cs="Arial" w:eastAsia="Arial" w:hAnsi="Arial"/>
                <w:sz w:val="18"/>
                <w:szCs w:val="18"/>
                <w:color w:val="auto"/>
              </w:rPr>
              <w:t>1,828</w:t>
            </w:r>
          </w:p>
        </w:tc>
        <w:tc>
          <w:tcPr>
            <w:tcW w:w="860" w:type="dxa"/>
            <w:vAlign w:val="bottom"/>
          </w:tcPr>
          <w:p>
            <w:pPr>
              <w:jc w:val="right"/>
              <w:spacing w:after="0"/>
              <w:rPr>
                <w:sz w:val="20"/>
                <w:szCs w:val="20"/>
                <w:color w:val="auto"/>
              </w:rPr>
            </w:pPr>
            <w:r>
              <w:rPr>
                <w:rFonts w:ascii="Arial" w:cs="Arial" w:eastAsia="Arial" w:hAnsi="Arial"/>
                <w:sz w:val="18"/>
                <w:szCs w:val="18"/>
                <w:color w:val="auto"/>
              </w:rPr>
              <w:t>2,206</w:t>
            </w:r>
          </w:p>
        </w:tc>
        <w:tc>
          <w:tcPr>
            <w:tcW w:w="0" w:type="dxa"/>
            <w:vAlign w:val="bottom"/>
          </w:tcPr>
          <w:p>
            <w:pPr>
              <w:spacing w:after="0"/>
              <w:rPr>
                <w:sz w:val="1"/>
                <w:szCs w:val="1"/>
                <w:color w:val="auto"/>
              </w:rPr>
            </w:pPr>
          </w:p>
        </w:tc>
      </w:tr>
      <w:tr>
        <w:trPr>
          <w:trHeight w:val="229"/>
        </w:trPr>
        <w:tc>
          <w:tcPr>
            <w:tcW w:w="7580" w:type="dxa"/>
            <w:vAlign w:val="bottom"/>
          </w:tcPr>
          <w:p>
            <w:pPr>
              <w:ind w:left="220"/>
              <w:spacing w:after="0"/>
              <w:rPr>
                <w:sz w:val="20"/>
                <w:szCs w:val="20"/>
                <w:color w:val="auto"/>
              </w:rPr>
            </w:pPr>
            <w:r>
              <w:rPr>
                <w:rFonts w:ascii="Arial" w:cs="Arial" w:eastAsia="Arial" w:hAnsi="Arial"/>
                <w:sz w:val="18"/>
                <w:szCs w:val="18"/>
                <w:color w:val="auto"/>
              </w:rPr>
              <w:t>Capitalized for a period of between five and ten years</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1,657</w:t>
            </w:r>
          </w:p>
        </w:tc>
        <w:tc>
          <w:tcPr>
            <w:tcW w:w="1600" w:type="dxa"/>
            <w:vAlign w:val="bottom"/>
          </w:tcPr>
          <w:p>
            <w:pPr>
              <w:jc w:val="right"/>
              <w:ind w:right="374"/>
              <w:spacing w:after="0"/>
              <w:rPr>
                <w:sz w:val="20"/>
                <w:szCs w:val="20"/>
                <w:color w:val="auto"/>
              </w:rPr>
            </w:pPr>
            <w:r>
              <w:rPr>
                <w:rFonts w:ascii="Arial" w:cs="Arial" w:eastAsia="Arial" w:hAnsi="Arial"/>
                <w:sz w:val="18"/>
                <w:szCs w:val="18"/>
                <w:color w:val="auto"/>
              </w:rPr>
              <w:t>1,932</w:t>
            </w:r>
          </w:p>
        </w:tc>
        <w:tc>
          <w:tcPr>
            <w:tcW w:w="860" w:type="dxa"/>
            <w:vAlign w:val="bottom"/>
          </w:tcPr>
          <w:p>
            <w:pPr>
              <w:jc w:val="right"/>
              <w:spacing w:after="0"/>
              <w:rPr>
                <w:sz w:val="20"/>
                <w:szCs w:val="20"/>
                <w:color w:val="auto"/>
              </w:rPr>
            </w:pPr>
            <w:r>
              <w:rPr>
                <w:rFonts w:ascii="Arial" w:cs="Arial" w:eastAsia="Arial" w:hAnsi="Arial"/>
                <w:sz w:val="18"/>
                <w:szCs w:val="18"/>
                <w:color w:val="auto"/>
              </w:rPr>
              <w:t>1,411</w:t>
            </w:r>
          </w:p>
        </w:tc>
        <w:tc>
          <w:tcPr>
            <w:tcW w:w="0" w:type="dxa"/>
            <w:vAlign w:val="bottom"/>
          </w:tcPr>
          <w:p>
            <w:pPr>
              <w:spacing w:after="0"/>
              <w:rPr>
                <w:sz w:val="1"/>
                <w:szCs w:val="1"/>
                <w:color w:val="auto"/>
              </w:rPr>
            </w:pPr>
          </w:p>
        </w:tc>
      </w:tr>
      <w:tr>
        <w:trPr>
          <w:trHeight w:val="230"/>
        </w:trPr>
        <w:tc>
          <w:tcPr>
            <w:tcW w:w="7580" w:type="dxa"/>
            <w:vAlign w:val="bottom"/>
          </w:tcPr>
          <w:p>
            <w:pPr>
              <w:ind w:left="220"/>
              <w:spacing w:after="0"/>
              <w:rPr>
                <w:sz w:val="20"/>
                <w:szCs w:val="20"/>
                <w:color w:val="auto"/>
              </w:rPr>
            </w:pPr>
            <w:r>
              <w:rPr>
                <w:rFonts w:ascii="Arial" w:cs="Arial" w:eastAsia="Arial" w:hAnsi="Arial"/>
                <w:sz w:val="18"/>
                <w:szCs w:val="18"/>
                <w:color w:val="auto"/>
              </w:rPr>
              <w:t>Capitalized for a period of greater than ten years</w:t>
            </w:r>
          </w:p>
        </w:tc>
        <w:tc>
          <w:tcPr>
            <w:tcW w:w="12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401</w:t>
            </w:r>
          </w:p>
        </w:tc>
        <w:tc>
          <w:tcPr>
            <w:tcW w:w="1600" w:type="dxa"/>
            <w:vAlign w:val="bottom"/>
            <w:tcBorders>
              <w:bottom w:val="single" w:sz="8" w:color="auto"/>
            </w:tcBorders>
          </w:tcPr>
          <w:p>
            <w:pPr>
              <w:jc w:val="right"/>
              <w:ind w:right="374"/>
              <w:spacing w:after="0"/>
              <w:rPr>
                <w:sz w:val="20"/>
                <w:szCs w:val="20"/>
                <w:color w:val="auto"/>
              </w:rPr>
            </w:pPr>
            <w:r>
              <w:rPr>
                <w:rFonts w:ascii="Arial" w:cs="Arial" w:eastAsia="Arial" w:hAnsi="Arial"/>
                <w:sz w:val="18"/>
                <w:szCs w:val="18"/>
                <w:color w:val="auto"/>
              </w:rPr>
              <w:t>414</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23"/>
        </w:trPr>
        <w:tc>
          <w:tcPr>
            <w:tcW w:w="7580" w:type="dxa"/>
            <w:vAlign w:val="bottom"/>
          </w:tcPr>
          <w:p>
            <w:pPr>
              <w:ind w:left="20"/>
              <w:spacing w:after="0"/>
              <w:rPr>
                <w:sz w:val="20"/>
                <w:szCs w:val="20"/>
                <w:color w:val="auto"/>
              </w:rPr>
            </w:pPr>
            <w:r>
              <w:rPr>
                <w:rFonts w:ascii="Arial" w:cs="Arial" w:eastAsia="Arial" w:hAnsi="Arial"/>
                <w:sz w:val="18"/>
                <w:szCs w:val="18"/>
                <w:color w:val="auto"/>
              </w:rPr>
              <w:t>Capitalized for a period greater than one year - subtotal</w:t>
            </w:r>
          </w:p>
        </w:tc>
        <w:tc>
          <w:tcPr>
            <w:tcW w:w="12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3,700</w:t>
            </w:r>
          </w:p>
        </w:tc>
        <w:tc>
          <w:tcPr>
            <w:tcW w:w="1600" w:type="dxa"/>
            <w:vAlign w:val="bottom"/>
            <w:tcBorders>
              <w:bottom w:val="single" w:sz="8" w:color="auto"/>
            </w:tcBorders>
          </w:tcPr>
          <w:p>
            <w:pPr>
              <w:jc w:val="right"/>
              <w:ind w:right="374"/>
              <w:spacing w:after="0"/>
              <w:rPr>
                <w:sz w:val="20"/>
                <w:szCs w:val="20"/>
                <w:color w:val="auto"/>
              </w:rPr>
            </w:pPr>
            <w:r>
              <w:rPr>
                <w:rFonts w:ascii="Arial" w:cs="Arial" w:eastAsia="Arial" w:hAnsi="Arial"/>
                <w:sz w:val="18"/>
                <w:szCs w:val="18"/>
                <w:color w:val="auto"/>
              </w:rPr>
              <w:t>4,174</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4,081</w:t>
            </w:r>
          </w:p>
        </w:tc>
        <w:tc>
          <w:tcPr>
            <w:tcW w:w="0" w:type="dxa"/>
            <w:vAlign w:val="bottom"/>
          </w:tcPr>
          <w:p>
            <w:pPr>
              <w:spacing w:after="0"/>
              <w:rPr>
                <w:sz w:val="1"/>
                <w:szCs w:val="1"/>
                <w:color w:val="auto"/>
              </w:rPr>
            </w:pPr>
          </w:p>
        </w:tc>
      </w:tr>
      <w:tr>
        <w:trPr>
          <w:trHeight w:val="223"/>
        </w:trPr>
        <w:tc>
          <w:tcPr>
            <w:tcW w:w="7580" w:type="dxa"/>
            <w:vAlign w:val="bottom"/>
          </w:tcPr>
          <w:p>
            <w:pPr>
              <w:ind w:left="480"/>
              <w:spacing w:after="0"/>
              <w:rPr>
                <w:sz w:val="20"/>
                <w:szCs w:val="20"/>
                <w:color w:val="auto"/>
              </w:rPr>
            </w:pPr>
            <w:r>
              <w:rPr>
                <w:rFonts w:ascii="Arial" w:cs="Arial" w:eastAsia="Arial" w:hAnsi="Arial"/>
                <w:sz w:val="18"/>
                <w:szCs w:val="18"/>
                <w:color w:val="auto"/>
              </w:rPr>
              <w:t>Total</w:t>
            </w:r>
          </w:p>
        </w:tc>
        <w:tc>
          <w:tcPr>
            <w:tcW w:w="12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4,120</w:t>
            </w:r>
          </w:p>
        </w:tc>
        <w:tc>
          <w:tcPr>
            <w:tcW w:w="1600" w:type="dxa"/>
            <w:vAlign w:val="bottom"/>
            <w:tcBorders>
              <w:bottom w:val="single" w:sz="8" w:color="auto"/>
            </w:tcBorders>
          </w:tcPr>
          <w:p>
            <w:pPr>
              <w:jc w:val="right"/>
              <w:ind w:right="374"/>
              <w:spacing w:after="0"/>
              <w:rPr>
                <w:sz w:val="20"/>
                <w:szCs w:val="20"/>
                <w:color w:val="auto"/>
              </w:rPr>
            </w:pPr>
            <w:r>
              <w:rPr>
                <w:rFonts w:ascii="Arial" w:cs="Arial" w:eastAsia="Arial" w:hAnsi="Arial"/>
                <w:sz w:val="18"/>
                <w:szCs w:val="18"/>
                <w:color w:val="auto"/>
              </w:rPr>
              <w:t>4,382</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4,613</w:t>
            </w:r>
          </w:p>
        </w:tc>
        <w:tc>
          <w:tcPr>
            <w:tcW w:w="0" w:type="dxa"/>
            <w:vAlign w:val="bottom"/>
          </w:tcPr>
          <w:p>
            <w:pPr>
              <w:spacing w:after="0"/>
              <w:rPr>
                <w:sz w:val="1"/>
                <w:szCs w:val="1"/>
                <w:color w:val="auto"/>
              </w:rPr>
            </w:pPr>
          </w:p>
        </w:tc>
      </w:tr>
    </w:tbl>
    <w:p>
      <w:pPr>
        <w:spacing w:after="0" w:line="2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Exploration activity often involves drilling multiple wells, over a number of years, to fully evaluate a project. The table below provides a breakdown of the number of projects with only exploratory well costs capitalized for a period of one year or less and those that have had exploratory well costs capitalized for a period greater than one year.</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2021</w:t>
            </w:r>
          </w:p>
        </w:tc>
        <w:tc>
          <w:tcPr>
            <w:tcW w:w="126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2020</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75"/>
        </w:trPr>
        <w:tc>
          <w:tcPr>
            <w:tcW w:w="7580" w:type="dxa"/>
            <w:vAlign w:val="bottom"/>
          </w:tcPr>
          <w:p>
            <w:pPr>
              <w:ind w:left="20"/>
              <w:spacing w:after="0" w:line="175" w:lineRule="exact"/>
              <w:rPr>
                <w:sz w:val="20"/>
                <w:szCs w:val="20"/>
                <w:color w:val="auto"/>
              </w:rPr>
            </w:pPr>
            <w:r>
              <w:rPr>
                <w:rFonts w:ascii="Arial" w:cs="Arial" w:eastAsia="Arial" w:hAnsi="Arial"/>
                <w:sz w:val="18"/>
                <w:szCs w:val="18"/>
                <w:color w:val="auto"/>
              </w:rPr>
              <w:t>Number of projects that only have exploratory well costs capitalized for a</w:t>
            </w:r>
          </w:p>
        </w:tc>
        <w:tc>
          <w:tcPr>
            <w:tcW w:w="1620" w:type="dxa"/>
            <w:vAlign w:val="bottom"/>
            <w:vMerge w:val="restart"/>
          </w:tcPr>
          <w:p>
            <w:pPr>
              <w:jc w:val="right"/>
              <w:ind w:right="455"/>
              <w:spacing w:after="0"/>
              <w:rPr>
                <w:sz w:val="20"/>
                <w:szCs w:val="20"/>
                <w:color w:val="auto"/>
              </w:rPr>
            </w:pPr>
            <w:r>
              <w:rPr>
                <w:rFonts w:ascii="Arial" w:cs="Arial" w:eastAsia="Arial" w:hAnsi="Arial"/>
                <w:sz w:val="18"/>
                <w:szCs w:val="18"/>
                <w:color w:val="auto"/>
              </w:rPr>
              <w:t>4</w:t>
            </w:r>
          </w:p>
        </w:tc>
        <w:tc>
          <w:tcPr>
            <w:tcW w:w="1260" w:type="dxa"/>
            <w:vAlign w:val="bottom"/>
            <w:vMerge w:val="restart"/>
          </w:tcPr>
          <w:p>
            <w:pPr>
              <w:jc w:val="right"/>
              <w:ind w:right="455"/>
              <w:spacing w:after="0"/>
              <w:rPr>
                <w:sz w:val="20"/>
                <w:szCs w:val="20"/>
                <w:color w:val="auto"/>
              </w:rPr>
            </w:pPr>
            <w:r>
              <w:rPr>
                <w:rFonts w:ascii="Arial" w:cs="Arial" w:eastAsia="Arial" w:hAnsi="Arial"/>
                <w:sz w:val="18"/>
                <w:szCs w:val="18"/>
                <w:color w:val="auto"/>
              </w:rPr>
              <w:t>3</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7580" w:type="dxa"/>
            <w:vAlign w:val="bottom"/>
          </w:tcPr>
          <w:p>
            <w:pPr>
              <w:ind w:left="260"/>
              <w:spacing w:after="0"/>
              <w:rPr>
                <w:sz w:val="20"/>
                <w:szCs w:val="20"/>
                <w:color w:val="auto"/>
              </w:rPr>
            </w:pPr>
            <w:r>
              <w:rPr>
                <w:rFonts w:ascii="Arial" w:cs="Arial" w:eastAsia="Arial" w:hAnsi="Arial"/>
                <w:sz w:val="18"/>
                <w:szCs w:val="18"/>
                <w:color w:val="auto"/>
              </w:rPr>
              <w:t>period of one year or less</w:t>
            </w:r>
          </w:p>
        </w:tc>
        <w:tc>
          <w:tcPr>
            <w:tcW w:w="1620" w:type="dxa"/>
            <w:vAlign w:val="bottom"/>
            <w:vMerge w:val="continue"/>
          </w:tcPr>
          <w:p>
            <w:pPr>
              <w:spacing w:after="0"/>
              <w:rPr>
                <w:sz w:val="19"/>
                <w:szCs w:val="19"/>
                <w:color w:val="auto"/>
              </w:rPr>
            </w:pPr>
          </w:p>
        </w:tc>
        <w:tc>
          <w:tcPr>
            <w:tcW w:w="1260" w:type="dxa"/>
            <w:vAlign w:val="bottom"/>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7580" w:type="dxa"/>
            <w:vAlign w:val="bottom"/>
          </w:tcPr>
          <w:p>
            <w:pPr>
              <w:ind w:left="20"/>
              <w:spacing w:after="0" w:line="176" w:lineRule="exact"/>
              <w:rPr>
                <w:sz w:val="20"/>
                <w:szCs w:val="20"/>
                <w:color w:val="auto"/>
              </w:rPr>
            </w:pPr>
            <w:r>
              <w:rPr>
                <w:rFonts w:ascii="Arial" w:cs="Arial" w:eastAsia="Arial" w:hAnsi="Arial"/>
                <w:sz w:val="18"/>
                <w:szCs w:val="18"/>
                <w:color w:val="auto"/>
              </w:rPr>
              <w:t>Number of projects that have exploratory well costs capitalized for a period</w:t>
            </w:r>
          </w:p>
        </w:tc>
        <w:tc>
          <w:tcPr>
            <w:tcW w:w="1620" w:type="dxa"/>
            <w:vAlign w:val="bottom"/>
            <w:vMerge w:val="restart"/>
          </w:tcPr>
          <w:p>
            <w:pPr>
              <w:jc w:val="right"/>
              <w:ind w:right="455"/>
              <w:spacing w:after="0"/>
              <w:rPr>
                <w:sz w:val="20"/>
                <w:szCs w:val="20"/>
                <w:color w:val="auto"/>
              </w:rPr>
            </w:pPr>
            <w:r>
              <w:rPr>
                <w:rFonts w:ascii="Arial" w:cs="Arial" w:eastAsia="Arial" w:hAnsi="Arial"/>
                <w:sz w:val="18"/>
                <w:szCs w:val="18"/>
                <w:color w:val="auto"/>
              </w:rPr>
              <w:t>30</w:t>
            </w:r>
          </w:p>
        </w:tc>
        <w:tc>
          <w:tcPr>
            <w:tcW w:w="1260" w:type="dxa"/>
            <w:vAlign w:val="bottom"/>
            <w:vMerge w:val="restart"/>
          </w:tcPr>
          <w:p>
            <w:pPr>
              <w:jc w:val="right"/>
              <w:ind w:right="455"/>
              <w:spacing w:after="0"/>
              <w:rPr>
                <w:sz w:val="20"/>
                <w:szCs w:val="20"/>
                <w:color w:val="auto"/>
              </w:rPr>
            </w:pPr>
            <w:r>
              <w:rPr>
                <w:rFonts w:ascii="Arial" w:cs="Arial" w:eastAsia="Arial" w:hAnsi="Arial"/>
                <w:sz w:val="18"/>
                <w:szCs w:val="18"/>
                <w:color w:val="auto"/>
              </w:rPr>
              <w:t>34</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5"/>
        </w:trPr>
        <w:tc>
          <w:tcPr>
            <w:tcW w:w="7580" w:type="dxa"/>
            <w:vAlign w:val="bottom"/>
          </w:tcPr>
          <w:p>
            <w:pPr>
              <w:ind w:left="260"/>
              <w:spacing w:after="0"/>
              <w:rPr>
                <w:sz w:val="20"/>
                <w:szCs w:val="20"/>
                <w:color w:val="auto"/>
              </w:rPr>
            </w:pPr>
            <w:r>
              <w:rPr>
                <w:rFonts w:ascii="Arial" w:cs="Arial" w:eastAsia="Arial" w:hAnsi="Arial"/>
                <w:sz w:val="18"/>
                <w:szCs w:val="18"/>
                <w:color w:val="auto"/>
              </w:rPr>
              <w:t>greater than one year</w:t>
            </w:r>
          </w:p>
        </w:tc>
        <w:tc>
          <w:tcPr>
            <w:tcW w:w="1620" w:type="dxa"/>
            <w:vAlign w:val="bottom"/>
            <w:tcBorders>
              <w:bottom w:val="single" w:sz="8" w:color="auto"/>
            </w:tcBorders>
            <w:vMerge w:val="continue"/>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80" w:type="dxa"/>
            <w:vAlign w:val="bottom"/>
          </w:tcPr>
          <w:p>
            <w:pPr>
              <w:ind w:left="480"/>
              <w:spacing w:after="0"/>
              <w:rPr>
                <w:sz w:val="20"/>
                <w:szCs w:val="20"/>
                <w:color w:val="auto"/>
              </w:rPr>
            </w:pPr>
            <w:r>
              <w:rPr>
                <w:rFonts w:ascii="Arial" w:cs="Arial" w:eastAsia="Arial" w:hAnsi="Arial"/>
                <w:sz w:val="18"/>
                <w:szCs w:val="18"/>
                <w:color w:val="auto"/>
              </w:rPr>
              <w:t>Total</w:t>
            </w:r>
          </w:p>
        </w:tc>
        <w:tc>
          <w:tcPr>
            <w:tcW w:w="1620" w:type="dxa"/>
            <w:vAlign w:val="bottom"/>
            <w:tcBorders>
              <w:bottom w:val="single" w:sz="8" w:color="auto"/>
            </w:tcBorders>
          </w:tcPr>
          <w:p>
            <w:pPr>
              <w:jc w:val="right"/>
              <w:ind w:right="455"/>
              <w:spacing w:after="0"/>
              <w:rPr>
                <w:sz w:val="20"/>
                <w:szCs w:val="20"/>
                <w:color w:val="auto"/>
              </w:rPr>
            </w:pPr>
            <w:r>
              <w:rPr>
                <w:rFonts w:ascii="Arial" w:cs="Arial" w:eastAsia="Arial" w:hAnsi="Arial"/>
                <w:sz w:val="18"/>
                <w:szCs w:val="18"/>
                <w:color w:val="auto"/>
              </w:rPr>
              <w:t>34</w:t>
            </w:r>
          </w:p>
        </w:tc>
        <w:tc>
          <w:tcPr>
            <w:tcW w:w="1260" w:type="dxa"/>
            <w:vAlign w:val="bottom"/>
            <w:tcBorders>
              <w:bottom w:val="single" w:sz="8" w:color="auto"/>
            </w:tcBorders>
          </w:tcPr>
          <w:p>
            <w:pPr>
              <w:jc w:val="right"/>
              <w:ind w:right="455"/>
              <w:spacing w:after="0"/>
              <w:rPr>
                <w:sz w:val="20"/>
                <w:szCs w:val="20"/>
                <w:color w:val="auto"/>
              </w:rPr>
            </w:pPr>
            <w:r>
              <w:rPr>
                <w:rFonts w:ascii="Arial" w:cs="Arial" w:eastAsia="Arial" w:hAnsi="Arial"/>
                <w:sz w:val="18"/>
                <w:szCs w:val="18"/>
                <w:color w:val="auto"/>
              </w:rPr>
              <w:t>37</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bl>
    <w:p>
      <w:pPr>
        <w:spacing w:after="0" w:line="2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Of the 30 projects that have exploratory well costs capitalized for a period greater than one year as of December 31, 2021, 13 projects have drilling in the preceding year or exploratory activity planned in the next two years, while the remaining 17 projects are those with completed exploratory activity progressing toward development.</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additional detail for those 17 projects, which total $2,874 million.</w:t>
      </w:r>
    </w:p>
    <w:p>
      <w:pPr>
        <w:spacing w:after="0" w:line="368"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2060" w:type="dxa"/>
            <w:vAlign w:val="bottom"/>
            <w:tcBorders>
              <w:top w:val="single" w:sz="8" w:color="auto"/>
              <w:left w:val="single" w:sz="8" w:color="auto"/>
            </w:tcBorders>
            <w:vMerge w:val="restart"/>
          </w:tcPr>
          <w:p>
            <w:pPr>
              <w:ind w:left="700"/>
              <w:spacing w:after="0"/>
              <w:rPr>
                <w:sz w:val="20"/>
                <w:szCs w:val="20"/>
                <w:color w:val="auto"/>
              </w:rPr>
            </w:pPr>
            <w:r>
              <w:rPr>
                <w:rFonts w:ascii="Arial" w:cs="Arial" w:eastAsia="Arial" w:hAnsi="Arial"/>
                <w:sz w:val="18"/>
                <w:szCs w:val="18"/>
                <w:color w:val="auto"/>
              </w:rPr>
              <w:t>Country/Project</w:t>
            </w:r>
          </w:p>
        </w:tc>
        <w:tc>
          <w:tcPr>
            <w:tcW w:w="520" w:type="dxa"/>
            <w:vAlign w:val="bottom"/>
            <w:tcBorders>
              <w:top w:val="single" w:sz="8" w:color="auto"/>
              <w:right w:val="single" w:sz="8" w:color="auto"/>
            </w:tcBorders>
          </w:tcPr>
          <w:p>
            <w:pPr>
              <w:spacing w:after="0"/>
              <w:rPr>
                <w:sz w:val="16"/>
                <w:szCs w:val="16"/>
                <w:color w:val="auto"/>
              </w:rPr>
            </w:pPr>
          </w:p>
        </w:tc>
        <w:tc>
          <w:tcPr>
            <w:tcW w:w="900" w:type="dxa"/>
            <w:vAlign w:val="bottom"/>
            <w:tcBorders>
              <w:top w:val="single" w:sz="8" w:color="auto"/>
              <w:right w:val="single" w:sz="8" w:color="auto"/>
            </w:tcBorders>
          </w:tcPr>
          <w:p>
            <w:pPr>
              <w:ind w:left="120"/>
              <w:spacing w:after="0" w:line="189" w:lineRule="exact"/>
              <w:rPr>
                <w:sz w:val="20"/>
                <w:szCs w:val="20"/>
                <w:color w:val="auto"/>
              </w:rPr>
            </w:pPr>
            <w:r>
              <w:rPr>
                <w:rFonts w:ascii="Arial" w:cs="Arial" w:eastAsia="Arial" w:hAnsi="Arial"/>
                <w:sz w:val="18"/>
                <w:szCs w:val="18"/>
                <w:color w:val="auto"/>
              </w:rPr>
              <w:t>Dec. 31,</w:t>
            </w:r>
          </w:p>
        </w:tc>
        <w:tc>
          <w:tcPr>
            <w:tcW w:w="1360" w:type="dxa"/>
            <w:vAlign w:val="bottom"/>
            <w:tcBorders>
              <w:top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87"/>
              </w:rPr>
              <w:t>Years Wells</w:t>
            </w:r>
          </w:p>
        </w:tc>
        <w:tc>
          <w:tcPr>
            <w:tcW w:w="6260" w:type="dxa"/>
            <w:vAlign w:val="bottom"/>
            <w:tcBorders>
              <w:top w:val="single" w:sz="8" w:color="auto"/>
              <w:right w:val="single" w:sz="8" w:color="auto"/>
            </w:tcBorders>
            <w:vMerge w:val="restart"/>
          </w:tcPr>
          <w:p>
            <w:pPr>
              <w:ind w:left="2760"/>
              <w:spacing w:after="0"/>
              <w:rPr>
                <w:sz w:val="20"/>
                <w:szCs w:val="20"/>
                <w:color w:val="auto"/>
              </w:rPr>
            </w:pPr>
            <w:r>
              <w:rPr>
                <w:rFonts w:ascii="Arial" w:cs="Arial" w:eastAsia="Arial" w:hAnsi="Arial"/>
                <w:sz w:val="18"/>
                <w:szCs w:val="18"/>
                <w:color w:val="auto"/>
              </w:rPr>
              <w:t>Comment</w:t>
            </w:r>
          </w:p>
        </w:tc>
        <w:tc>
          <w:tcPr>
            <w:tcW w:w="0" w:type="dxa"/>
            <w:vAlign w:val="bottom"/>
          </w:tcPr>
          <w:p>
            <w:pPr>
              <w:spacing w:after="0"/>
              <w:rPr>
                <w:sz w:val="1"/>
                <w:szCs w:val="1"/>
                <w:color w:val="auto"/>
              </w:rPr>
            </w:pPr>
          </w:p>
        </w:tc>
      </w:tr>
      <w:tr>
        <w:trPr>
          <w:trHeight w:val="229"/>
        </w:trPr>
        <w:tc>
          <w:tcPr>
            <w:tcW w:w="2060" w:type="dxa"/>
            <w:vAlign w:val="bottom"/>
            <w:tcBorders>
              <w:left w:val="single" w:sz="8" w:color="auto"/>
              <w:bottom w:val="single" w:sz="8" w:color="auto"/>
            </w:tcBorders>
            <w:vMerge w:val="continue"/>
          </w:tcPr>
          <w:p>
            <w:pPr>
              <w:spacing w:after="0"/>
              <w:rPr>
                <w:sz w:val="19"/>
                <w:szCs w:val="19"/>
                <w:color w:val="auto"/>
              </w:rPr>
            </w:pPr>
          </w:p>
        </w:tc>
        <w:tc>
          <w:tcPr>
            <w:tcW w:w="52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2021</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Drilled / Acquired</w:t>
            </w:r>
          </w:p>
        </w:tc>
        <w:tc>
          <w:tcPr>
            <w:tcW w:w="626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60" w:type="dxa"/>
            <w:vAlign w:val="bottom"/>
            <w:tcBorders>
              <w:left w:val="single" w:sz="8" w:color="auto"/>
              <w:bottom w:val="single" w:sz="8" w:color="auto"/>
            </w:tcBorders>
          </w:tcPr>
          <w:p>
            <w:pPr>
              <w:spacing w:after="0"/>
              <w:rPr>
                <w:sz w:val="19"/>
                <w:szCs w:val="19"/>
                <w:color w:val="auto"/>
              </w:rPr>
            </w:pPr>
          </w:p>
        </w:tc>
        <w:tc>
          <w:tcPr>
            <w:tcW w:w="278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i w:val="1"/>
                <w:iCs w:val="1"/>
                <w:color w:val="auto"/>
              </w:rPr>
              <w:t>(millions of dollars)</w:t>
            </w:r>
          </w:p>
        </w:tc>
        <w:tc>
          <w:tcPr>
            <w:tcW w:w="62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Argentina</w:t>
            </w: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62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 La Invernada</w:t>
            </w:r>
          </w:p>
        </w:tc>
        <w:tc>
          <w:tcPr>
            <w:tcW w:w="52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72</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2014</w:t>
            </w:r>
          </w:p>
        </w:tc>
        <w:tc>
          <w:tcPr>
            <w:tcW w:w="6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Evaluating development plan to tie into planned infrastructure.</w:t>
            </w:r>
          </w:p>
        </w:tc>
        <w:tc>
          <w:tcPr>
            <w:tcW w:w="0" w:type="dxa"/>
            <w:vAlign w:val="bottom"/>
          </w:tcPr>
          <w:p>
            <w:pPr>
              <w:spacing w:after="0"/>
              <w:rPr>
                <w:sz w:val="1"/>
                <w:szCs w:val="1"/>
                <w:color w:val="auto"/>
              </w:rPr>
            </w:pPr>
          </w:p>
        </w:tc>
      </w:tr>
      <w:tr>
        <w:trPr>
          <w:trHeight w:val="223"/>
        </w:trPr>
        <w:tc>
          <w:tcPr>
            <w:tcW w:w="20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Australia</w:t>
            </w: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62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 Gorgon Area Ullage</w:t>
            </w:r>
          </w:p>
        </w:tc>
        <w:tc>
          <w:tcPr>
            <w:tcW w:w="52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327</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1994 - 2015</w:t>
            </w:r>
          </w:p>
        </w:tc>
        <w:tc>
          <w:tcPr>
            <w:tcW w:w="6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Evaluating development plans to tie into existing LNG facilities.</w:t>
            </w:r>
          </w:p>
        </w:tc>
        <w:tc>
          <w:tcPr>
            <w:tcW w:w="0" w:type="dxa"/>
            <w:vAlign w:val="bottom"/>
          </w:tcPr>
          <w:p>
            <w:pPr>
              <w:spacing w:after="0"/>
              <w:rPr>
                <w:sz w:val="1"/>
                <w:szCs w:val="1"/>
                <w:color w:val="auto"/>
              </w:rPr>
            </w:pPr>
          </w:p>
        </w:tc>
      </w:tr>
      <w:tr>
        <w:trPr>
          <w:trHeight w:val="223"/>
        </w:trPr>
        <w:tc>
          <w:tcPr>
            <w:tcW w:w="20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Canada</w:t>
            </w: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62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 Hibernia North</w:t>
            </w:r>
          </w:p>
        </w:tc>
        <w:tc>
          <w:tcPr>
            <w:tcW w:w="52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26</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2019</w:t>
            </w:r>
          </w:p>
        </w:tc>
        <w:tc>
          <w:tcPr>
            <w:tcW w:w="6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Awaiting capacity in existing/planned infrastructure.</w:t>
            </w:r>
          </w:p>
        </w:tc>
        <w:tc>
          <w:tcPr>
            <w:tcW w:w="0" w:type="dxa"/>
            <w:vAlign w:val="bottom"/>
          </w:tcPr>
          <w:p>
            <w:pPr>
              <w:spacing w:after="0"/>
              <w:rPr>
                <w:sz w:val="1"/>
                <w:szCs w:val="1"/>
                <w:color w:val="auto"/>
              </w:rPr>
            </w:pPr>
          </w:p>
        </w:tc>
      </w:tr>
      <w:tr>
        <w:trPr>
          <w:trHeight w:val="223"/>
        </w:trPr>
        <w:tc>
          <w:tcPr>
            <w:tcW w:w="20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Guyana</w:t>
            </w: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62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 Yellowtail</w:t>
            </w:r>
          </w:p>
        </w:tc>
        <w:tc>
          <w:tcPr>
            <w:tcW w:w="52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138</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2019 - 2020</w:t>
            </w:r>
          </w:p>
        </w:tc>
        <w:tc>
          <w:tcPr>
            <w:tcW w:w="6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Continuing discussions with the government regarding development plan.</w:t>
            </w:r>
          </w:p>
        </w:tc>
        <w:tc>
          <w:tcPr>
            <w:tcW w:w="0" w:type="dxa"/>
            <w:vAlign w:val="bottom"/>
          </w:tcPr>
          <w:p>
            <w:pPr>
              <w:spacing w:after="0"/>
              <w:rPr>
                <w:sz w:val="1"/>
                <w:szCs w:val="1"/>
                <w:color w:val="auto"/>
              </w:rPr>
            </w:pPr>
          </w:p>
        </w:tc>
      </w:tr>
      <w:tr>
        <w:trPr>
          <w:trHeight w:val="223"/>
        </w:trPr>
        <w:tc>
          <w:tcPr>
            <w:tcW w:w="20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Kazakhstan</w:t>
            </w: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62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060" w:type="dxa"/>
            <w:vAlign w:val="bottom"/>
            <w:tcBorders>
              <w:left w:val="single" w:sz="8" w:color="auto"/>
            </w:tcBorders>
          </w:tcPr>
          <w:p>
            <w:pPr>
              <w:ind w:left="40"/>
              <w:spacing w:after="0" w:line="169" w:lineRule="exact"/>
              <w:rPr>
                <w:sz w:val="20"/>
                <w:szCs w:val="20"/>
                <w:color w:val="auto"/>
              </w:rPr>
            </w:pPr>
            <w:r>
              <w:rPr>
                <w:rFonts w:ascii="Arial" w:cs="Arial" w:eastAsia="Arial" w:hAnsi="Arial"/>
                <w:sz w:val="18"/>
                <w:szCs w:val="18"/>
                <w:color w:val="auto"/>
              </w:rPr>
              <w:t>– Kairan</w:t>
            </w:r>
          </w:p>
        </w:tc>
        <w:tc>
          <w:tcPr>
            <w:tcW w:w="520" w:type="dxa"/>
            <w:vAlign w:val="bottom"/>
            <w:tcBorders>
              <w:right w:val="single" w:sz="8" w:color="auto"/>
            </w:tcBorders>
          </w:tcPr>
          <w:p>
            <w:pPr>
              <w:spacing w:after="0"/>
              <w:rPr>
                <w:sz w:val="14"/>
                <w:szCs w:val="14"/>
                <w:color w:val="auto"/>
              </w:rPr>
            </w:pPr>
          </w:p>
        </w:tc>
        <w:tc>
          <w:tcPr>
            <w:tcW w:w="90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89"/>
              </w:rPr>
              <w:t>53</w:t>
            </w:r>
          </w:p>
        </w:tc>
        <w:tc>
          <w:tcPr>
            <w:tcW w:w="136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91"/>
              </w:rPr>
              <w:t>2004 - 2007</w:t>
            </w:r>
          </w:p>
        </w:tc>
        <w:tc>
          <w:tcPr>
            <w:tcW w:w="626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5"/>
              </w:rPr>
              <w:t>Evaluating commercialization and field development alternatives, while continuing</w:t>
            </w:r>
          </w:p>
        </w:tc>
        <w:tc>
          <w:tcPr>
            <w:tcW w:w="0" w:type="dxa"/>
            <w:vAlign w:val="bottom"/>
          </w:tcPr>
          <w:p>
            <w:pPr>
              <w:spacing w:after="0"/>
              <w:rPr>
                <w:sz w:val="1"/>
                <w:szCs w:val="1"/>
                <w:color w:val="auto"/>
              </w:rPr>
            </w:pPr>
          </w:p>
        </w:tc>
      </w:tr>
      <w:tr>
        <w:trPr>
          <w:trHeight w:val="229"/>
        </w:trPr>
        <w:tc>
          <w:tcPr>
            <w:tcW w:w="2060" w:type="dxa"/>
            <w:vAlign w:val="bottom"/>
            <w:tcBorders>
              <w:left w:val="single" w:sz="8" w:color="auto"/>
              <w:bottom w:val="single" w:sz="8" w:color="auto"/>
            </w:tcBorders>
          </w:tcPr>
          <w:p>
            <w:pPr>
              <w:spacing w:after="0"/>
              <w:rPr>
                <w:sz w:val="19"/>
                <w:szCs w:val="19"/>
                <w:color w:val="auto"/>
              </w:rPr>
            </w:pPr>
          </w:p>
        </w:tc>
        <w:tc>
          <w:tcPr>
            <w:tcW w:w="52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6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discussions with the government regarding the development plan.</w:t>
            </w:r>
          </w:p>
        </w:tc>
        <w:tc>
          <w:tcPr>
            <w:tcW w:w="0" w:type="dxa"/>
            <w:vAlign w:val="bottom"/>
          </w:tcPr>
          <w:p>
            <w:pPr>
              <w:spacing w:after="0"/>
              <w:rPr>
                <w:sz w:val="1"/>
                <w:szCs w:val="1"/>
                <w:color w:val="auto"/>
              </w:rPr>
            </w:pPr>
          </w:p>
        </w:tc>
      </w:tr>
      <w:tr>
        <w:trPr>
          <w:trHeight w:val="223"/>
        </w:trPr>
        <w:tc>
          <w:tcPr>
            <w:tcW w:w="20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Mozambique</w:t>
            </w: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62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060" w:type="dxa"/>
            <w:vAlign w:val="bottom"/>
            <w:tcBorders>
              <w:left w:val="single" w:sz="8" w:color="auto"/>
            </w:tcBorders>
          </w:tcPr>
          <w:p>
            <w:pPr>
              <w:ind w:left="40"/>
              <w:spacing w:after="0" w:line="169" w:lineRule="exact"/>
              <w:rPr>
                <w:sz w:val="20"/>
                <w:szCs w:val="20"/>
                <w:color w:val="auto"/>
              </w:rPr>
            </w:pPr>
            <w:r>
              <w:rPr>
                <w:rFonts w:ascii="Arial" w:cs="Arial" w:eastAsia="Arial" w:hAnsi="Arial"/>
                <w:sz w:val="18"/>
                <w:szCs w:val="18"/>
                <w:color w:val="auto"/>
              </w:rPr>
              <w:t>– Rovuma LNG Future</w:t>
            </w:r>
          </w:p>
        </w:tc>
        <w:tc>
          <w:tcPr>
            <w:tcW w:w="520" w:type="dxa"/>
            <w:vAlign w:val="bottom"/>
            <w:tcBorders>
              <w:right w:val="single" w:sz="8" w:color="auto"/>
            </w:tcBorders>
          </w:tcPr>
          <w:p>
            <w:pPr>
              <w:spacing w:after="0"/>
              <w:rPr>
                <w:sz w:val="14"/>
                <w:szCs w:val="14"/>
                <w:color w:val="auto"/>
              </w:rPr>
            </w:pPr>
          </w:p>
        </w:tc>
        <w:tc>
          <w:tcPr>
            <w:tcW w:w="90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93"/>
              </w:rPr>
              <w:t>120</w:t>
            </w:r>
          </w:p>
        </w:tc>
        <w:tc>
          <w:tcPr>
            <w:tcW w:w="136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89"/>
              </w:rPr>
              <w:t>2017</w:t>
            </w:r>
          </w:p>
        </w:tc>
        <w:tc>
          <w:tcPr>
            <w:tcW w:w="626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rPr>
              <w:t>Evaluating/progressing development plan to tie into planned LNG facilities.</w:t>
            </w:r>
          </w:p>
        </w:tc>
        <w:tc>
          <w:tcPr>
            <w:tcW w:w="0" w:type="dxa"/>
            <w:vAlign w:val="bottom"/>
          </w:tcPr>
          <w:p>
            <w:pPr>
              <w:spacing w:after="0"/>
              <w:rPr>
                <w:sz w:val="1"/>
                <w:szCs w:val="1"/>
                <w:color w:val="auto"/>
              </w:rPr>
            </w:pPr>
          </w:p>
        </w:tc>
      </w:tr>
      <w:tr>
        <w:trPr>
          <w:trHeight w:val="230"/>
        </w:trPr>
        <w:tc>
          <w:tcPr>
            <w:tcW w:w="2060" w:type="dxa"/>
            <w:vAlign w:val="bottom"/>
            <w:tcBorders>
              <w:left w:val="single" w:sz="8" w:color="auto"/>
              <w:bottom w:val="single" w:sz="8" w:color="auto"/>
            </w:tcBorders>
          </w:tcPr>
          <w:p>
            <w:pPr>
              <w:ind w:left="360"/>
              <w:spacing w:after="0"/>
              <w:rPr>
                <w:sz w:val="20"/>
                <w:szCs w:val="20"/>
                <w:color w:val="auto"/>
              </w:rPr>
            </w:pPr>
            <w:r>
              <w:rPr>
                <w:rFonts w:ascii="Arial" w:cs="Arial" w:eastAsia="Arial" w:hAnsi="Arial"/>
                <w:sz w:val="18"/>
                <w:szCs w:val="18"/>
                <w:color w:val="auto"/>
              </w:rPr>
              <w:t>Non-Straddling Train</w:t>
            </w:r>
          </w:p>
        </w:tc>
        <w:tc>
          <w:tcPr>
            <w:tcW w:w="52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62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 Rovuma LNG Phase 1</w:t>
            </w:r>
          </w:p>
        </w:tc>
        <w:tc>
          <w:tcPr>
            <w:tcW w:w="52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150</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2017</w:t>
            </w:r>
          </w:p>
        </w:tc>
        <w:tc>
          <w:tcPr>
            <w:tcW w:w="6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Progressing development plan to tie into planned LNG facilities.</w:t>
            </w:r>
          </w:p>
        </w:tc>
        <w:tc>
          <w:tcPr>
            <w:tcW w:w="0" w:type="dxa"/>
            <w:vAlign w:val="bottom"/>
          </w:tcPr>
          <w:p>
            <w:pPr>
              <w:spacing w:after="0"/>
              <w:rPr>
                <w:sz w:val="1"/>
                <w:szCs w:val="1"/>
                <w:color w:val="auto"/>
              </w:rPr>
            </w:pPr>
          </w:p>
        </w:tc>
      </w:tr>
      <w:tr>
        <w:trPr>
          <w:trHeight w:val="169"/>
        </w:trPr>
        <w:tc>
          <w:tcPr>
            <w:tcW w:w="2060" w:type="dxa"/>
            <w:vAlign w:val="bottom"/>
            <w:tcBorders>
              <w:left w:val="single" w:sz="8" w:color="auto"/>
            </w:tcBorders>
          </w:tcPr>
          <w:p>
            <w:pPr>
              <w:ind w:left="40"/>
              <w:spacing w:after="0" w:line="169" w:lineRule="exact"/>
              <w:rPr>
                <w:sz w:val="20"/>
                <w:szCs w:val="20"/>
                <w:color w:val="auto"/>
              </w:rPr>
            </w:pPr>
            <w:r>
              <w:rPr>
                <w:rFonts w:ascii="Arial" w:cs="Arial" w:eastAsia="Arial" w:hAnsi="Arial"/>
                <w:sz w:val="18"/>
                <w:szCs w:val="18"/>
                <w:color w:val="auto"/>
              </w:rPr>
              <w:t>– Rovuma LNG Unitized</w:t>
            </w:r>
          </w:p>
        </w:tc>
        <w:tc>
          <w:tcPr>
            <w:tcW w:w="520" w:type="dxa"/>
            <w:vAlign w:val="bottom"/>
            <w:tcBorders>
              <w:right w:val="single" w:sz="8" w:color="auto"/>
            </w:tcBorders>
          </w:tcPr>
          <w:p>
            <w:pPr>
              <w:spacing w:after="0"/>
              <w:rPr>
                <w:sz w:val="14"/>
                <w:szCs w:val="14"/>
                <w:color w:val="auto"/>
              </w:rPr>
            </w:pPr>
          </w:p>
        </w:tc>
        <w:tc>
          <w:tcPr>
            <w:tcW w:w="90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89"/>
              </w:rPr>
              <w:t>35</w:t>
            </w:r>
          </w:p>
        </w:tc>
        <w:tc>
          <w:tcPr>
            <w:tcW w:w="136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89"/>
              </w:rPr>
              <w:t>2017</w:t>
            </w:r>
          </w:p>
        </w:tc>
        <w:tc>
          <w:tcPr>
            <w:tcW w:w="626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rPr>
              <w:t>Evaluating/progressing development plan to tie into planned LNG facilities.</w:t>
            </w:r>
          </w:p>
        </w:tc>
        <w:tc>
          <w:tcPr>
            <w:tcW w:w="0" w:type="dxa"/>
            <w:vAlign w:val="bottom"/>
          </w:tcPr>
          <w:p>
            <w:pPr>
              <w:spacing w:after="0"/>
              <w:rPr>
                <w:sz w:val="1"/>
                <w:szCs w:val="1"/>
                <w:color w:val="auto"/>
              </w:rPr>
            </w:pPr>
          </w:p>
        </w:tc>
      </w:tr>
      <w:tr>
        <w:trPr>
          <w:trHeight w:val="229"/>
        </w:trPr>
        <w:tc>
          <w:tcPr>
            <w:tcW w:w="2060" w:type="dxa"/>
            <w:vAlign w:val="bottom"/>
            <w:tcBorders>
              <w:left w:val="single" w:sz="8" w:color="auto"/>
              <w:bottom w:val="single" w:sz="8" w:color="auto"/>
            </w:tcBorders>
          </w:tcPr>
          <w:p>
            <w:pPr>
              <w:ind w:left="360"/>
              <w:spacing w:after="0"/>
              <w:rPr>
                <w:sz w:val="20"/>
                <w:szCs w:val="20"/>
                <w:color w:val="auto"/>
              </w:rPr>
            </w:pPr>
            <w:r>
              <w:rPr>
                <w:rFonts w:ascii="Arial" w:cs="Arial" w:eastAsia="Arial" w:hAnsi="Arial"/>
                <w:sz w:val="18"/>
                <w:szCs w:val="18"/>
                <w:color w:val="auto"/>
              </w:rPr>
              <w:t>Trains</w:t>
            </w:r>
          </w:p>
        </w:tc>
        <w:tc>
          <w:tcPr>
            <w:tcW w:w="52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62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Nigeria</w:t>
            </w: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62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060" w:type="dxa"/>
            <w:vAlign w:val="bottom"/>
            <w:tcBorders>
              <w:left w:val="single" w:sz="8" w:color="auto"/>
            </w:tcBorders>
          </w:tcPr>
          <w:p>
            <w:pPr>
              <w:ind w:left="40"/>
              <w:spacing w:after="0" w:line="169" w:lineRule="exact"/>
              <w:rPr>
                <w:sz w:val="20"/>
                <w:szCs w:val="20"/>
                <w:color w:val="auto"/>
              </w:rPr>
            </w:pPr>
            <w:r>
              <w:rPr>
                <w:rFonts w:ascii="Arial" w:cs="Arial" w:eastAsia="Arial" w:hAnsi="Arial"/>
                <w:sz w:val="18"/>
                <w:szCs w:val="18"/>
                <w:color w:val="auto"/>
              </w:rPr>
              <w:t>– Bonga North</w:t>
            </w:r>
          </w:p>
        </w:tc>
        <w:tc>
          <w:tcPr>
            <w:tcW w:w="520" w:type="dxa"/>
            <w:vAlign w:val="bottom"/>
            <w:tcBorders>
              <w:right w:val="single" w:sz="8" w:color="auto"/>
            </w:tcBorders>
          </w:tcPr>
          <w:p>
            <w:pPr>
              <w:spacing w:after="0"/>
              <w:rPr>
                <w:sz w:val="14"/>
                <w:szCs w:val="14"/>
                <w:color w:val="auto"/>
              </w:rPr>
            </w:pPr>
          </w:p>
        </w:tc>
        <w:tc>
          <w:tcPr>
            <w:tcW w:w="90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89"/>
              </w:rPr>
              <w:t>34</w:t>
            </w:r>
          </w:p>
        </w:tc>
        <w:tc>
          <w:tcPr>
            <w:tcW w:w="136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91"/>
              </w:rPr>
              <w:t>2004 - 2009</w:t>
            </w:r>
          </w:p>
        </w:tc>
        <w:tc>
          <w:tcPr>
            <w:tcW w:w="626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rPr>
              <w:t>Evaluating/progressing development plan for tieback to existing/planned</w:t>
            </w:r>
          </w:p>
        </w:tc>
        <w:tc>
          <w:tcPr>
            <w:tcW w:w="0" w:type="dxa"/>
            <w:vAlign w:val="bottom"/>
          </w:tcPr>
          <w:p>
            <w:pPr>
              <w:spacing w:after="0"/>
              <w:rPr>
                <w:sz w:val="1"/>
                <w:szCs w:val="1"/>
                <w:color w:val="auto"/>
              </w:rPr>
            </w:pPr>
          </w:p>
        </w:tc>
      </w:tr>
      <w:tr>
        <w:trPr>
          <w:trHeight w:val="229"/>
        </w:trPr>
        <w:tc>
          <w:tcPr>
            <w:tcW w:w="2060" w:type="dxa"/>
            <w:vAlign w:val="bottom"/>
            <w:tcBorders>
              <w:left w:val="single" w:sz="8" w:color="auto"/>
              <w:bottom w:val="single" w:sz="8" w:color="auto"/>
            </w:tcBorders>
          </w:tcPr>
          <w:p>
            <w:pPr>
              <w:spacing w:after="0"/>
              <w:rPr>
                <w:sz w:val="19"/>
                <w:szCs w:val="19"/>
                <w:color w:val="auto"/>
              </w:rPr>
            </w:pPr>
          </w:p>
        </w:tc>
        <w:tc>
          <w:tcPr>
            <w:tcW w:w="52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6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infrastructure.</w:t>
            </w:r>
          </w:p>
        </w:tc>
        <w:tc>
          <w:tcPr>
            <w:tcW w:w="0" w:type="dxa"/>
            <w:vAlign w:val="bottom"/>
          </w:tcPr>
          <w:p>
            <w:pPr>
              <w:spacing w:after="0"/>
              <w:rPr>
                <w:sz w:val="1"/>
                <w:szCs w:val="1"/>
                <w:color w:val="auto"/>
              </w:rPr>
            </w:pPr>
          </w:p>
        </w:tc>
      </w:tr>
      <w:tr>
        <w:trPr>
          <w:trHeight w:val="169"/>
        </w:trPr>
        <w:tc>
          <w:tcPr>
            <w:tcW w:w="2060" w:type="dxa"/>
            <w:vAlign w:val="bottom"/>
            <w:tcBorders>
              <w:left w:val="single" w:sz="8" w:color="auto"/>
            </w:tcBorders>
          </w:tcPr>
          <w:p>
            <w:pPr>
              <w:ind w:left="40"/>
              <w:spacing w:after="0" w:line="169" w:lineRule="exact"/>
              <w:rPr>
                <w:sz w:val="20"/>
                <w:szCs w:val="20"/>
                <w:color w:val="auto"/>
              </w:rPr>
            </w:pPr>
            <w:r>
              <w:rPr>
                <w:rFonts w:ascii="Arial" w:cs="Arial" w:eastAsia="Arial" w:hAnsi="Arial"/>
                <w:sz w:val="18"/>
                <w:szCs w:val="18"/>
                <w:color w:val="auto"/>
              </w:rPr>
              <w:t>– Bonga SW</w:t>
            </w:r>
          </w:p>
        </w:tc>
        <w:tc>
          <w:tcPr>
            <w:tcW w:w="520" w:type="dxa"/>
            <w:vAlign w:val="bottom"/>
            <w:tcBorders>
              <w:right w:val="single" w:sz="8" w:color="auto"/>
            </w:tcBorders>
          </w:tcPr>
          <w:p>
            <w:pPr>
              <w:spacing w:after="0"/>
              <w:rPr>
                <w:sz w:val="14"/>
                <w:szCs w:val="14"/>
                <w:color w:val="auto"/>
              </w:rPr>
            </w:pPr>
          </w:p>
        </w:tc>
        <w:tc>
          <w:tcPr>
            <w:tcW w:w="90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79"/>
              </w:rPr>
              <w:t>3</w:t>
            </w:r>
          </w:p>
        </w:tc>
        <w:tc>
          <w:tcPr>
            <w:tcW w:w="136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89"/>
              </w:rPr>
              <w:t>2001</w:t>
            </w:r>
          </w:p>
        </w:tc>
        <w:tc>
          <w:tcPr>
            <w:tcW w:w="626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rPr>
              <w:t>Evaluating/progressing development plan for tieback to existing/planned</w:t>
            </w:r>
          </w:p>
        </w:tc>
        <w:tc>
          <w:tcPr>
            <w:tcW w:w="0" w:type="dxa"/>
            <w:vAlign w:val="bottom"/>
          </w:tcPr>
          <w:p>
            <w:pPr>
              <w:spacing w:after="0"/>
              <w:rPr>
                <w:sz w:val="1"/>
                <w:szCs w:val="1"/>
                <w:color w:val="auto"/>
              </w:rPr>
            </w:pPr>
          </w:p>
        </w:tc>
      </w:tr>
      <w:tr>
        <w:trPr>
          <w:trHeight w:val="229"/>
        </w:trPr>
        <w:tc>
          <w:tcPr>
            <w:tcW w:w="2060" w:type="dxa"/>
            <w:vAlign w:val="bottom"/>
            <w:tcBorders>
              <w:left w:val="single" w:sz="8" w:color="auto"/>
              <w:bottom w:val="single" w:sz="8" w:color="auto"/>
            </w:tcBorders>
          </w:tcPr>
          <w:p>
            <w:pPr>
              <w:spacing w:after="0"/>
              <w:rPr>
                <w:sz w:val="19"/>
                <w:szCs w:val="19"/>
                <w:color w:val="auto"/>
              </w:rPr>
            </w:pPr>
          </w:p>
        </w:tc>
        <w:tc>
          <w:tcPr>
            <w:tcW w:w="52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6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infrastructure.</w:t>
            </w:r>
          </w:p>
        </w:tc>
        <w:tc>
          <w:tcPr>
            <w:tcW w:w="0" w:type="dxa"/>
            <w:vAlign w:val="bottom"/>
          </w:tcPr>
          <w:p>
            <w:pPr>
              <w:spacing w:after="0"/>
              <w:rPr>
                <w:sz w:val="1"/>
                <w:szCs w:val="1"/>
                <w:color w:val="auto"/>
              </w:rPr>
            </w:pPr>
          </w:p>
        </w:tc>
      </w:tr>
      <w:tr>
        <w:trPr>
          <w:trHeight w:val="223"/>
        </w:trPr>
        <w:tc>
          <w:tcPr>
            <w:tcW w:w="20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 Pegi</w:t>
            </w:r>
          </w:p>
        </w:tc>
        <w:tc>
          <w:tcPr>
            <w:tcW w:w="52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32</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2009</w:t>
            </w:r>
          </w:p>
        </w:tc>
        <w:tc>
          <w:tcPr>
            <w:tcW w:w="6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Awaiting capacity in existing/planned infrastructure.</w:t>
            </w:r>
          </w:p>
        </w:tc>
        <w:tc>
          <w:tcPr>
            <w:tcW w:w="0" w:type="dxa"/>
            <w:vAlign w:val="bottom"/>
          </w:tcPr>
          <w:p>
            <w:pPr>
              <w:spacing w:after="0"/>
              <w:rPr>
                <w:sz w:val="1"/>
                <w:szCs w:val="1"/>
                <w:color w:val="auto"/>
              </w:rPr>
            </w:pPr>
          </w:p>
        </w:tc>
      </w:tr>
      <w:tr>
        <w:trPr>
          <w:trHeight w:val="223"/>
        </w:trPr>
        <w:tc>
          <w:tcPr>
            <w:tcW w:w="20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Papua New Guinea</w:t>
            </w: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62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 Muruk</w:t>
            </w:r>
          </w:p>
        </w:tc>
        <w:tc>
          <w:tcPr>
            <w:tcW w:w="52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165</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2017 - 2019</w:t>
            </w:r>
          </w:p>
        </w:tc>
        <w:tc>
          <w:tcPr>
            <w:tcW w:w="6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Evaluating/progressing development plans.</w:t>
            </w:r>
          </w:p>
        </w:tc>
        <w:tc>
          <w:tcPr>
            <w:tcW w:w="0" w:type="dxa"/>
            <w:vAlign w:val="bottom"/>
          </w:tcPr>
          <w:p>
            <w:pPr>
              <w:spacing w:after="0"/>
              <w:rPr>
                <w:sz w:val="1"/>
                <w:szCs w:val="1"/>
                <w:color w:val="auto"/>
              </w:rPr>
            </w:pPr>
          </w:p>
        </w:tc>
      </w:tr>
      <w:tr>
        <w:trPr>
          <w:trHeight w:val="223"/>
        </w:trPr>
        <w:tc>
          <w:tcPr>
            <w:tcW w:w="20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 Papua LNG</w:t>
            </w:r>
          </w:p>
        </w:tc>
        <w:tc>
          <w:tcPr>
            <w:tcW w:w="52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246</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2017</w:t>
            </w:r>
          </w:p>
        </w:tc>
        <w:tc>
          <w:tcPr>
            <w:tcW w:w="6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Evaluating/progressing development plans.</w:t>
            </w:r>
          </w:p>
        </w:tc>
        <w:tc>
          <w:tcPr>
            <w:tcW w:w="0" w:type="dxa"/>
            <w:vAlign w:val="bottom"/>
          </w:tcPr>
          <w:p>
            <w:pPr>
              <w:spacing w:after="0"/>
              <w:rPr>
                <w:sz w:val="1"/>
                <w:szCs w:val="1"/>
                <w:color w:val="auto"/>
              </w:rPr>
            </w:pPr>
          </w:p>
        </w:tc>
      </w:tr>
      <w:tr>
        <w:trPr>
          <w:trHeight w:val="223"/>
        </w:trPr>
        <w:tc>
          <w:tcPr>
            <w:tcW w:w="20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 P'nyang</w:t>
            </w:r>
          </w:p>
        </w:tc>
        <w:tc>
          <w:tcPr>
            <w:tcW w:w="52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116</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2012 - 2018</w:t>
            </w:r>
          </w:p>
        </w:tc>
        <w:tc>
          <w:tcPr>
            <w:tcW w:w="6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Evaluating/progressing development plans.</w:t>
            </w:r>
          </w:p>
        </w:tc>
        <w:tc>
          <w:tcPr>
            <w:tcW w:w="0" w:type="dxa"/>
            <w:vAlign w:val="bottom"/>
          </w:tcPr>
          <w:p>
            <w:pPr>
              <w:spacing w:after="0"/>
              <w:rPr>
                <w:sz w:val="1"/>
                <w:szCs w:val="1"/>
                <w:color w:val="auto"/>
              </w:rPr>
            </w:pPr>
          </w:p>
        </w:tc>
      </w:tr>
      <w:tr>
        <w:trPr>
          <w:trHeight w:val="223"/>
        </w:trPr>
        <w:tc>
          <w:tcPr>
            <w:tcW w:w="20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Romania</w:t>
            </w: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62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 Neptun Deep</w:t>
            </w:r>
          </w:p>
        </w:tc>
        <w:tc>
          <w:tcPr>
            <w:tcW w:w="52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536</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2012 - 2016</w:t>
            </w:r>
          </w:p>
        </w:tc>
        <w:tc>
          <w:tcPr>
            <w:tcW w:w="6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Continuing discussions with the government regarding development plan.</w:t>
            </w:r>
          </w:p>
        </w:tc>
        <w:tc>
          <w:tcPr>
            <w:tcW w:w="0" w:type="dxa"/>
            <w:vAlign w:val="bottom"/>
          </w:tcPr>
          <w:p>
            <w:pPr>
              <w:spacing w:after="0"/>
              <w:rPr>
                <w:sz w:val="1"/>
                <w:szCs w:val="1"/>
                <w:color w:val="auto"/>
              </w:rPr>
            </w:pPr>
          </w:p>
        </w:tc>
      </w:tr>
      <w:tr>
        <w:trPr>
          <w:trHeight w:val="223"/>
        </w:trPr>
        <w:tc>
          <w:tcPr>
            <w:tcW w:w="20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Tanzania</w:t>
            </w: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62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060" w:type="dxa"/>
            <w:vAlign w:val="bottom"/>
            <w:tcBorders>
              <w:left w:val="single" w:sz="8" w:color="auto"/>
            </w:tcBorders>
          </w:tcPr>
          <w:p>
            <w:pPr>
              <w:ind w:left="40"/>
              <w:spacing w:after="0" w:line="169" w:lineRule="exact"/>
              <w:rPr>
                <w:sz w:val="20"/>
                <w:szCs w:val="20"/>
                <w:color w:val="auto"/>
              </w:rPr>
            </w:pPr>
            <w:r>
              <w:rPr>
                <w:rFonts w:ascii="Arial" w:cs="Arial" w:eastAsia="Arial" w:hAnsi="Arial"/>
                <w:sz w:val="18"/>
                <w:szCs w:val="18"/>
                <w:color w:val="auto"/>
              </w:rPr>
              <w:t>– Tanzania Block 2</w:t>
            </w:r>
          </w:p>
        </w:tc>
        <w:tc>
          <w:tcPr>
            <w:tcW w:w="520" w:type="dxa"/>
            <w:vAlign w:val="bottom"/>
            <w:tcBorders>
              <w:right w:val="single" w:sz="8" w:color="auto"/>
            </w:tcBorders>
          </w:tcPr>
          <w:p>
            <w:pPr>
              <w:spacing w:after="0"/>
              <w:rPr>
                <w:sz w:val="14"/>
                <w:szCs w:val="14"/>
                <w:color w:val="auto"/>
              </w:rPr>
            </w:pPr>
          </w:p>
        </w:tc>
        <w:tc>
          <w:tcPr>
            <w:tcW w:w="90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93"/>
              </w:rPr>
              <w:t>525</w:t>
            </w:r>
          </w:p>
        </w:tc>
        <w:tc>
          <w:tcPr>
            <w:tcW w:w="136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91"/>
              </w:rPr>
              <w:t>2012 - 2015</w:t>
            </w:r>
          </w:p>
        </w:tc>
        <w:tc>
          <w:tcPr>
            <w:tcW w:w="626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rPr>
              <w:t>Evaluating development alternatives, while continuing discussions with the</w:t>
            </w:r>
          </w:p>
        </w:tc>
        <w:tc>
          <w:tcPr>
            <w:tcW w:w="0" w:type="dxa"/>
            <w:vAlign w:val="bottom"/>
          </w:tcPr>
          <w:p>
            <w:pPr>
              <w:spacing w:after="0"/>
              <w:rPr>
                <w:sz w:val="1"/>
                <w:szCs w:val="1"/>
                <w:color w:val="auto"/>
              </w:rPr>
            </w:pPr>
          </w:p>
        </w:tc>
      </w:tr>
      <w:tr>
        <w:trPr>
          <w:trHeight w:val="230"/>
        </w:trPr>
        <w:tc>
          <w:tcPr>
            <w:tcW w:w="2060" w:type="dxa"/>
            <w:vAlign w:val="bottom"/>
            <w:tcBorders>
              <w:left w:val="single" w:sz="8" w:color="auto"/>
              <w:bottom w:val="single" w:sz="8" w:color="auto"/>
            </w:tcBorders>
          </w:tcPr>
          <w:p>
            <w:pPr>
              <w:spacing w:after="0"/>
              <w:rPr>
                <w:sz w:val="19"/>
                <w:szCs w:val="19"/>
                <w:color w:val="auto"/>
              </w:rPr>
            </w:pPr>
          </w:p>
        </w:tc>
        <w:tc>
          <w:tcPr>
            <w:tcW w:w="52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6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government regarding development plan.</w:t>
            </w:r>
          </w:p>
        </w:tc>
        <w:tc>
          <w:tcPr>
            <w:tcW w:w="0" w:type="dxa"/>
            <w:vAlign w:val="bottom"/>
          </w:tcPr>
          <w:p>
            <w:pPr>
              <w:spacing w:after="0"/>
              <w:rPr>
                <w:sz w:val="1"/>
                <w:szCs w:val="1"/>
                <w:color w:val="auto"/>
              </w:rPr>
            </w:pPr>
          </w:p>
        </w:tc>
      </w:tr>
      <w:tr>
        <w:trPr>
          <w:trHeight w:val="223"/>
        </w:trPr>
        <w:tc>
          <w:tcPr>
            <w:tcW w:w="20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Vietnam</w:t>
            </w: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62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 Blue Whale</w:t>
            </w:r>
          </w:p>
        </w:tc>
        <w:tc>
          <w:tcPr>
            <w:tcW w:w="52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296</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2011 - 2015</w:t>
            </w:r>
          </w:p>
        </w:tc>
        <w:tc>
          <w:tcPr>
            <w:tcW w:w="6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Evaluating/progressing development plans.</w:t>
            </w:r>
          </w:p>
        </w:tc>
        <w:tc>
          <w:tcPr>
            <w:tcW w:w="0" w:type="dxa"/>
            <w:vAlign w:val="bottom"/>
          </w:tcPr>
          <w:p>
            <w:pPr>
              <w:spacing w:after="0"/>
              <w:rPr>
                <w:sz w:val="1"/>
                <w:szCs w:val="1"/>
                <w:color w:val="auto"/>
              </w:rPr>
            </w:pPr>
          </w:p>
        </w:tc>
      </w:tr>
      <w:tr>
        <w:trPr>
          <w:trHeight w:val="223"/>
        </w:trPr>
        <w:tc>
          <w:tcPr>
            <w:tcW w:w="20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Total 2021 (17 projects)</w:t>
            </w:r>
          </w:p>
        </w:tc>
        <w:tc>
          <w:tcPr>
            <w:tcW w:w="52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2,874</w:t>
            </w:r>
          </w:p>
        </w:tc>
        <w:tc>
          <w:tcPr>
            <w:tcW w:w="1360" w:type="dxa"/>
            <w:vAlign w:val="bottom"/>
            <w:tcBorders>
              <w:bottom w:val="single" w:sz="8" w:color="auto"/>
            </w:tcBorders>
          </w:tcPr>
          <w:p>
            <w:pPr>
              <w:spacing w:after="0"/>
              <w:rPr>
                <w:sz w:val="19"/>
                <w:szCs w:val="19"/>
                <w:color w:val="auto"/>
              </w:rPr>
            </w:pPr>
          </w:p>
        </w:tc>
        <w:tc>
          <w:tcPr>
            <w:tcW w:w="62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Leases</w:t>
      </w:r>
    </w:p>
    <w:p>
      <w:pPr>
        <w:spacing w:after="0" w:line="10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Corporation and its consolidated affiliates generally purchase the property, plant and equipment used in operations, but there are situations where assets are leased, primarily for drilling equipment, tankers, office buildings, railcars, and other moveable equipment. Right of use assets and lease liabilities are established on the balance sheet for leases with an expected term greater than one year by discounting the amounts fixed in the lease agreement for the duration of the lease which is reasonably certain, considering the probability of exercising any early termination and extension options. The portion of the fixed payment related to service costs for drilling equipment, tankers and finance leases is excluded from the calculation of right of use assets and lease liabilities. Generally, assets are leased only for a portion of their useful lives, and are accounted for as operating leases. In limited situations assets are leased for nearly all of their useful lives, and are accounted for as finance leases.</w:t>
      </w:r>
    </w:p>
    <w:p>
      <w:pPr>
        <w:spacing w:after="0" w:line="4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Variable payments under these lease agreements are not significant. Residual value guarantees, restrictions, or covenants related to leases, and transactions with related parties are also not significant. In general, leases are capitalized using the incremental borrowing rate of the leasing affiliate. The Corporation’s activities as a lessor are not significant.</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6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w w:val="91"/>
              </w:rPr>
              <w:t>Operating Leases</w:t>
            </w:r>
          </w:p>
        </w:tc>
        <w:tc>
          <w:tcPr>
            <w:tcW w:w="720" w:type="dxa"/>
            <w:vAlign w:val="bottom"/>
            <w:tcBorders>
              <w:bottom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w w:val="93"/>
              </w:rPr>
              <w:t>Finance Leases</w:t>
            </w:r>
          </w:p>
        </w:tc>
        <w:tc>
          <w:tcPr>
            <w:tcW w:w="700" w:type="dxa"/>
            <w:vAlign w:val="bottom"/>
            <w:tcBorders>
              <w:bottom w:val="single" w:sz="8" w:color="auto"/>
            </w:tcBorders>
          </w:tcPr>
          <w:p>
            <w:pPr>
              <w:spacing w:after="0"/>
              <w:rPr>
                <w:sz w:val="16"/>
                <w:szCs w:val="16"/>
                <w:color w:val="auto"/>
              </w:rPr>
            </w:pPr>
          </w:p>
        </w:tc>
      </w:tr>
      <w:tr>
        <w:trPr>
          <w:trHeight w:val="216"/>
        </w:trPr>
        <w:tc>
          <w:tcPr>
            <w:tcW w:w="47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Lease Cost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136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2020</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134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2020</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r>
      <w:tr>
        <w:trPr>
          <w:trHeight w:val="224"/>
        </w:trPr>
        <w:tc>
          <w:tcPr>
            <w:tcW w:w="47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40" w:type="dxa"/>
            <w:vAlign w:val="bottom"/>
            <w:gridSpan w:val="3"/>
          </w:tcPr>
          <w:p>
            <w:pPr>
              <w:ind w:left="360"/>
              <w:spacing w:after="0"/>
              <w:rPr>
                <w:sz w:val="20"/>
                <w:szCs w:val="20"/>
                <w:color w:val="auto"/>
              </w:rPr>
            </w:pPr>
            <w:r>
              <w:rPr>
                <w:rFonts w:ascii="Arial" w:cs="Arial" w:eastAsia="Arial" w:hAnsi="Arial"/>
                <w:sz w:val="14"/>
                <w:szCs w:val="14"/>
                <w:i w:val="1"/>
                <w:iCs w:val="1"/>
                <w:color w:val="auto"/>
              </w:rPr>
              <w:t>(millions of dollars)</w:t>
            </w:r>
          </w:p>
        </w:tc>
        <w:tc>
          <w:tcPr>
            <w:tcW w:w="5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41"/>
        </w:trPr>
        <w:tc>
          <w:tcPr>
            <w:tcW w:w="4760" w:type="dxa"/>
            <w:vAlign w:val="bottom"/>
          </w:tcPr>
          <w:p>
            <w:pPr>
              <w:ind w:left="20"/>
              <w:spacing w:after="0"/>
              <w:rPr>
                <w:sz w:val="20"/>
                <w:szCs w:val="20"/>
                <w:color w:val="auto"/>
              </w:rPr>
            </w:pPr>
            <w:r>
              <w:rPr>
                <w:rFonts w:ascii="Arial" w:cs="Arial" w:eastAsia="Arial" w:hAnsi="Arial"/>
                <w:sz w:val="18"/>
                <w:szCs w:val="18"/>
                <w:color w:val="auto"/>
              </w:rPr>
              <w:t>Operating lease cost</w:t>
            </w:r>
          </w:p>
        </w:tc>
        <w:tc>
          <w:tcPr>
            <w:tcW w:w="940" w:type="dxa"/>
            <w:vAlign w:val="bottom"/>
          </w:tcPr>
          <w:p>
            <w:pPr>
              <w:jc w:val="right"/>
              <w:spacing w:after="0"/>
              <w:rPr>
                <w:sz w:val="20"/>
                <w:szCs w:val="20"/>
                <w:color w:val="auto"/>
              </w:rPr>
            </w:pPr>
            <w:r>
              <w:rPr>
                <w:rFonts w:ascii="Arial" w:cs="Arial" w:eastAsia="Arial" w:hAnsi="Arial"/>
                <w:sz w:val="18"/>
                <w:szCs w:val="18"/>
                <w:color w:val="auto"/>
              </w:rPr>
              <w:t>1,542</w:t>
            </w:r>
          </w:p>
        </w:tc>
        <w:tc>
          <w:tcPr>
            <w:tcW w:w="1360" w:type="dxa"/>
            <w:vAlign w:val="bottom"/>
          </w:tcPr>
          <w:p>
            <w:pPr>
              <w:jc w:val="right"/>
              <w:ind w:right="317"/>
              <w:spacing w:after="0"/>
              <w:rPr>
                <w:sz w:val="20"/>
                <w:szCs w:val="20"/>
                <w:color w:val="auto"/>
              </w:rPr>
            </w:pPr>
            <w:r>
              <w:rPr>
                <w:rFonts w:ascii="Arial" w:cs="Arial" w:eastAsia="Arial" w:hAnsi="Arial"/>
                <w:sz w:val="18"/>
                <w:szCs w:val="18"/>
                <w:color w:val="auto"/>
              </w:rPr>
              <w:t>1,553</w:t>
            </w:r>
          </w:p>
        </w:tc>
        <w:tc>
          <w:tcPr>
            <w:tcW w:w="720" w:type="dxa"/>
            <w:vAlign w:val="bottom"/>
          </w:tcPr>
          <w:p>
            <w:pPr>
              <w:jc w:val="right"/>
              <w:spacing w:after="0"/>
              <w:rPr>
                <w:sz w:val="20"/>
                <w:szCs w:val="20"/>
                <w:color w:val="auto"/>
              </w:rPr>
            </w:pPr>
            <w:r>
              <w:rPr>
                <w:rFonts w:ascii="Arial" w:cs="Arial" w:eastAsia="Arial" w:hAnsi="Arial"/>
                <w:sz w:val="18"/>
                <w:szCs w:val="18"/>
                <w:color w:val="auto"/>
              </w:rPr>
              <w:t>1,434</w:t>
            </w:r>
          </w:p>
        </w:tc>
        <w:tc>
          <w:tcPr>
            <w:tcW w:w="4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29"/>
        </w:trPr>
        <w:tc>
          <w:tcPr>
            <w:tcW w:w="4760" w:type="dxa"/>
            <w:vAlign w:val="bottom"/>
          </w:tcPr>
          <w:p>
            <w:pPr>
              <w:ind w:left="20"/>
              <w:spacing w:after="0"/>
              <w:rPr>
                <w:sz w:val="20"/>
                <w:szCs w:val="20"/>
                <w:color w:val="auto"/>
              </w:rPr>
            </w:pPr>
            <w:r>
              <w:rPr>
                <w:rFonts w:ascii="Arial" w:cs="Arial" w:eastAsia="Arial" w:hAnsi="Arial"/>
                <w:sz w:val="18"/>
                <w:szCs w:val="18"/>
                <w:color w:val="auto"/>
              </w:rPr>
              <w:t>Short-term and other (net of sublease rental income)</w:t>
            </w:r>
          </w:p>
        </w:tc>
        <w:tc>
          <w:tcPr>
            <w:tcW w:w="940" w:type="dxa"/>
            <w:vAlign w:val="bottom"/>
          </w:tcPr>
          <w:p>
            <w:pPr>
              <w:jc w:val="right"/>
              <w:spacing w:after="0"/>
              <w:rPr>
                <w:sz w:val="20"/>
                <w:szCs w:val="20"/>
                <w:color w:val="auto"/>
              </w:rPr>
            </w:pPr>
            <w:r>
              <w:rPr>
                <w:rFonts w:ascii="Arial" w:cs="Arial" w:eastAsia="Arial" w:hAnsi="Arial"/>
                <w:sz w:val="18"/>
                <w:szCs w:val="18"/>
                <w:color w:val="auto"/>
              </w:rPr>
              <w:t>1,351</w:t>
            </w:r>
          </w:p>
        </w:tc>
        <w:tc>
          <w:tcPr>
            <w:tcW w:w="1360" w:type="dxa"/>
            <w:vAlign w:val="bottom"/>
          </w:tcPr>
          <w:p>
            <w:pPr>
              <w:jc w:val="right"/>
              <w:ind w:right="317"/>
              <w:spacing w:after="0"/>
              <w:rPr>
                <w:sz w:val="20"/>
                <w:szCs w:val="20"/>
                <w:color w:val="auto"/>
              </w:rPr>
            </w:pPr>
            <w:r>
              <w:rPr>
                <w:rFonts w:ascii="Arial" w:cs="Arial" w:eastAsia="Arial" w:hAnsi="Arial"/>
                <w:sz w:val="18"/>
                <w:szCs w:val="18"/>
                <w:color w:val="auto"/>
              </w:rPr>
              <w:t>1,613</w:t>
            </w:r>
          </w:p>
        </w:tc>
        <w:tc>
          <w:tcPr>
            <w:tcW w:w="720" w:type="dxa"/>
            <w:vAlign w:val="bottom"/>
          </w:tcPr>
          <w:p>
            <w:pPr>
              <w:jc w:val="right"/>
              <w:spacing w:after="0"/>
              <w:rPr>
                <w:sz w:val="20"/>
                <w:szCs w:val="20"/>
                <w:color w:val="auto"/>
              </w:rPr>
            </w:pPr>
            <w:r>
              <w:rPr>
                <w:rFonts w:ascii="Arial" w:cs="Arial" w:eastAsia="Arial" w:hAnsi="Arial"/>
                <w:sz w:val="18"/>
                <w:szCs w:val="18"/>
                <w:color w:val="auto"/>
              </w:rPr>
              <w:t>2,042</w:t>
            </w: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30"/>
        </w:trPr>
        <w:tc>
          <w:tcPr>
            <w:tcW w:w="4760" w:type="dxa"/>
            <w:vAlign w:val="bottom"/>
          </w:tcPr>
          <w:p>
            <w:pPr>
              <w:ind w:left="20"/>
              <w:spacing w:after="0"/>
              <w:rPr>
                <w:sz w:val="20"/>
                <w:szCs w:val="20"/>
                <w:color w:val="auto"/>
              </w:rPr>
            </w:pPr>
            <w:r>
              <w:rPr>
                <w:rFonts w:ascii="Arial" w:cs="Arial" w:eastAsia="Arial" w:hAnsi="Arial"/>
                <w:sz w:val="18"/>
                <w:szCs w:val="18"/>
                <w:color w:val="auto"/>
              </w:rPr>
              <w:t>Amortization of right of use assets</w:t>
            </w:r>
          </w:p>
        </w:tc>
        <w:tc>
          <w:tcPr>
            <w:tcW w:w="9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jc w:val="right"/>
              <w:ind w:right="35"/>
              <w:spacing w:after="0"/>
              <w:rPr>
                <w:sz w:val="20"/>
                <w:szCs w:val="20"/>
                <w:color w:val="auto"/>
              </w:rPr>
            </w:pPr>
            <w:r>
              <w:rPr>
                <w:rFonts w:ascii="Arial" w:cs="Arial" w:eastAsia="Arial" w:hAnsi="Arial"/>
                <w:sz w:val="18"/>
                <w:szCs w:val="18"/>
                <w:color w:val="auto"/>
              </w:rPr>
              <w:t>133</w:t>
            </w:r>
          </w:p>
        </w:tc>
        <w:tc>
          <w:tcPr>
            <w:tcW w:w="1340" w:type="dxa"/>
            <w:vAlign w:val="bottom"/>
          </w:tcPr>
          <w:p>
            <w:pPr>
              <w:jc w:val="right"/>
              <w:ind w:right="337"/>
              <w:spacing w:after="0"/>
              <w:rPr>
                <w:sz w:val="20"/>
                <w:szCs w:val="20"/>
                <w:color w:val="auto"/>
              </w:rPr>
            </w:pPr>
            <w:r>
              <w:rPr>
                <w:rFonts w:ascii="Arial" w:cs="Arial" w:eastAsia="Arial" w:hAnsi="Arial"/>
                <w:sz w:val="18"/>
                <w:szCs w:val="18"/>
                <w:color w:val="auto"/>
              </w:rPr>
              <w:t>143</w:t>
            </w:r>
          </w:p>
        </w:tc>
        <w:tc>
          <w:tcPr>
            <w:tcW w:w="70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30"/>
        </w:trPr>
        <w:tc>
          <w:tcPr>
            <w:tcW w:w="4760" w:type="dxa"/>
            <w:vAlign w:val="bottom"/>
          </w:tcPr>
          <w:p>
            <w:pPr>
              <w:ind w:left="20"/>
              <w:spacing w:after="0"/>
              <w:rPr>
                <w:sz w:val="20"/>
                <w:szCs w:val="20"/>
                <w:color w:val="auto"/>
              </w:rPr>
            </w:pPr>
            <w:r>
              <w:rPr>
                <w:rFonts w:ascii="Arial" w:cs="Arial" w:eastAsia="Arial" w:hAnsi="Arial"/>
                <w:sz w:val="18"/>
                <w:szCs w:val="18"/>
                <w:color w:val="auto"/>
              </w:rPr>
              <w:t>Interest on lease liabilities</w:t>
            </w:r>
          </w:p>
        </w:tc>
        <w:tc>
          <w:tcPr>
            <w:tcW w:w="9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158</w:t>
            </w:r>
          </w:p>
        </w:tc>
        <w:tc>
          <w:tcPr>
            <w:tcW w:w="1340" w:type="dxa"/>
            <w:vAlign w:val="bottom"/>
            <w:tcBorders>
              <w:bottom w:val="single" w:sz="8" w:color="auto"/>
            </w:tcBorders>
          </w:tcPr>
          <w:p>
            <w:pPr>
              <w:jc w:val="right"/>
              <w:ind w:right="337"/>
              <w:spacing w:after="0"/>
              <w:rPr>
                <w:sz w:val="20"/>
                <w:szCs w:val="20"/>
                <w:color w:val="auto"/>
              </w:rPr>
            </w:pPr>
            <w:r>
              <w:rPr>
                <w:rFonts w:ascii="Arial" w:cs="Arial" w:eastAsia="Arial" w:hAnsi="Arial"/>
                <w:sz w:val="18"/>
                <w:szCs w:val="18"/>
                <w:color w:val="auto"/>
              </w:rPr>
              <w:t>169</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r>
      <w:tr>
        <w:trPr>
          <w:trHeight w:val="223"/>
        </w:trPr>
        <w:tc>
          <w:tcPr>
            <w:tcW w:w="4760" w:type="dxa"/>
            <w:vAlign w:val="bottom"/>
          </w:tcPr>
          <w:p>
            <w:pPr>
              <w:ind w:left="480"/>
              <w:spacing w:after="0"/>
              <w:rPr>
                <w:sz w:val="20"/>
                <w:szCs w:val="20"/>
                <w:color w:val="auto"/>
              </w:rPr>
            </w:pPr>
            <w:r>
              <w:rPr>
                <w:rFonts w:ascii="Arial" w:cs="Arial" w:eastAsia="Arial" w:hAnsi="Arial"/>
                <w:sz w:val="18"/>
                <w:szCs w:val="18"/>
                <w:color w:val="auto"/>
              </w:rPr>
              <w:t xml:space="preserve">Total </w:t>
            </w:r>
            <w:r>
              <w:rPr>
                <w:rFonts w:ascii="Arial" w:cs="Arial" w:eastAsia="Arial" w:hAnsi="Arial"/>
                <w:sz w:val="14"/>
                <w:szCs w:val="14"/>
                <w:i w:val="1"/>
                <w:iCs w:val="1"/>
                <w:color w:val="auto"/>
              </w:rPr>
              <w:t>(1)</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2,893</w:t>
            </w:r>
          </w:p>
        </w:tc>
        <w:tc>
          <w:tcPr>
            <w:tcW w:w="1360" w:type="dxa"/>
            <w:vAlign w:val="bottom"/>
            <w:tcBorders>
              <w:bottom w:val="single" w:sz="8" w:color="auto"/>
            </w:tcBorders>
          </w:tcPr>
          <w:p>
            <w:pPr>
              <w:jc w:val="right"/>
              <w:ind w:right="317"/>
              <w:spacing w:after="0"/>
              <w:rPr>
                <w:sz w:val="20"/>
                <w:szCs w:val="20"/>
                <w:color w:val="auto"/>
              </w:rPr>
            </w:pPr>
            <w:r>
              <w:rPr>
                <w:rFonts w:ascii="Arial" w:cs="Arial" w:eastAsia="Arial" w:hAnsi="Arial"/>
                <w:sz w:val="18"/>
                <w:szCs w:val="18"/>
                <w:color w:val="auto"/>
              </w:rPr>
              <w:t>3,166</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3,476</w:t>
            </w:r>
          </w:p>
        </w:tc>
        <w:tc>
          <w:tcPr>
            <w:tcW w:w="44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291</w:t>
            </w:r>
          </w:p>
        </w:tc>
        <w:tc>
          <w:tcPr>
            <w:tcW w:w="1340" w:type="dxa"/>
            <w:vAlign w:val="bottom"/>
            <w:tcBorders>
              <w:bottom w:val="single" w:sz="8" w:color="auto"/>
            </w:tcBorders>
          </w:tcPr>
          <w:p>
            <w:pPr>
              <w:jc w:val="right"/>
              <w:ind w:right="337"/>
              <w:spacing w:after="0"/>
              <w:rPr>
                <w:sz w:val="20"/>
                <w:szCs w:val="20"/>
                <w:color w:val="auto"/>
              </w:rPr>
            </w:pPr>
            <w:r>
              <w:rPr>
                <w:rFonts w:ascii="Arial" w:cs="Arial" w:eastAsia="Arial" w:hAnsi="Arial"/>
                <w:sz w:val="18"/>
                <w:szCs w:val="18"/>
                <w:color w:val="auto"/>
              </w:rPr>
              <w:t>312</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(1) Includes $681 million, $827 million and $1,164 million for drilling rigs and related equipment operating leases in 2021, 2020 and 2019, respectively.</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20" w:type="dxa"/>
            <w:vAlign w:val="bottom"/>
          </w:tcPr>
          <w:p>
            <w:pPr>
              <w:spacing w:after="0"/>
              <w:rPr>
                <w:sz w:val="16"/>
                <w:szCs w:val="16"/>
                <w:color w:val="auto"/>
              </w:rPr>
            </w:pPr>
          </w:p>
        </w:tc>
        <w:tc>
          <w:tcPr>
            <w:tcW w:w="2200" w:type="dxa"/>
            <w:vAlign w:val="bottom"/>
            <w:tcBorders>
              <w:bottom w:val="single" w:sz="8" w:color="auto"/>
            </w:tcBorders>
            <w:gridSpan w:val="2"/>
          </w:tcPr>
          <w:p>
            <w:pPr>
              <w:ind w:left="960"/>
              <w:spacing w:after="0"/>
              <w:rPr>
                <w:sz w:val="20"/>
                <w:szCs w:val="20"/>
                <w:color w:val="auto"/>
              </w:rPr>
            </w:pPr>
            <w:r>
              <w:rPr>
                <w:rFonts w:ascii="Arial" w:cs="Arial" w:eastAsia="Arial" w:hAnsi="Arial"/>
                <w:sz w:val="14"/>
                <w:szCs w:val="14"/>
                <w:b w:val="1"/>
                <w:bCs w:val="1"/>
                <w:color w:val="auto"/>
              </w:rPr>
              <w:t>Operating Leases</w:t>
            </w:r>
          </w:p>
        </w:tc>
        <w:tc>
          <w:tcPr>
            <w:tcW w:w="800" w:type="dxa"/>
            <w:vAlign w:val="bottom"/>
            <w:tcBorders>
              <w:bottom w:val="single" w:sz="8" w:color="auto"/>
            </w:tcBorders>
          </w:tcPr>
          <w:p>
            <w:pPr>
              <w:spacing w:after="0"/>
              <w:rPr>
                <w:sz w:val="16"/>
                <w:szCs w:val="16"/>
                <w:color w:val="auto"/>
              </w:rPr>
            </w:pPr>
          </w:p>
        </w:tc>
        <w:tc>
          <w:tcPr>
            <w:tcW w:w="700" w:type="dxa"/>
            <w:vAlign w:val="bottom"/>
          </w:tcPr>
          <w:p>
            <w:pPr>
              <w:spacing w:after="0"/>
              <w:rPr>
                <w:sz w:val="16"/>
                <w:szCs w:val="16"/>
                <w:color w:val="auto"/>
              </w:rPr>
            </w:pPr>
          </w:p>
        </w:tc>
        <w:tc>
          <w:tcPr>
            <w:tcW w:w="3020" w:type="dxa"/>
            <w:vAlign w:val="bottom"/>
            <w:tcBorders>
              <w:bottom w:val="single" w:sz="8" w:color="auto"/>
            </w:tcBorders>
            <w:gridSpan w:val="2"/>
          </w:tcPr>
          <w:p>
            <w:pPr>
              <w:jc w:val="right"/>
              <w:ind w:right="952"/>
              <w:spacing w:after="0"/>
              <w:rPr>
                <w:sz w:val="20"/>
                <w:szCs w:val="20"/>
                <w:color w:val="auto"/>
              </w:rPr>
            </w:pPr>
            <w:r>
              <w:rPr>
                <w:rFonts w:ascii="Arial" w:cs="Arial" w:eastAsia="Arial" w:hAnsi="Arial"/>
                <w:sz w:val="14"/>
                <w:szCs w:val="14"/>
                <w:b w:val="1"/>
                <w:bCs w:val="1"/>
                <w:color w:val="auto"/>
              </w:rPr>
              <w:t>Finance Leases</w:t>
            </w:r>
          </w:p>
        </w:tc>
      </w:tr>
      <w:tr>
        <w:trPr>
          <w:trHeight w:val="216"/>
        </w:trPr>
        <w:tc>
          <w:tcPr>
            <w:tcW w:w="45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Balance Sheet</w:t>
            </w:r>
          </w:p>
        </w:tc>
        <w:tc>
          <w:tcPr>
            <w:tcW w:w="156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December 31, 2021</w:t>
            </w:r>
          </w:p>
        </w:tc>
        <w:tc>
          <w:tcPr>
            <w:tcW w:w="214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December 31, 2020</w:t>
            </w:r>
          </w:p>
        </w:tc>
        <w:tc>
          <w:tcPr>
            <w:tcW w:w="15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December 31, 2021</w:t>
            </w:r>
          </w:p>
        </w:tc>
        <w:tc>
          <w:tcPr>
            <w:tcW w:w="14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December 31, 2020</w:t>
            </w:r>
          </w:p>
        </w:tc>
      </w:tr>
      <w:tr>
        <w:trPr>
          <w:trHeight w:val="176"/>
        </w:trPr>
        <w:tc>
          <w:tcPr>
            <w:tcW w:w="45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80" w:type="dxa"/>
            <w:vAlign w:val="bottom"/>
            <w:gridSpan w:val="3"/>
          </w:tcPr>
          <w:p>
            <w:pPr>
              <w:jc w:val="right"/>
              <w:ind w:right="1253"/>
              <w:spacing w:after="0"/>
              <w:rPr>
                <w:sz w:val="20"/>
                <w:szCs w:val="20"/>
                <w:color w:val="auto"/>
              </w:rPr>
            </w:pPr>
            <w:r>
              <w:rPr>
                <w:rFonts w:ascii="Arial" w:cs="Arial" w:eastAsia="Arial" w:hAnsi="Arial"/>
                <w:sz w:val="14"/>
                <w:szCs w:val="14"/>
                <w:i w:val="1"/>
                <w:iCs w:val="1"/>
                <w:color w:val="auto"/>
              </w:rPr>
              <w:t>(millions of dollars)</w:t>
            </w:r>
          </w:p>
        </w:tc>
        <w:tc>
          <w:tcPr>
            <w:tcW w:w="1440" w:type="dxa"/>
            <w:vAlign w:val="bottom"/>
          </w:tcPr>
          <w:p>
            <w:pPr>
              <w:spacing w:after="0"/>
              <w:rPr>
                <w:sz w:val="15"/>
                <w:szCs w:val="15"/>
                <w:color w:val="auto"/>
              </w:rPr>
            </w:pPr>
          </w:p>
        </w:tc>
      </w:tr>
      <w:tr>
        <w:trPr>
          <w:trHeight w:val="235"/>
        </w:trPr>
        <w:tc>
          <w:tcPr>
            <w:tcW w:w="4520" w:type="dxa"/>
            <w:vAlign w:val="bottom"/>
          </w:tcPr>
          <w:p>
            <w:pPr>
              <w:ind w:left="20"/>
              <w:spacing w:after="0"/>
              <w:rPr>
                <w:sz w:val="20"/>
                <w:szCs w:val="20"/>
                <w:color w:val="auto"/>
              </w:rPr>
            </w:pPr>
            <w:r>
              <w:rPr>
                <w:rFonts w:ascii="Arial" w:cs="Arial" w:eastAsia="Arial" w:hAnsi="Arial"/>
                <w:sz w:val="18"/>
                <w:szCs w:val="18"/>
                <w:color w:val="auto"/>
              </w:rPr>
              <w:t>Right of use assets</w:t>
            </w:r>
          </w:p>
        </w:tc>
        <w:tc>
          <w:tcPr>
            <w:tcW w:w="15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0"/>
        </w:trPr>
        <w:tc>
          <w:tcPr>
            <w:tcW w:w="4520" w:type="dxa"/>
            <w:vAlign w:val="bottom"/>
          </w:tcPr>
          <w:p>
            <w:pPr>
              <w:ind w:left="220"/>
              <w:spacing w:after="0"/>
              <w:rPr>
                <w:sz w:val="20"/>
                <w:szCs w:val="20"/>
                <w:color w:val="auto"/>
              </w:rPr>
            </w:pPr>
            <w:r>
              <w:rPr>
                <w:rFonts w:ascii="Arial" w:cs="Arial" w:eastAsia="Arial" w:hAnsi="Arial"/>
                <w:sz w:val="18"/>
                <w:szCs w:val="18"/>
                <w:color w:val="auto"/>
              </w:rPr>
              <w:t>Included in Other assets, including intangibles - net</w:t>
            </w:r>
          </w:p>
        </w:tc>
        <w:tc>
          <w:tcPr>
            <w:tcW w:w="1560" w:type="dxa"/>
            <w:vAlign w:val="bottom"/>
          </w:tcPr>
          <w:p>
            <w:pPr>
              <w:jc w:val="right"/>
              <w:ind w:right="254"/>
              <w:spacing w:after="0"/>
              <w:rPr>
                <w:sz w:val="20"/>
                <w:szCs w:val="20"/>
                <w:color w:val="auto"/>
              </w:rPr>
            </w:pPr>
            <w:r>
              <w:rPr>
                <w:rFonts w:ascii="Arial" w:cs="Arial" w:eastAsia="Arial" w:hAnsi="Arial"/>
                <w:sz w:val="18"/>
                <w:szCs w:val="18"/>
                <w:color w:val="auto"/>
              </w:rPr>
              <w:t>6,082</w:t>
            </w:r>
          </w:p>
        </w:tc>
        <w:tc>
          <w:tcPr>
            <w:tcW w:w="640" w:type="dxa"/>
            <w:vAlign w:val="bottom"/>
          </w:tcPr>
          <w:p>
            <w:pPr>
              <w:spacing w:after="0"/>
              <w:rPr>
                <w:sz w:val="19"/>
                <w:szCs w:val="19"/>
                <w:color w:val="auto"/>
              </w:rPr>
            </w:pPr>
          </w:p>
        </w:tc>
        <w:tc>
          <w:tcPr>
            <w:tcW w:w="800" w:type="dxa"/>
            <w:vAlign w:val="bottom"/>
          </w:tcPr>
          <w:p>
            <w:pPr>
              <w:jc w:val="right"/>
              <w:ind w:right="132"/>
              <w:spacing w:after="0"/>
              <w:rPr>
                <w:sz w:val="20"/>
                <w:szCs w:val="20"/>
                <w:color w:val="auto"/>
              </w:rPr>
            </w:pPr>
            <w:r>
              <w:rPr>
                <w:rFonts w:ascii="Arial" w:cs="Arial" w:eastAsia="Arial" w:hAnsi="Arial"/>
                <w:sz w:val="18"/>
                <w:szCs w:val="18"/>
                <w:color w:val="auto"/>
              </w:rPr>
              <w:t>6,078</w:t>
            </w:r>
          </w:p>
        </w:tc>
        <w:tc>
          <w:tcPr>
            <w:tcW w:w="7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4520" w:type="dxa"/>
            <w:vAlign w:val="bottom"/>
          </w:tcPr>
          <w:p>
            <w:pPr>
              <w:ind w:left="220"/>
              <w:spacing w:after="0"/>
              <w:rPr>
                <w:sz w:val="20"/>
                <w:szCs w:val="20"/>
                <w:color w:val="auto"/>
              </w:rPr>
            </w:pPr>
            <w:r>
              <w:rPr>
                <w:rFonts w:ascii="Arial" w:cs="Arial" w:eastAsia="Arial" w:hAnsi="Arial"/>
                <w:sz w:val="18"/>
                <w:szCs w:val="18"/>
                <w:color w:val="auto"/>
              </w:rPr>
              <w:t>Included in Property, plant and equipment - net</w:t>
            </w:r>
          </w:p>
        </w:tc>
        <w:tc>
          <w:tcPr>
            <w:tcW w:w="15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700" w:type="dxa"/>
            <w:vAlign w:val="bottom"/>
          </w:tcPr>
          <w:p>
            <w:pPr>
              <w:spacing w:after="0"/>
              <w:rPr>
                <w:sz w:val="20"/>
                <w:szCs w:val="20"/>
                <w:color w:val="auto"/>
              </w:rPr>
            </w:pPr>
          </w:p>
        </w:tc>
        <w:tc>
          <w:tcPr>
            <w:tcW w:w="1580" w:type="dxa"/>
            <w:vAlign w:val="bottom"/>
            <w:tcBorders>
              <w:bottom w:val="single" w:sz="8" w:color="auto"/>
            </w:tcBorders>
          </w:tcPr>
          <w:p>
            <w:pPr>
              <w:jc w:val="right"/>
              <w:ind w:right="253"/>
              <w:spacing w:after="0"/>
              <w:rPr>
                <w:sz w:val="20"/>
                <w:szCs w:val="20"/>
                <w:color w:val="auto"/>
              </w:rPr>
            </w:pPr>
            <w:r>
              <w:rPr>
                <w:rFonts w:ascii="Arial" w:cs="Arial" w:eastAsia="Arial" w:hAnsi="Arial"/>
                <w:sz w:val="18"/>
                <w:szCs w:val="18"/>
                <w:color w:val="auto"/>
              </w:rPr>
              <w:t>2,412</w:t>
            </w:r>
          </w:p>
        </w:tc>
        <w:tc>
          <w:tcPr>
            <w:tcW w:w="14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2,188</w:t>
            </w:r>
          </w:p>
        </w:tc>
      </w:tr>
      <w:tr>
        <w:trPr>
          <w:trHeight w:val="223"/>
        </w:trPr>
        <w:tc>
          <w:tcPr>
            <w:tcW w:w="4520" w:type="dxa"/>
            <w:vAlign w:val="bottom"/>
          </w:tcPr>
          <w:p>
            <w:pPr>
              <w:ind w:left="480"/>
              <w:spacing w:after="0"/>
              <w:rPr>
                <w:sz w:val="20"/>
                <w:szCs w:val="20"/>
                <w:color w:val="auto"/>
              </w:rPr>
            </w:pPr>
            <w:r>
              <w:rPr>
                <w:rFonts w:ascii="Arial" w:cs="Arial" w:eastAsia="Arial" w:hAnsi="Arial"/>
                <w:sz w:val="18"/>
                <w:szCs w:val="18"/>
                <w:color w:val="auto"/>
              </w:rPr>
              <w:t>Total right of use assets</w:t>
            </w:r>
          </w:p>
        </w:tc>
        <w:tc>
          <w:tcPr>
            <w:tcW w:w="1560" w:type="dxa"/>
            <w:vAlign w:val="bottom"/>
            <w:tcBorders>
              <w:bottom w:val="single" w:sz="8" w:color="auto"/>
            </w:tcBorders>
          </w:tcPr>
          <w:p>
            <w:pPr>
              <w:jc w:val="right"/>
              <w:ind w:right="254"/>
              <w:spacing w:after="0"/>
              <w:rPr>
                <w:sz w:val="20"/>
                <w:szCs w:val="20"/>
                <w:color w:val="auto"/>
              </w:rPr>
            </w:pPr>
            <w:r>
              <w:rPr>
                <w:rFonts w:ascii="Arial" w:cs="Arial" w:eastAsia="Arial" w:hAnsi="Arial"/>
                <w:sz w:val="18"/>
                <w:szCs w:val="18"/>
                <w:color w:val="auto"/>
              </w:rPr>
              <w:t>6,082</w:t>
            </w:r>
          </w:p>
        </w:tc>
        <w:tc>
          <w:tcPr>
            <w:tcW w:w="6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6,078</w:t>
            </w:r>
          </w:p>
        </w:tc>
        <w:tc>
          <w:tcPr>
            <w:tcW w:w="700" w:type="dxa"/>
            <w:vAlign w:val="bottom"/>
          </w:tcPr>
          <w:p>
            <w:pPr>
              <w:spacing w:after="0"/>
              <w:rPr>
                <w:sz w:val="19"/>
                <w:szCs w:val="19"/>
                <w:color w:val="auto"/>
              </w:rPr>
            </w:pPr>
          </w:p>
        </w:tc>
        <w:tc>
          <w:tcPr>
            <w:tcW w:w="1580" w:type="dxa"/>
            <w:vAlign w:val="bottom"/>
            <w:tcBorders>
              <w:bottom w:val="single" w:sz="8" w:color="auto"/>
            </w:tcBorders>
          </w:tcPr>
          <w:p>
            <w:pPr>
              <w:jc w:val="right"/>
              <w:ind w:right="253"/>
              <w:spacing w:after="0"/>
              <w:rPr>
                <w:sz w:val="20"/>
                <w:szCs w:val="20"/>
                <w:color w:val="auto"/>
              </w:rPr>
            </w:pPr>
            <w:r>
              <w:rPr>
                <w:rFonts w:ascii="Arial" w:cs="Arial" w:eastAsia="Arial" w:hAnsi="Arial"/>
                <w:sz w:val="18"/>
                <w:szCs w:val="18"/>
                <w:color w:val="auto"/>
              </w:rPr>
              <w:t>2,412</w:t>
            </w:r>
          </w:p>
        </w:tc>
        <w:tc>
          <w:tcPr>
            <w:tcW w:w="14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2,188</w:t>
            </w:r>
          </w:p>
        </w:tc>
      </w:tr>
      <w:tr>
        <w:trPr>
          <w:trHeight w:val="479"/>
        </w:trPr>
        <w:tc>
          <w:tcPr>
            <w:tcW w:w="4520" w:type="dxa"/>
            <w:vAlign w:val="bottom"/>
          </w:tcPr>
          <w:p>
            <w:pPr>
              <w:ind w:left="20"/>
              <w:spacing w:after="0"/>
              <w:rPr>
                <w:sz w:val="20"/>
                <w:szCs w:val="20"/>
                <w:color w:val="auto"/>
              </w:rPr>
            </w:pPr>
            <w:r>
              <w:rPr>
                <w:rFonts w:ascii="Arial" w:cs="Arial" w:eastAsia="Arial" w:hAnsi="Arial"/>
                <w:sz w:val="18"/>
                <w:szCs w:val="18"/>
                <w:color w:val="auto"/>
              </w:rPr>
              <w:t>Lease liability due within one year</w:t>
            </w:r>
          </w:p>
        </w:tc>
        <w:tc>
          <w:tcPr>
            <w:tcW w:w="1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30"/>
        </w:trPr>
        <w:tc>
          <w:tcPr>
            <w:tcW w:w="4520" w:type="dxa"/>
            <w:vAlign w:val="bottom"/>
          </w:tcPr>
          <w:p>
            <w:pPr>
              <w:ind w:left="220"/>
              <w:spacing w:after="0"/>
              <w:rPr>
                <w:sz w:val="20"/>
                <w:szCs w:val="20"/>
                <w:color w:val="auto"/>
              </w:rPr>
            </w:pPr>
            <w:r>
              <w:rPr>
                <w:rFonts w:ascii="Arial" w:cs="Arial" w:eastAsia="Arial" w:hAnsi="Arial"/>
                <w:sz w:val="18"/>
                <w:szCs w:val="18"/>
                <w:color w:val="auto"/>
              </w:rPr>
              <w:t>Included in Accounts payable and accrued liabilities</w:t>
            </w:r>
          </w:p>
        </w:tc>
        <w:tc>
          <w:tcPr>
            <w:tcW w:w="1560" w:type="dxa"/>
            <w:vAlign w:val="bottom"/>
          </w:tcPr>
          <w:p>
            <w:pPr>
              <w:jc w:val="right"/>
              <w:ind w:right="254"/>
              <w:spacing w:after="0"/>
              <w:rPr>
                <w:sz w:val="20"/>
                <w:szCs w:val="20"/>
                <w:color w:val="auto"/>
              </w:rPr>
            </w:pPr>
            <w:r>
              <w:rPr>
                <w:rFonts w:ascii="Arial" w:cs="Arial" w:eastAsia="Arial" w:hAnsi="Arial"/>
                <w:sz w:val="18"/>
                <w:szCs w:val="18"/>
                <w:color w:val="auto"/>
              </w:rPr>
              <w:t>1,367</w:t>
            </w:r>
          </w:p>
        </w:tc>
        <w:tc>
          <w:tcPr>
            <w:tcW w:w="640" w:type="dxa"/>
            <w:vAlign w:val="bottom"/>
          </w:tcPr>
          <w:p>
            <w:pPr>
              <w:spacing w:after="0"/>
              <w:rPr>
                <w:sz w:val="19"/>
                <w:szCs w:val="19"/>
                <w:color w:val="auto"/>
              </w:rPr>
            </w:pPr>
          </w:p>
        </w:tc>
        <w:tc>
          <w:tcPr>
            <w:tcW w:w="800" w:type="dxa"/>
            <w:vAlign w:val="bottom"/>
          </w:tcPr>
          <w:p>
            <w:pPr>
              <w:jc w:val="right"/>
              <w:ind w:right="132"/>
              <w:spacing w:after="0"/>
              <w:rPr>
                <w:sz w:val="20"/>
                <w:szCs w:val="20"/>
                <w:color w:val="auto"/>
              </w:rPr>
            </w:pPr>
            <w:r>
              <w:rPr>
                <w:rFonts w:ascii="Arial" w:cs="Arial" w:eastAsia="Arial" w:hAnsi="Arial"/>
                <w:sz w:val="18"/>
                <w:szCs w:val="18"/>
                <w:color w:val="auto"/>
              </w:rPr>
              <w:t>1,168</w:t>
            </w:r>
          </w:p>
        </w:tc>
        <w:tc>
          <w:tcPr>
            <w:tcW w:w="700" w:type="dxa"/>
            <w:vAlign w:val="bottom"/>
          </w:tcPr>
          <w:p>
            <w:pPr>
              <w:spacing w:after="0"/>
              <w:rPr>
                <w:sz w:val="19"/>
                <w:szCs w:val="19"/>
                <w:color w:val="auto"/>
              </w:rPr>
            </w:pPr>
          </w:p>
        </w:tc>
        <w:tc>
          <w:tcPr>
            <w:tcW w:w="1580" w:type="dxa"/>
            <w:vAlign w:val="bottom"/>
          </w:tcPr>
          <w:p>
            <w:pPr>
              <w:jc w:val="right"/>
              <w:ind w:right="253"/>
              <w:spacing w:after="0"/>
              <w:rPr>
                <w:sz w:val="20"/>
                <w:szCs w:val="20"/>
                <w:color w:val="auto"/>
              </w:rPr>
            </w:pPr>
            <w:r>
              <w:rPr>
                <w:rFonts w:ascii="Arial" w:cs="Arial" w:eastAsia="Arial" w:hAnsi="Arial"/>
                <w:sz w:val="18"/>
                <w:szCs w:val="18"/>
                <w:color w:val="auto"/>
              </w:rPr>
              <w:t>4</w:t>
            </w:r>
          </w:p>
        </w:tc>
        <w:tc>
          <w:tcPr>
            <w:tcW w:w="1440" w:type="dxa"/>
            <w:vAlign w:val="bottom"/>
          </w:tcPr>
          <w:p>
            <w:pPr>
              <w:jc w:val="right"/>
              <w:ind w:right="132"/>
              <w:spacing w:after="0"/>
              <w:rPr>
                <w:sz w:val="20"/>
                <w:szCs w:val="20"/>
                <w:color w:val="auto"/>
              </w:rPr>
            </w:pPr>
            <w:r>
              <w:rPr>
                <w:rFonts w:ascii="Arial" w:cs="Arial" w:eastAsia="Arial" w:hAnsi="Arial"/>
                <w:sz w:val="18"/>
                <w:szCs w:val="18"/>
                <w:color w:val="auto"/>
              </w:rPr>
              <w:t>4</w:t>
            </w:r>
          </w:p>
        </w:tc>
      </w:tr>
      <w:tr>
        <w:trPr>
          <w:trHeight w:val="230"/>
        </w:trPr>
        <w:tc>
          <w:tcPr>
            <w:tcW w:w="4520" w:type="dxa"/>
            <w:vAlign w:val="bottom"/>
          </w:tcPr>
          <w:p>
            <w:pPr>
              <w:ind w:left="220"/>
              <w:spacing w:after="0"/>
              <w:rPr>
                <w:sz w:val="20"/>
                <w:szCs w:val="20"/>
                <w:color w:val="auto"/>
              </w:rPr>
            </w:pPr>
            <w:r>
              <w:rPr>
                <w:rFonts w:ascii="Arial" w:cs="Arial" w:eastAsia="Arial" w:hAnsi="Arial"/>
                <w:sz w:val="18"/>
                <w:szCs w:val="18"/>
                <w:color w:val="auto"/>
              </w:rPr>
              <w:t>Included in Notes and loans payable</w:t>
            </w:r>
          </w:p>
        </w:tc>
        <w:tc>
          <w:tcPr>
            <w:tcW w:w="1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580" w:type="dxa"/>
            <w:vAlign w:val="bottom"/>
          </w:tcPr>
          <w:p>
            <w:pPr>
              <w:jc w:val="right"/>
              <w:ind w:right="253"/>
              <w:spacing w:after="0"/>
              <w:rPr>
                <w:sz w:val="20"/>
                <w:szCs w:val="20"/>
                <w:color w:val="auto"/>
              </w:rPr>
            </w:pPr>
            <w:r>
              <w:rPr>
                <w:rFonts w:ascii="Arial" w:cs="Arial" w:eastAsia="Arial" w:hAnsi="Arial"/>
                <w:sz w:val="18"/>
                <w:szCs w:val="18"/>
                <w:color w:val="auto"/>
              </w:rPr>
              <w:t>111</w:t>
            </w:r>
          </w:p>
        </w:tc>
        <w:tc>
          <w:tcPr>
            <w:tcW w:w="1440" w:type="dxa"/>
            <w:vAlign w:val="bottom"/>
          </w:tcPr>
          <w:p>
            <w:pPr>
              <w:jc w:val="right"/>
              <w:ind w:right="132"/>
              <w:spacing w:after="0"/>
              <w:rPr>
                <w:sz w:val="20"/>
                <w:szCs w:val="20"/>
                <w:color w:val="auto"/>
              </w:rPr>
            </w:pPr>
            <w:r>
              <w:rPr>
                <w:rFonts w:ascii="Arial" w:cs="Arial" w:eastAsia="Arial" w:hAnsi="Arial"/>
                <w:sz w:val="18"/>
                <w:szCs w:val="18"/>
                <w:color w:val="auto"/>
              </w:rPr>
              <w:t>102</w:t>
            </w:r>
          </w:p>
        </w:tc>
      </w:tr>
      <w:tr>
        <w:trPr>
          <w:trHeight w:val="229"/>
        </w:trPr>
        <w:tc>
          <w:tcPr>
            <w:tcW w:w="4520" w:type="dxa"/>
            <w:vAlign w:val="bottom"/>
          </w:tcPr>
          <w:p>
            <w:pPr>
              <w:ind w:left="20"/>
              <w:spacing w:after="0"/>
              <w:rPr>
                <w:sz w:val="20"/>
                <w:szCs w:val="20"/>
                <w:color w:val="auto"/>
              </w:rPr>
            </w:pPr>
            <w:r>
              <w:rPr>
                <w:rFonts w:ascii="Arial" w:cs="Arial" w:eastAsia="Arial" w:hAnsi="Arial"/>
                <w:sz w:val="18"/>
                <w:szCs w:val="18"/>
                <w:color w:val="auto"/>
              </w:rPr>
              <w:t>Long-term lease liability</w:t>
            </w:r>
          </w:p>
        </w:tc>
        <w:tc>
          <w:tcPr>
            <w:tcW w:w="1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4520" w:type="dxa"/>
            <w:vAlign w:val="bottom"/>
          </w:tcPr>
          <w:p>
            <w:pPr>
              <w:ind w:left="220"/>
              <w:spacing w:after="0"/>
              <w:rPr>
                <w:sz w:val="20"/>
                <w:szCs w:val="20"/>
                <w:color w:val="auto"/>
              </w:rPr>
            </w:pPr>
            <w:r>
              <w:rPr>
                <w:rFonts w:ascii="Arial" w:cs="Arial" w:eastAsia="Arial" w:hAnsi="Arial"/>
                <w:sz w:val="18"/>
                <w:szCs w:val="18"/>
                <w:color w:val="auto"/>
              </w:rPr>
              <w:t>Included in Other long-term obligations</w:t>
            </w:r>
          </w:p>
        </w:tc>
        <w:tc>
          <w:tcPr>
            <w:tcW w:w="1560" w:type="dxa"/>
            <w:vAlign w:val="bottom"/>
          </w:tcPr>
          <w:p>
            <w:pPr>
              <w:jc w:val="right"/>
              <w:ind w:right="254"/>
              <w:spacing w:after="0"/>
              <w:rPr>
                <w:sz w:val="20"/>
                <w:szCs w:val="20"/>
                <w:color w:val="auto"/>
              </w:rPr>
            </w:pPr>
            <w:r>
              <w:rPr>
                <w:rFonts w:ascii="Arial" w:cs="Arial" w:eastAsia="Arial" w:hAnsi="Arial"/>
                <w:sz w:val="18"/>
                <w:szCs w:val="18"/>
                <w:color w:val="auto"/>
              </w:rPr>
              <w:t>3,823</w:t>
            </w:r>
          </w:p>
        </w:tc>
        <w:tc>
          <w:tcPr>
            <w:tcW w:w="640" w:type="dxa"/>
            <w:vAlign w:val="bottom"/>
          </w:tcPr>
          <w:p>
            <w:pPr>
              <w:spacing w:after="0"/>
              <w:rPr>
                <w:sz w:val="19"/>
                <w:szCs w:val="19"/>
                <w:color w:val="auto"/>
              </w:rPr>
            </w:pPr>
          </w:p>
        </w:tc>
        <w:tc>
          <w:tcPr>
            <w:tcW w:w="800" w:type="dxa"/>
            <w:vAlign w:val="bottom"/>
          </w:tcPr>
          <w:p>
            <w:pPr>
              <w:jc w:val="right"/>
              <w:ind w:right="132"/>
              <w:spacing w:after="0"/>
              <w:rPr>
                <w:sz w:val="20"/>
                <w:szCs w:val="20"/>
                <w:color w:val="auto"/>
              </w:rPr>
            </w:pPr>
            <w:r>
              <w:rPr>
                <w:rFonts w:ascii="Arial" w:cs="Arial" w:eastAsia="Arial" w:hAnsi="Arial"/>
                <w:sz w:val="18"/>
                <w:szCs w:val="18"/>
                <w:color w:val="auto"/>
              </w:rPr>
              <w:t>3,994</w:t>
            </w:r>
          </w:p>
        </w:tc>
        <w:tc>
          <w:tcPr>
            <w:tcW w:w="7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4520" w:type="dxa"/>
            <w:vAlign w:val="bottom"/>
          </w:tcPr>
          <w:p>
            <w:pPr>
              <w:ind w:left="220"/>
              <w:spacing w:after="0"/>
              <w:rPr>
                <w:sz w:val="20"/>
                <w:szCs w:val="20"/>
                <w:color w:val="auto"/>
              </w:rPr>
            </w:pPr>
            <w:r>
              <w:rPr>
                <w:rFonts w:ascii="Arial" w:cs="Arial" w:eastAsia="Arial" w:hAnsi="Arial"/>
                <w:sz w:val="18"/>
                <w:szCs w:val="18"/>
                <w:color w:val="auto"/>
              </w:rPr>
              <w:t>Included in Long-term debt</w:t>
            </w:r>
          </w:p>
        </w:tc>
        <w:tc>
          <w:tcPr>
            <w:tcW w:w="1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580" w:type="dxa"/>
            <w:vAlign w:val="bottom"/>
          </w:tcPr>
          <w:p>
            <w:pPr>
              <w:jc w:val="right"/>
              <w:ind w:right="253"/>
              <w:spacing w:after="0"/>
              <w:rPr>
                <w:sz w:val="20"/>
                <w:szCs w:val="20"/>
                <w:color w:val="auto"/>
              </w:rPr>
            </w:pPr>
            <w:r>
              <w:rPr>
                <w:rFonts w:ascii="Arial" w:cs="Arial" w:eastAsia="Arial" w:hAnsi="Arial"/>
                <w:sz w:val="18"/>
                <w:szCs w:val="18"/>
                <w:color w:val="auto"/>
              </w:rPr>
              <w:t>1,761</w:t>
            </w:r>
          </w:p>
        </w:tc>
        <w:tc>
          <w:tcPr>
            <w:tcW w:w="1440" w:type="dxa"/>
            <w:vAlign w:val="bottom"/>
          </w:tcPr>
          <w:p>
            <w:pPr>
              <w:jc w:val="right"/>
              <w:ind w:right="132"/>
              <w:spacing w:after="0"/>
              <w:rPr>
                <w:sz w:val="20"/>
                <w:szCs w:val="20"/>
                <w:color w:val="auto"/>
              </w:rPr>
            </w:pPr>
            <w:r>
              <w:rPr>
                <w:rFonts w:ascii="Arial" w:cs="Arial" w:eastAsia="Arial" w:hAnsi="Arial"/>
                <w:sz w:val="18"/>
                <w:szCs w:val="18"/>
                <w:color w:val="auto"/>
              </w:rPr>
              <w:t>1,680</w:t>
            </w:r>
          </w:p>
        </w:tc>
      </w:tr>
      <w:tr>
        <w:trPr>
          <w:trHeight w:val="230"/>
        </w:trPr>
        <w:tc>
          <w:tcPr>
            <w:tcW w:w="4520" w:type="dxa"/>
            <w:vAlign w:val="bottom"/>
          </w:tcPr>
          <w:p>
            <w:pPr>
              <w:ind w:left="220"/>
              <w:spacing w:after="0"/>
              <w:rPr>
                <w:sz w:val="20"/>
                <w:szCs w:val="20"/>
                <w:color w:val="auto"/>
              </w:rPr>
            </w:pPr>
            <w:r>
              <w:rPr>
                <w:rFonts w:ascii="Arial" w:cs="Arial" w:eastAsia="Arial" w:hAnsi="Arial"/>
                <w:sz w:val="18"/>
                <w:szCs w:val="18"/>
                <w:color w:val="auto"/>
                <w:w w:val="99"/>
              </w:rPr>
              <w:t>Included in Long-term obligations to equity companies</w:t>
            </w:r>
          </w:p>
        </w:tc>
        <w:tc>
          <w:tcPr>
            <w:tcW w:w="15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700" w:type="dxa"/>
            <w:vAlign w:val="bottom"/>
          </w:tcPr>
          <w:p>
            <w:pPr>
              <w:spacing w:after="0"/>
              <w:rPr>
                <w:sz w:val="20"/>
                <w:szCs w:val="20"/>
                <w:color w:val="auto"/>
              </w:rPr>
            </w:pPr>
          </w:p>
        </w:tc>
        <w:tc>
          <w:tcPr>
            <w:tcW w:w="1580" w:type="dxa"/>
            <w:vAlign w:val="bottom"/>
            <w:tcBorders>
              <w:bottom w:val="single" w:sz="8" w:color="auto"/>
            </w:tcBorders>
          </w:tcPr>
          <w:p>
            <w:pPr>
              <w:jc w:val="right"/>
              <w:ind w:right="253"/>
              <w:spacing w:after="0"/>
              <w:rPr>
                <w:sz w:val="20"/>
                <w:szCs w:val="20"/>
                <w:color w:val="auto"/>
              </w:rPr>
            </w:pPr>
            <w:r>
              <w:rPr>
                <w:rFonts w:ascii="Arial" w:cs="Arial" w:eastAsia="Arial" w:hAnsi="Arial"/>
                <w:sz w:val="18"/>
                <w:szCs w:val="18"/>
                <w:color w:val="auto"/>
              </w:rPr>
              <w:t>131</w:t>
            </w:r>
          </w:p>
        </w:tc>
        <w:tc>
          <w:tcPr>
            <w:tcW w:w="14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135</w:t>
            </w:r>
          </w:p>
        </w:tc>
      </w:tr>
      <w:tr>
        <w:trPr>
          <w:trHeight w:val="223"/>
        </w:trPr>
        <w:tc>
          <w:tcPr>
            <w:tcW w:w="4520" w:type="dxa"/>
            <w:vAlign w:val="bottom"/>
          </w:tcPr>
          <w:p>
            <w:pPr>
              <w:ind w:left="480"/>
              <w:spacing w:after="0"/>
              <w:rPr>
                <w:sz w:val="20"/>
                <w:szCs w:val="20"/>
                <w:color w:val="auto"/>
              </w:rPr>
            </w:pPr>
            <w:r>
              <w:rPr>
                <w:rFonts w:ascii="Arial" w:cs="Arial" w:eastAsia="Arial" w:hAnsi="Arial"/>
                <w:sz w:val="18"/>
                <w:szCs w:val="18"/>
                <w:color w:val="auto"/>
              </w:rPr>
              <w:t xml:space="preserve">Total lease liability </w:t>
            </w:r>
            <w:r>
              <w:rPr>
                <w:rFonts w:ascii="Arial" w:cs="Arial" w:eastAsia="Arial" w:hAnsi="Arial"/>
                <w:sz w:val="14"/>
                <w:szCs w:val="14"/>
                <w:i w:val="1"/>
                <w:iCs w:val="1"/>
                <w:color w:val="auto"/>
              </w:rPr>
              <w:t>(2)</w:t>
            </w:r>
          </w:p>
        </w:tc>
        <w:tc>
          <w:tcPr>
            <w:tcW w:w="1560" w:type="dxa"/>
            <w:vAlign w:val="bottom"/>
            <w:tcBorders>
              <w:bottom w:val="single" w:sz="8" w:color="auto"/>
            </w:tcBorders>
          </w:tcPr>
          <w:p>
            <w:pPr>
              <w:jc w:val="right"/>
              <w:ind w:right="254"/>
              <w:spacing w:after="0"/>
              <w:rPr>
                <w:sz w:val="20"/>
                <w:szCs w:val="20"/>
                <w:color w:val="auto"/>
              </w:rPr>
            </w:pPr>
            <w:r>
              <w:rPr>
                <w:rFonts w:ascii="Arial" w:cs="Arial" w:eastAsia="Arial" w:hAnsi="Arial"/>
                <w:sz w:val="18"/>
                <w:szCs w:val="18"/>
                <w:color w:val="auto"/>
              </w:rPr>
              <w:t>5,190</w:t>
            </w:r>
          </w:p>
        </w:tc>
        <w:tc>
          <w:tcPr>
            <w:tcW w:w="6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5,162</w:t>
            </w:r>
          </w:p>
        </w:tc>
        <w:tc>
          <w:tcPr>
            <w:tcW w:w="700" w:type="dxa"/>
            <w:vAlign w:val="bottom"/>
          </w:tcPr>
          <w:p>
            <w:pPr>
              <w:spacing w:after="0"/>
              <w:rPr>
                <w:sz w:val="19"/>
                <w:szCs w:val="19"/>
                <w:color w:val="auto"/>
              </w:rPr>
            </w:pPr>
          </w:p>
        </w:tc>
        <w:tc>
          <w:tcPr>
            <w:tcW w:w="1580" w:type="dxa"/>
            <w:vAlign w:val="bottom"/>
            <w:tcBorders>
              <w:bottom w:val="single" w:sz="8" w:color="auto"/>
            </w:tcBorders>
          </w:tcPr>
          <w:p>
            <w:pPr>
              <w:jc w:val="right"/>
              <w:ind w:right="253"/>
              <w:spacing w:after="0"/>
              <w:rPr>
                <w:sz w:val="20"/>
                <w:szCs w:val="20"/>
                <w:color w:val="auto"/>
              </w:rPr>
            </w:pPr>
            <w:r>
              <w:rPr>
                <w:rFonts w:ascii="Arial" w:cs="Arial" w:eastAsia="Arial" w:hAnsi="Arial"/>
                <w:sz w:val="18"/>
                <w:szCs w:val="18"/>
                <w:color w:val="auto"/>
              </w:rPr>
              <w:t>2,007</w:t>
            </w:r>
          </w:p>
        </w:tc>
        <w:tc>
          <w:tcPr>
            <w:tcW w:w="14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1,921</w:t>
            </w:r>
          </w:p>
        </w:tc>
      </w:tr>
      <w:tr>
        <w:trPr>
          <w:trHeight w:val="479"/>
        </w:trPr>
        <w:tc>
          <w:tcPr>
            <w:tcW w:w="4520" w:type="dxa"/>
            <w:vAlign w:val="bottom"/>
          </w:tcPr>
          <w:p>
            <w:pPr>
              <w:ind w:left="20"/>
              <w:spacing w:after="0"/>
              <w:rPr>
                <w:sz w:val="20"/>
                <w:szCs w:val="20"/>
                <w:color w:val="auto"/>
              </w:rPr>
            </w:pPr>
            <w:r>
              <w:rPr>
                <w:rFonts w:ascii="Arial" w:cs="Arial" w:eastAsia="Arial" w:hAnsi="Arial"/>
                <w:sz w:val="18"/>
                <w:szCs w:val="18"/>
                <w:color w:val="auto"/>
              </w:rPr>
              <w:t>Weighted average remaining lease term (years)</w:t>
            </w:r>
          </w:p>
        </w:tc>
        <w:tc>
          <w:tcPr>
            <w:tcW w:w="1560" w:type="dxa"/>
            <w:vAlign w:val="bottom"/>
          </w:tcPr>
          <w:p>
            <w:pPr>
              <w:jc w:val="right"/>
              <w:ind w:right="374"/>
              <w:spacing w:after="0"/>
              <w:rPr>
                <w:sz w:val="20"/>
                <w:szCs w:val="20"/>
                <w:color w:val="auto"/>
              </w:rPr>
            </w:pPr>
            <w:r>
              <w:rPr>
                <w:rFonts w:ascii="Arial" w:cs="Arial" w:eastAsia="Arial" w:hAnsi="Arial"/>
                <w:sz w:val="18"/>
                <w:szCs w:val="18"/>
                <w:color w:val="auto"/>
              </w:rPr>
              <w:t>10</w:t>
            </w:r>
          </w:p>
        </w:tc>
        <w:tc>
          <w:tcPr>
            <w:tcW w:w="640" w:type="dxa"/>
            <w:vAlign w:val="bottom"/>
          </w:tcPr>
          <w:p>
            <w:pPr>
              <w:spacing w:after="0"/>
              <w:rPr>
                <w:sz w:val="24"/>
                <w:szCs w:val="24"/>
                <w:color w:val="auto"/>
              </w:rPr>
            </w:pPr>
          </w:p>
        </w:tc>
        <w:tc>
          <w:tcPr>
            <w:tcW w:w="800" w:type="dxa"/>
            <w:vAlign w:val="bottom"/>
          </w:tcPr>
          <w:p>
            <w:pPr>
              <w:jc w:val="right"/>
              <w:ind w:right="252"/>
              <w:spacing w:after="0"/>
              <w:rPr>
                <w:sz w:val="20"/>
                <w:szCs w:val="20"/>
                <w:color w:val="auto"/>
              </w:rPr>
            </w:pPr>
            <w:r>
              <w:rPr>
                <w:rFonts w:ascii="Arial" w:cs="Arial" w:eastAsia="Arial" w:hAnsi="Arial"/>
                <w:sz w:val="18"/>
                <w:szCs w:val="18"/>
                <w:color w:val="auto"/>
              </w:rPr>
              <w:t>11</w:t>
            </w:r>
          </w:p>
        </w:tc>
        <w:tc>
          <w:tcPr>
            <w:tcW w:w="700" w:type="dxa"/>
            <w:vAlign w:val="bottom"/>
          </w:tcPr>
          <w:p>
            <w:pPr>
              <w:spacing w:after="0"/>
              <w:rPr>
                <w:sz w:val="24"/>
                <w:szCs w:val="24"/>
                <w:color w:val="auto"/>
              </w:rPr>
            </w:pPr>
          </w:p>
        </w:tc>
        <w:tc>
          <w:tcPr>
            <w:tcW w:w="1580" w:type="dxa"/>
            <w:vAlign w:val="bottom"/>
          </w:tcPr>
          <w:p>
            <w:pPr>
              <w:jc w:val="right"/>
              <w:ind w:right="373"/>
              <w:spacing w:after="0"/>
              <w:rPr>
                <w:sz w:val="20"/>
                <w:szCs w:val="20"/>
                <w:color w:val="auto"/>
              </w:rPr>
            </w:pPr>
            <w:r>
              <w:rPr>
                <w:rFonts w:ascii="Arial" w:cs="Arial" w:eastAsia="Arial" w:hAnsi="Arial"/>
                <w:sz w:val="18"/>
                <w:szCs w:val="18"/>
                <w:color w:val="auto"/>
              </w:rPr>
              <w:t>20</w:t>
            </w:r>
          </w:p>
        </w:tc>
        <w:tc>
          <w:tcPr>
            <w:tcW w:w="1440" w:type="dxa"/>
            <w:vAlign w:val="bottom"/>
          </w:tcPr>
          <w:p>
            <w:pPr>
              <w:jc w:val="right"/>
              <w:ind w:right="252"/>
              <w:spacing w:after="0"/>
              <w:rPr>
                <w:sz w:val="20"/>
                <w:szCs w:val="20"/>
                <w:color w:val="auto"/>
              </w:rPr>
            </w:pPr>
            <w:r>
              <w:rPr>
                <w:rFonts w:ascii="Arial" w:cs="Arial" w:eastAsia="Arial" w:hAnsi="Arial"/>
                <w:sz w:val="18"/>
                <w:szCs w:val="18"/>
                <w:color w:val="auto"/>
              </w:rPr>
              <w:t>20</w:t>
            </w:r>
          </w:p>
        </w:tc>
      </w:tr>
      <w:tr>
        <w:trPr>
          <w:trHeight w:val="230"/>
        </w:trPr>
        <w:tc>
          <w:tcPr>
            <w:tcW w:w="4520" w:type="dxa"/>
            <w:vAlign w:val="bottom"/>
          </w:tcPr>
          <w:p>
            <w:pPr>
              <w:ind w:left="20"/>
              <w:spacing w:after="0"/>
              <w:rPr>
                <w:sz w:val="20"/>
                <w:szCs w:val="20"/>
                <w:color w:val="auto"/>
              </w:rPr>
            </w:pPr>
            <w:r>
              <w:rPr>
                <w:rFonts w:ascii="Arial" w:cs="Arial" w:eastAsia="Arial" w:hAnsi="Arial"/>
                <w:sz w:val="18"/>
                <w:szCs w:val="18"/>
                <w:color w:val="auto"/>
              </w:rPr>
              <w:t>Weighted average discount rate (percent)</w:t>
            </w:r>
          </w:p>
        </w:tc>
        <w:tc>
          <w:tcPr>
            <w:tcW w:w="1560" w:type="dxa"/>
            <w:vAlign w:val="bottom"/>
          </w:tcPr>
          <w:p>
            <w:pPr>
              <w:jc w:val="right"/>
              <w:ind w:right="54"/>
              <w:spacing w:after="0"/>
              <w:rPr>
                <w:sz w:val="20"/>
                <w:szCs w:val="20"/>
                <w:color w:val="auto"/>
              </w:rPr>
            </w:pPr>
            <w:r>
              <w:rPr>
                <w:rFonts w:ascii="Arial" w:cs="Arial" w:eastAsia="Arial" w:hAnsi="Arial"/>
                <w:sz w:val="18"/>
                <w:szCs w:val="18"/>
                <w:color w:val="auto"/>
              </w:rPr>
              <w:t>2.3 %</w:t>
            </w:r>
          </w:p>
        </w:tc>
        <w:tc>
          <w:tcPr>
            <w:tcW w:w="6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2.9 %</w:t>
            </w:r>
          </w:p>
        </w:tc>
        <w:tc>
          <w:tcPr>
            <w:tcW w:w="700" w:type="dxa"/>
            <w:vAlign w:val="bottom"/>
          </w:tcPr>
          <w:p>
            <w:pPr>
              <w:spacing w:after="0"/>
              <w:rPr>
                <w:sz w:val="20"/>
                <w:szCs w:val="20"/>
                <w:color w:val="auto"/>
              </w:rPr>
            </w:pPr>
          </w:p>
        </w:tc>
        <w:tc>
          <w:tcPr>
            <w:tcW w:w="1580" w:type="dxa"/>
            <w:vAlign w:val="bottom"/>
          </w:tcPr>
          <w:p>
            <w:pPr>
              <w:jc w:val="right"/>
              <w:ind w:right="53"/>
              <w:spacing w:after="0"/>
              <w:rPr>
                <w:sz w:val="20"/>
                <w:szCs w:val="20"/>
                <w:color w:val="auto"/>
              </w:rPr>
            </w:pPr>
            <w:r>
              <w:rPr>
                <w:rFonts w:ascii="Arial" w:cs="Arial" w:eastAsia="Arial" w:hAnsi="Arial"/>
                <w:sz w:val="18"/>
                <w:szCs w:val="18"/>
                <w:color w:val="auto"/>
              </w:rPr>
              <w:t>7.7 %</w:t>
            </w:r>
          </w:p>
        </w:tc>
        <w:tc>
          <w:tcPr>
            <w:tcW w:w="1440" w:type="dxa"/>
            <w:vAlign w:val="bottom"/>
          </w:tcPr>
          <w:p>
            <w:pPr>
              <w:jc w:val="right"/>
              <w:spacing w:after="0"/>
              <w:rPr>
                <w:sz w:val="20"/>
                <w:szCs w:val="20"/>
                <w:color w:val="auto"/>
              </w:rPr>
            </w:pPr>
            <w:r>
              <w:rPr>
                <w:rFonts w:ascii="Arial" w:cs="Arial" w:eastAsia="Arial" w:hAnsi="Arial"/>
                <w:sz w:val="18"/>
                <w:szCs w:val="18"/>
                <w:color w:val="auto"/>
              </w:rPr>
              <w:t>8.9 %</w:t>
            </w:r>
          </w:p>
        </w:tc>
      </w:tr>
    </w:tbl>
    <w:p>
      <w:pPr>
        <w:spacing w:after="0" w:line="94" w:lineRule="exact"/>
        <w:rPr>
          <w:sz w:val="20"/>
          <w:szCs w:val="20"/>
          <w:color w:val="auto"/>
        </w:rPr>
      </w:pPr>
    </w:p>
    <w:p>
      <w:pPr>
        <w:ind w:left="320" w:hanging="312"/>
        <w:spacing w:after="0"/>
        <w:tabs>
          <w:tab w:leader="none" w:pos="32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Includes $935 million and $832 million for drilling rigs and related equipment operating leases in 2021 and 2020, respectively.</w:t>
      </w:r>
    </w:p>
    <w:p>
      <w:pPr>
        <w:spacing w:after="0" w:line="200" w:lineRule="exact"/>
        <w:rPr>
          <w:rFonts w:ascii="Arial" w:cs="Arial" w:eastAsia="Arial" w:hAnsi="Arial"/>
          <w:sz w:val="18"/>
          <w:szCs w:val="18"/>
          <w:i w:val="1"/>
          <w:iCs w:val="1"/>
          <w:color w:val="auto"/>
        </w:rPr>
      </w:pPr>
    </w:p>
    <w:p>
      <w:pPr>
        <w:spacing w:after="0" w:line="200" w:lineRule="exact"/>
        <w:rPr>
          <w:rFonts w:ascii="Arial" w:cs="Arial" w:eastAsia="Arial" w:hAnsi="Arial"/>
          <w:sz w:val="18"/>
          <w:szCs w:val="18"/>
          <w:i w:val="1"/>
          <w:iCs w:val="1"/>
          <w:color w:val="auto"/>
        </w:rPr>
      </w:pPr>
    </w:p>
    <w:p>
      <w:pPr>
        <w:spacing w:after="0" w:line="351" w:lineRule="exact"/>
        <w:rPr>
          <w:rFonts w:ascii="Arial" w:cs="Arial" w:eastAsia="Arial" w:hAnsi="Arial"/>
          <w:sz w:val="18"/>
          <w:szCs w:val="18"/>
          <w:i w:val="1"/>
          <w:iCs w:val="1"/>
          <w:color w:val="auto"/>
        </w:rPr>
      </w:pPr>
    </w:p>
    <w:p>
      <w:pPr>
        <w:ind w:left="5540"/>
        <w:spacing w:after="0"/>
        <w:rPr>
          <w:rFonts w:ascii="Arial" w:cs="Arial" w:eastAsia="Arial" w:hAnsi="Arial"/>
          <w:sz w:val="18"/>
          <w:szCs w:val="18"/>
          <w:i w:val="1"/>
          <w:iCs w:val="1"/>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60" w:type="dxa"/>
            <w:vAlign w:val="bottom"/>
          </w:tcPr>
          <w:p>
            <w:pPr>
              <w:spacing w:after="0"/>
              <w:rPr>
                <w:sz w:val="16"/>
                <w:szCs w:val="16"/>
                <w:color w:val="auto"/>
              </w:rPr>
            </w:pPr>
          </w:p>
        </w:tc>
        <w:tc>
          <w:tcPr>
            <w:tcW w:w="242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rPr>
              <w:t>Operating Leases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7"/>
              </w:rPr>
              <w:t>Finance Leases</w:t>
            </w:r>
          </w:p>
        </w:tc>
      </w:tr>
      <w:tr>
        <w:trPr>
          <w:trHeight w:val="216"/>
        </w:trPr>
        <w:tc>
          <w:tcPr>
            <w:tcW w:w="77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Maturity Analysis of Lease Liabilities</w:t>
            </w:r>
          </w:p>
        </w:tc>
        <w:tc>
          <w:tcPr>
            <w:tcW w:w="2420" w:type="dxa"/>
            <w:vAlign w:val="bottom"/>
            <w:tcBorders>
              <w:bottom w:val="single" w:sz="8" w:color="auto"/>
            </w:tcBorders>
            <w:gridSpan w:val="3"/>
          </w:tcPr>
          <w:p>
            <w:pPr>
              <w:ind w:left="1160"/>
              <w:spacing w:after="0"/>
              <w:rPr>
                <w:sz w:val="20"/>
                <w:szCs w:val="20"/>
                <w:color w:val="auto"/>
              </w:rPr>
            </w:pPr>
            <w:r>
              <w:rPr>
                <w:rFonts w:ascii="Arial" w:cs="Arial" w:eastAsia="Arial" w:hAnsi="Arial"/>
                <w:sz w:val="14"/>
                <w:szCs w:val="14"/>
                <w:b w:val="1"/>
                <w:bCs w:val="1"/>
                <w:color w:val="auto"/>
                <w:w w:val="98"/>
              </w:rPr>
              <w:t>December 31, 2021</w:t>
            </w:r>
          </w:p>
        </w:tc>
        <w:tc>
          <w:tcPr>
            <w:tcW w:w="1060" w:type="dxa"/>
            <w:vAlign w:val="bottom"/>
            <w:tcBorders>
              <w:bottom w:val="single" w:sz="8" w:color="auto"/>
            </w:tcBorders>
          </w:tcPr>
          <w:p>
            <w:pPr>
              <w:spacing w:after="0"/>
              <w:rPr>
                <w:sz w:val="18"/>
                <w:szCs w:val="18"/>
                <w:color w:val="auto"/>
              </w:rPr>
            </w:pPr>
          </w:p>
        </w:tc>
      </w:tr>
      <w:tr>
        <w:trPr>
          <w:trHeight w:val="176"/>
        </w:trPr>
        <w:tc>
          <w:tcPr>
            <w:tcW w:w="7760" w:type="dxa"/>
            <w:vAlign w:val="bottom"/>
          </w:tcPr>
          <w:p>
            <w:pPr>
              <w:spacing w:after="0"/>
              <w:rPr>
                <w:sz w:val="15"/>
                <w:szCs w:val="15"/>
                <w:color w:val="auto"/>
              </w:rPr>
            </w:pPr>
          </w:p>
        </w:tc>
        <w:tc>
          <w:tcPr>
            <w:tcW w:w="2420" w:type="dxa"/>
            <w:vAlign w:val="bottom"/>
            <w:gridSpan w:val="3"/>
          </w:tcPr>
          <w:p>
            <w:pPr>
              <w:ind w:left="1160"/>
              <w:spacing w:after="0"/>
              <w:rPr>
                <w:sz w:val="20"/>
                <w:szCs w:val="20"/>
                <w:color w:val="auto"/>
              </w:rPr>
            </w:pPr>
            <w:r>
              <w:rPr>
                <w:rFonts w:ascii="Arial" w:cs="Arial" w:eastAsia="Arial" w:hAnsi="Arial"/>
                <w:sz w:val="14"/>
                <w:szCs w:val="14"/>
                <w:i w:val="1"/>
                <w:iCs w:val="1"/>
                <w:color w:val="auto"/>
              </w:rPr>
              <w:t>(millions of dollars)</w:t>
            </w:r>
          </w:p>
        </w:tc>
        <w:tc>
          <w:tcPr>
            <w:tcW w:w="1060" w:type="dxa"/>
            <w:vAlign w:val="bottom"/>
          </w:tcPr>
          <w:p>
            <w:pPr>
              <w:spacing w:after="0"/>
              <w:rPr>
                <w:sz w:val="15"/>
                <w:szCs w:val="15"/>
                <w:color w:val="auto"/>
              </w:rPr>
            </w:pPr>
          </w:p>
        </w:tc>
      </w:tr>
      <w:tr>
        <w:trPr>
          <w:trHeight w:val="235"/>
        </w:trPr>
        <w:tc>
          <w:tcPr>
            <w:tcW w:w="7760" w:type="dxa"/>
            <w:vAlign w:val="bottom"/>
          </w:tcPr>
          <w:p>
            <w:pPr>
              <w:ind w:left="20"/>
              <w:spacing w:after="0"/>
              <w:rPr>
                <w:sz w:val="20"/>
                <w:szCs w:val="20"/>
                <w:color w:val="auto"/>
              </w:rPr>
            </w:pPr>
            <w:r>
              <w:rPr>
                <w:rFonts w:ascii="Arial" w:cs="Arial" w:eastAsia="Arial" w:hAnsi="Arial"/>
                <w:sz w:val="18"/>
                <w:szCs w:val="18"/>
                <w:color w:val="auto"/>
              </w:rPr>
              <w:t>2022</w:t>
            </w:r>
          </w:p>
        </w:tc>
        <w:tc>
          <w:tcPr>
            <w:tcW w:w="1560" w:type="dxa"/>
            <w:vAlign w:val="bottom"/>
          </w:tcPr>
          <w:p>
            <w:pPr>
              <w:jc w:val="right"/>
              <w:spacing w:after="0"/>
              <w:rPr>
                <w:sz w:val="20"/>
                <w:szCs w:val="20"/>
                <w:color w:val="auto"/>
              </w:rPr>
            </w:pPr>
            <w:r>
              <w:rPr>
                <w:rFonts w:ascii="Arial" w:cs="Arial" w:eastAsia="Arial" w:hAnsi="Arial"/>
                <w:sz w:val="18"/>
                <w:szCs w:val="18"/>
                <w:color w:val="auto"/>
              </w:rPr>
              <w:t>1,456</w:t>
            </w: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262</w:t>
            </w:r>
          </w:p>
        </w:tc>
      </w:tr>
      <w:tr>
        <w:trPr>
          <w:trHeight w:val="229"/>
        </w:trPr>
        <w:tc>
          <w:tcPr>
            <w:tcW w:w="7760" w:type="dxa"/>
            <w:vAlign w:val="bottom"/>
          </w:tcPr>
          <w:p>
            <w:pPr>
              <w:ind w:left="20"/>
              <w:spacing w:after="0"/>
              <w:rPr>
                <w:sz w:val="20"/>
                <w:szCs w:val="20"/>
                <w:color w:val="auto"/>
              </w:rPr>
            </w:pPr>
            <w:r>
              <w:rPr>
                <w:rFonts w:ascii="Arial" w:cs="Arial" w:eastAsia="Arial" w:hAnsi="Arial"/>
                <w:sz w:val="18"/>
                <w:szCs w:val="18"/>
                <w:color w:val="auto"/>
              </w:rPr>
              <w:t>2023</w:t>
            </w:r>
          </w:p>
        </w:tc>
        <w:tc>
          <w:tcPr>
            <w:tcW w:w="1560" w:type="dxa"/>
            <w:vAlign w:val="bottom"/>
          </w:tcPr>
          <w:p>
            <w:pPr>
              <w:jc w:val="right"/>
              <w:spacing w:after="0"/>
              <w:rPr>
                <w:sz w:val="20"/>
                <w:szCs w:val="20"/>
                <w:color w:val="auto"/>
              </w:rPr>
            </w:pPr>
            <w:r>
              <w:rPr>
                <w:rFonts w:ascii="Arial" w:cs="Arial" w:eastAsia="Arial" w:hAnsi="Arial"/>
                <w:sz w:val="18"/>
                <w:szCs w:val="18"/>
                <w:color w:val="auto"/>
              </w:rPr>
              <w:t>1,141</w:t>
            </w: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256</w:t>
            </w:r>
          </w:p>
        </w:tc>
      </w:tr>
      <w:tr>
        <w:trPr>
          <w:trHeight w:val="229"/>
        </w:trPr>
        <w:tc>
          <w:tcPr>
            <w:tcW w:w="7760" w:type="dxa"/>
            <w:vAlign w:val="bottom"/>
          </w:tcPr>
          <w:p>
            <w:pPr>
              <w:ind w:left="20"/>
              <w:spacing w:after="0"/>
              <w:rPr>
                <w:sz w:val="20"/>
                <w:szCs w:val="20"/>
                <w:color w:val="auto"/>
              </w:rPr>
            </w:pPr>
            <w:r>
              <w:rPr>
                <w:rFonts w:ascii="Arial" w:cs="Arial" w:eastAsia="Arial" w:hAnsi="Arial"/>
                <w:sz w:val="18"/>
                <w:szCs w:val="18"/>
                <w:color w:val="auto"/>
              </w:rPr>
              <w:t>2024</w:t>
            </w:r>
          </w:p>
        </w:tc>
        <w:tc>
          <w:tcPr>
            <w:tcW w:w="1560" w:type="dxa"/>
            <w:vAlign w:val="bottom"/>
          </w:tcPr>
          <w:p>
            <w:pPr>
              <w:jc w:val="right"/>
              <w:spacing w:after="0"/>
              <w:rPr>
                <w:sz w:val="20"/>
                <w:szCs w:val="20"/>
                <w:color w:val="auto"/>
              </w:rPr>
            </w:pPr>
            <w:r>
              <w:rPr>
                <w:rFonts w:ascii="Arial" w:cs="Arial" w:eastAsia="Arial" w:hAnsi="Arial"/>
                <w:sz w:val="18"/>
                <w:szCs w:val="18"/>
                <w:color w:val="auto"/>
              </w:rPr>
              <w:t>574</w:t>
            </w: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253</w:t>
            </w:r>
          </w:p>
        </w:tc>
      </w:tr>
      <w:tr>
        <w:trPr>
          <w:trHeight w:val="230"/>
        </w:trPr>
        <w:tc>
          <w:tcPr>
            <w:tcW w:w="7760" w:type="dxa"/>
            <w:vAlign w:val="bottom"/>
          </w:tcPr>
          <w:p>
            <w:pPr>
              <w:ind w:left="20"/>
              <w:spacing w:after="0"/>
              <w:rPr>
                <w:sz w:val="20"/>
                <w:szCs w:val="20"/>
                <w:color w:val="auto"/>
              </w:rPr>
            </w:pPr>
            <w:r>
              <w:rPr>
                <w:rFonts w:ascii="Arial" w:cs="Arial" w:eastAsia="Arial" w:hAnsi="Arial"/>
                <w:sz w:val="18"/>
                <w:szCs w:val="18"/>
                <w:color w:val="auto"/>
              </w:rPr>
              <w:t>2025</w:t>
            </w:r>
          </w:p>
        </w:tc>
        <w:tc>
          <w:tcPr>
            <w:tcW w:w="1560" w:type="dxa"/>
            <w:vAlign w:val="bottom"/>
          </w:tcPr>
          <w:p>
            <w:pPr>
              <w:jc w:val="right"/>
              <w:spacing w:after="0"/>
              <w:rPr>
                <w:sz w:val="20"/>
                <w:szCs w:val="20"/>
                <w:color w:val="auto"/>
              </w:rPr>
            </w:pPr>
            <w:r>
              <w:rPr>
                <w:rFonts w:ascii="Arial" w:cs="Arial" w:eastAsia="Arial" w:hAnsi="Arial"/>
                <w:sz w:val="18"/>
                <w:szCs w:val="18"/>
                <w:color w:val="auto"/>
              </w:rPr>
              <w:t>437</w:t>
            </w: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246</w:t>
            </w:r>
          </w:p>
        </w:tc>
      </w:tr>
      <w:tr>
        <w:trPr>
          <w:trHeight w:val="229"/>
        </w:trPr>
        <w:tc>
          <w:tcPr>
            <w:tcW w:w="7760" w:type="dxa"/>
            <w:vAlign w:val="bottom"/>
          </w:tcPr>
          <w:p>
            <w:pPr>
              <w:ind w:left="20"/>
              <w:spacing w:after="0"/>
              <w:rPr>
                <w:sz w:val="20"/>
                <w:szCs w:val="20"/>
                <w:color w:val="auto"/>
              </w:rPr>
            </w:pPr>
            <w:r>
              <w:rPr>
                <w:rFonts w:ascii="Arial" w:cs="Arial" w:eastAsia="Arial" w:hAnsi="Arial"/>
                <w:sz w:val="18"/>
                <w:szCs w:val="18"/>
                <w:color w:val="auto"/>
              </w:rPr>
              <w:t>2026</w:t>
            </w:r>
          </w:p>
        </w:tc>
        <w:tc>
          <w:tcPr>
            <w:tcW w:w="1560" w:type="dxa"/>
            <w:vAlign w:val="bottom"/>
          </w:tcPr>
          <w:p>
            <w:pPr>
              <w:jc w:val="right"/>
              <w:spacing w:after="0"/>
              <w:rPr>
                <w:sz w:val="20"/>
                <w:szCs w:val="20"/>
                <w:color w:val="auto"/>
              </w:rPr>
            </w:pPr>
            <w:r>
              <w:rPr>
                <w:rFonts w:ascii="Arial" w:cs="Arial" w:eastAsia="Arial" w:hAnsi="Arial"/>
                <w:sz w:val="18"/>
                <w:szCs w:val="18"/>
                <w:color w:val="auto"/>
              </w:rPr>
              <w:t>384</w:t>
            </w: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382</w:t>
            </w:r>
          </w:p>
        </w:tc>
      </w:tr>
      <w:tr>
        <w:trPr>
          <w:trHeight w:val="230"/>
        </w:trPr>
        <w:tc>
          <w:tcPr>
            <w:tcW w:w="7760" w:type="dxa"/>
            <w:vAlign w:val="bottom"/>
          </w:tcPr>
          <w:p>
            <w:pPr>
              <w:ind w:left="20"/>
              <w:spacing w:after="0"/>
              <w:rPr>
                <w:sz w:val="20"/>
                <w:szCs w:val="20"/>
                <w:color w:val="auto"/>
              </w:rPr>
            </w:pPr>
            <w:r>
              <w:rPr>
                <w:rFonts w:ascii="Arial" w:cs="Arial" w:eastAsia="Arial" w:hAnsi="Arial"/>
                <w:sz w:val="18"/>
                <w:szCs w:val="18"/>
                <w:color w:val="auto"/>
              </w:rPr>
              <w:t>2027 and beyond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1,978</w:t>
            </w:r>
          </w:p>
        </w:tc>
        <w:tc>
          <w:tcPr>
            <w:tcW w:w="36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2,111</w:t>
            </w:r>
          </w:p>
        </w:tc>
      </w:tr>
      <w:tr>
        <w:trPr>
          <w:trHeight w:val="222"/>
        </w:trPr>
        <w:tc>
          <w:tcPr>
            <w:tcW w:w="7760" w:type="dxa"/>
            <w:vAlign w:val="bottom"/>
          </w:tcPr>
          <w:p>
            <w:pPr>
              <w:ind w:left="480"/>
              <w:spacing w:after="0"/>
              <w:rPr>
                <w:sz w:val="20"/>
                <w:szCs w:val="20"/>
                <w:color w:val="auto"/>
              </w:rPr>
            </w:pPr>
            <w:r>
              <w:rPr>
                <w:rFonts w:ascii="Arial" w:cs="Arial" w:eastAsia="Arial" w:hAnsi="Arial"/>
                <w:sz w:val="18"/>
                <w:szCs w:val="18"/>
                <w:color w:val="auto"/>
              </w:rPr>
              <w:t>Total lease payments</w:t>
            </w:r>
          </w:p>
        </w:tc>
        <w:tc>
          <w:tcPr>
            <w:tcW w:w="1560" w:type="dxa"/>
            <w:vAlign w:val="bottom"/>
          </w:tcPr>
          <w:p>
            <w:pPr>
              <w:jc w:val="right"/>
              <w:spacing w:after="0"/>
              <w:rPr>
                <w:sz w:val="20"/>
                <w:szCs w:val="20"/>
                <w:color w:val="auto"/>
              </w:rPr>
            </w:pPr>
            <w:r>
              <w:rPr>
                <w:rFonts w:ascii="Arial" w:cs="Arial" w:eastAsia="Arial" w:hAnsi="Arial"/>
                <w:sz w:val="18"/>
                <w:szCs w:val="18"/>
                <w:color w:val="auto"/>
              </w:rPr>
              <w:t>5,970</w:t>
            </w: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3,510</w:t>
            </w:r>
          </w:p>
        </w:tc>
      </w:tr>
      <w:tr>
        <w:trPr>
          <w:trHeight w:val="230"/>
        </w:trPr>
        <w:tc>
          <w:tcPr>
            <w:tcW w:w="7760" w:type="dxa"/>
            <w:vAlign w:val="bottom"/>
          </w:tcPr>
          <w:p>
            <w:pPr>
              <w:ind w:left="20"/>
              <w:spacing w:after="0"/>
              <w:rPr>
                <w:sz w:val="20"/>
                <w:szCs w:val="20"/>
                <w:color w:val="auto"/>
              </w:rPr>
            </w:pPr>
            <w:r>
              <w:rPr>
                <w:rFonts w:ascii="Arial" w:cs="Arial" w:eastAsia="Arial" w:hAnsi="Arial"/>
                <w:sz w:val="18"/>
                <w:szCs w:val="18"/>
                <w:color w:val="auto"/>
              </w:rPr>
              <w:t>Discount to present value</w:t>
            </w:r>
          </w:p>
        </w:tc>
        <w:tc>
          <w:tcPr>
            <w:tcW w:w="1560" w:type="dxa"/>
            <w:vAlign w:val="bottom"/>
            <w:tcBorders>
              <w:bottom w:val="single" w:sz="8" w:color="auto"/>
            </w:tcBorders>
          </w:tcPr>
          <w:p>
            <w:pPr>
              <w:ind w:left="1140"/>
              <w:spacing w:after="0"/>
              <w:rPr>
                <w:sz w:val="20"/>
                <w:szCs w:val="20"/>
                <w:color w:val="auto"/>
              </w:rPr>
            </w:pPr>
            <w:r>
              <w:rPr>
                <w:rFonts w:ascii="Arial" w:cs="Arial" w:eastAsia="Arial" w:hAnsi="Arial"/>
                <w:sz w:val="18"/>
                <w:szCs w:val="18"/>
                <w:color w:val="auto"/>
                <w:w w:val="95"/>
              </w:rPr>
              <w:t>(780)</w:t>
            </w:r>
          </w:p>
        </w:tc>
        <w:tc>
          <w:tcPr>
            <w:tcW w:w="36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(1,503)</w:t>
            </w:r>
          </w:p>
        </w:tc>
      </w:tr>
      <w:tr>
        <w:trPr>
          <w:trHeight w:val="223"/>
        </w:trPr>
        <w:tc>
          <w:tcPr>
            <w:tcW w:w="7760" w:type="dxa"/>
            <w:vAlign w:val="bottom"/>
          </w:tcPr>
          <w:p>
            <w:pPr>
              <w:ind w:left="480"/>
              <w:spacing w:after="0"/>
              <w:rPr>
                <w:sz w:val="20"/>
                <w:szCs w:val="20"/>
                <w:color w:val="auto"/>
              </w:rPr>
            </w:pPr>
            <w:r>
              <w:rPr>
                <w:rFonts w:ascii="Arial" w:cs="Arial" w:eastAsia="Arial" w:hAnsi="Arial"/>
                <w:sz w:val="18"/>
                <w:szCs w:val="18"/>
                <w:color w:val="auto"/>
              </w:rPr>
              <w:t>Total lease liability</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5,190</w:t>
            </w:r>
          </w:p>
        </w:tc>
        <w:tc>
          <w:tcPr>
            <w:tcW w:w="36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2,007</w:t>
            </w:r>
          </w:p>
        </w:tc>
      </w:tr>
    </w:tbl>
    <w:p>
      <w:pPr>
        <w:spacing w:after="0" w:line="2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to the lease liabilities in the table immediately above, at December 31, 2021, undiscounted commitments for leases not yet commenced totaled $962 million for operating leases and $4,960 million for finance leases. Estimated cash payments for operating and finance leases not yet commenced are $310 million and $415 million for 2022 and 2023 respectively. The finance leases relate to floating production storage and offloading vessels, LNG transportation vessels, and a long-term hydrogen purchase agreement. The underlying assets for these finance leases were primarily designed by, and are being constructed by, the lessors.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6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w w:val="91"/>
              </w:rPr>
              <w:t>Operating Leases</w:t>
            </w:r>
          </w:p>
        </w:tc>
        <w:tc>
          <w:tcPr>
            <w:tcW w:w="720" w:type="dxa"/>
            <w:vAlign w:val="bottom"/>
            <w:tcBorders>
              <w:bottom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w w:val="93"/>
              </w:rPr>
              <w:t>Finance Leases</w:t>
            </w:r>
          </w:p>
        </w:tc>
        <w:tc>
          <w:tcPr>
            <w:tcW w:w="700" w:type="dxa"/>
            <w:vAlign w:val="bottom"/>
            <w:tcBorders>
              <w:bottom w:val="single" w:sz="8" w:color="auto"/>
            </w:tcBorders>
          </w:tcPr>
          <w:p>
            <w:pPr>
              <w:spacing w:after="0"/>
              <w:rPr>
                <w:sz w:val="16"/>
                <w:szCs w:val="16"/>
                <w:color w:val="auto"/>
              </w:rPr>
            </w:pPr>
          </w:p>
        </w:tc>
      </w:tr>
      <w:tr>
        <w:trPr>
          <w:trHeight w:val="216"/>
        </w:trPr>
        <w:tc>
          <w:tcPr>
            <w:tcW w:w="47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Other Information</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136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2020</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134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2020</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r>
      <w:tr>
        <w:trPr>
          <w:trHeight w:val="176"/>
        </w:trPr>
        <w:tc>
          <w:tcPr>
            <w:tcW w:w="4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640" w:type="dxa"/>
            <w:vAlign w:val="bottom"/>
            <w:gridSpan w:val="3"/>
          </w:tcPr>
          <w:p>
            <w:pPr>
              <w:ind w:left="360"/>
              <w:spacing w:after="0"/>
              <w:rPr>
                <w:sz w:val="20"/>
                <w:szCs w:val="20"/>
                <w:color w:val="auto"/>
              </w:rPr>
            </w:pPr>
            <w:r>
              <w:rPr>
                <w:rFonts w:ascii="Arial" w:cs="Arial" w:eastAsia="Arial" w:hAnsi="Arial"/>
                <w:sz w:val="14"/>
                <w:szCs w:val="14"/>
                <w:i w:val="1"/>
                <w:iCs w:val="1"/>
                <w:color w:val="auto"/>
              </w:rPr>
              <w:t>(millions of dollars)</w:t>
            </w:r>
          </w:p>
        </w:tc>
        <w:tc>
          <w:tcPr>
            <w:tcW w:w="5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2"/>
        </w:trPr>
        <w:tc>
          <w:tcPr>
            <w:tcW w:w="4760" w:type="dxa"/>
            <w:vAlign w:val="bottom"/>
          </w:tcPr>
          <w:p>
            <w:pPr>
              <w:ind w:left="20"/>
              <w:spacing w:after="0" w:line="182" w:lineRule="exact"/>
              <w:rPr>
                <w:sz w:val="20"/>
                <w:szCs w:val="20"/>
                <w:color w:val="auto"/>
              </w:rPr>
            </w:pPr>
            <w:r>
              <w:rPr>
                <w:rFonts w:ascii="Arial" w:cs="Arial" w:eastAsia="Arial" w:hAnsi="Arial"/>
                <w:sz w:val="18"/>
                <w:szCs w:val="18"/>
                <w:color w:val="auto"/>
                <w:w w:val="97"/>
              </w:rPr>
              <w:t>Cash paid for amounts included in the measurement of lease</w:t>
            </w:r>
          </w:p>
        </w:tc>
        <w:tc>
          <w:tcPr>
            <w:tcW w:w="9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29"/>
        </w:trPr>
        <w:tc>
          <w:tcPr>
            <w:tcW w:w="476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9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9"/>
        </w:trPr>
        <w:tc>
          <w:tcPr>
            <w:tcW w:w="4760" w:type="dxa"/>
            <w:vAlign w:val="bottom"/>
          </w:tcPr>
          <w:p>
            <w:pPr>
              <w:ind w:left="220"/>
              <w:spacing w:after="0"/>
              <w:rPr>
                <w:sz w:val="20"/>
                <w:szCs w:val="20"/>
                <w:color w:val="auto"/>
              </w:rPr>
            </w:pPr>
            <w:r>
              <w:rPr>
                <w:rFonts w:ascii="Arial" w:cs="Arial" w:eastAsia="Arial" w:hAnsi="Arial"/>
                <w:sz w:val="18"/>
                <w:szCs w:val="18"/>
                <w:color w:val="auto"/>
              </w:rPr>
              <w:t>Cash flows from operating activities</w:t>
            </w:r>
          </w:p>
        </w:tc>
        <w:tc>
          <w:tcPr>
            <w:tcW w:w="940" w:type="dxa"/>
            <w:vAlign w:val="bottom"/>
          </w:tcPr>
          <w:p>
            <w:pPr>
              <w:jc w:val="right"/>
              <w:spacing w:after="0"/>
              <w:rPr>
                <w:sz w:val="20"/>
                <w:szCs w:val="20"/>
                <w:color w:val="auto"/>
              </w:rPr>
            </w:pPr>
            <w:r>
              <w:rPr>
                <w:rFonts w:ascii="Arial" w:cs="Arial" w:eastAsia="Arial" w:hAnsi="Arial"/>
                <w:sz w:val="18"/>
                <w:szCs w:val="18"/>
                <w:color w:val="auto"/>
              </w:rPr>
              <w:t>1,135</w:t>
            </w:r>
          </w:p>
        </w:tc>
        <w:tc>
          <w:tcPr>
            <w:tcW w:w="1360" w:type="dxa"/>
            <w:vAlign w:val="bottom"/>
          </w:tcPr>
          <w:p>
            <w:pPr>
              <w:jc w:val="right"/>
              <w:ind w:right="317"/>
              <w:spacing w:after="0"/>
              <w:rPr>
                <w:sz w:val="20"/>
                <w:szCs w:val="20"/>
                <w:color w:val="auto"/>
              </w:rPr>
            </w:pPr>
            <w:r>
              <w:rPr>
                <w:rFonts w:ascii="Arial" w:cs="Arial" w:eastAsia="Arial" w:hAnsi="Arial"/>
                <w:sz w:val="18"/>
                <w:szCs w:val="18"/>
                <w:color w:val="auto"/>
              </w:rPr>
              <w:t>1,159</w:t>
            </w:r>
          </w:p>
        </w:tc>
        <w:tc>
          <w:tcPr>
            <w:tcW w:w="720" w:type="dxa"/>
            <w:vAlign w:val="bottom"/>
          </w:tcPr>
          <w:p>
            <w:pPr>
              <w:jc w:val="right"/>
              <w:spacing w:after="0"/>
              <w:rPr>
                <w:sz w:val="20"/>
                <w:szCs w:val="20"/>
                <w:color w:val="auto"/>
              </w:rPr>
            </w:pPr>
            <w:r>
              <w:rPr>
                <w:rFonts w:ascii="Arial" w:cs="Arial" w:eastAsia="Arial" w:hAnsi="Arial"/>
                <w:sz w:val="18"/>
                <w:szCs w:val="18"/>
                <w:color w:val="auto"/>
              </w:rPr>
              <w:t>1,116</w:t>
            </w: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jc w:val="right"/>
              <w:ind w:right="35"/>
              <w:spacing w:after="0"/>
              <w:rPr>
                <w:sz w:val="20"/>
                <w:szCs w:val="20"/>
                <w:color w:val="auto"/>
              </w:rPr>
            </w:pPr>
            <w:r>
              <w:rPr>
                <w:rFonts w:ascii="Arial" w:cs="Arial" w:eastAsia="Arial" w:hAnsi="Arial"/>
                <w:sz w:val="18"/>
                <w:szCs w:val="18"/>
                <w:color w:val="auto"/>
              </w:rPr>
              <w:t>20</w:t>
            </w:r>
          </w:p>
        </w:tc>
        <w:tc>
          <w:tcPr>
            <w:tcW w:w="1340" w:type="dxa"/>
            <w:vAlign w:val="bottom"/>
          </w:tcPr>
          <w:p>
            <w:pPr>
              <w:jc w:val="right"/>
              <w:ind w:right="337"/>
              <w:spacing w:after="0"/>
              <w:rPr>
                <w:sz w:val="20"/>
                <w:szCs w:val="20"/>
                <w:color w:val="auto"/>
              </w:rPr>
            </w:pPr>
            <w:r>
              <w:rPr>
                <w:rFonts w:ascii="Arial" w:cs="Arial" w:eastAsia="Arial" w:hAnsi="Arial"/>
                <w:sz w:val="18"/>
                <w:szCs w:val="18"/>
                <w:color w:val="auto"/>
              </w:rPr>
              <w:t>31</w:t>
            </w:r>
          </w:p>
        </w:tc>
        <w:tc>
          <w:tcPr>
            <w:tcW w:w="7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30"/>
        </w:trPr>
        <w:tc>
          <w:tcPr>
            <w:tcW w:w="4760" w:type="dxa"/>
            <w:vAlign w:val="bottom"/>
          </w:tcPr>
          <w:p>
            <w:pPr>
              <w:ind w:left="220"/>
              <w:spacing w:after="0"/>
              <w:rPr>
                <w:sz w:val="20"/>
                <w:szCs w:val="20"/>
                <w:color w:val="auto"/>
              </w:rPr>
            </w:pPr>
            <w:r>
              <w:rPr>
                <w:rFonts w:ascii="Arial" w:cs="Arial" w:eastAsia="Arial" w:hAnsi="Arial"/>
                <w:sz w:val="18"/>
                <w:szCs w:val="18"/>
                <w:color w:val="auto"/>
              </w:rPr>
              <w:t>Cash flows from investing activities</w:t>
            </w:r>
          </w:p>
        </w:tc>
        <w:tc>
          <w:tcPr>
            <w:tcW w:w="940" w:type="dxa"/>
            <w:vAlign w:val="bottom"/>
          </w:tcPr>
          <w:p>
            <w:pPr>
              <w:jc w:val="right"/>
              <w:spacing w:after="0"/>
              <w:rPr>
                <w:sz w:val="20"/>
                <w:szCs w:val="20"/>
                <w:color w:val="auto"/>
              </w:rPr>
            </w:pPr>
            <w:r>
              <w:rPr>
                <w:rFonts w:ascii="Arial" w:cs="Arial" w:eastAsia="Arial" w:hAnsi="Arial"/>
                <w:sz w:val="18"/>
                <w:szCs w:val="18"/>
                <w:color w:val="auto"/>
              </w:rPr>
              <w:t>291</w:t>
            </w:r>
          </w:p>
        </w:tc>
        <w:tc>
          <w:tcPr>
            <w:tcW w:w="1360" w:type="dxa"/>
            <w:vAlign w:val="bottom"/>
          </w:tcPr>
          <w:p>
            <w:pPr>
              <w:jc w:val="right"/>
              <w:ind w:right="317"/>
              <w:spacing w:after="0"/>
              <w:rPr>
                <w:sz w:val="20"/>
                <w:szCs w:val="20"/>
                <w:color w:val="auto"/>
              </w:rPr>
            </w:pPr>
            <w:r>
              <w:rPr>
                <w:rFonts w:ascii="Arial" w:cs="Arial" w:eastAsia="Arial" w:hAnsi="Arial"/>
                <w:sz w:val="18"/>
                <w:szCs w:val="18"/>
                <w:color w:val="auto"/>
              </w:rPr>
              <w:t>283</w:t>
            </w:r>
          </w:p>
        </w:tc>
        <w:tc>
          <w:tcPr>
            <w:tcW w:w="720" w:type="dxa"/>
            <w:vAlign w:val="bottom"/>
          </w:tcPr>
          <w:p>
            <w:pPr>
              <w:jc w:val="right"/>
              <w:spacing w:after="0"/>
              <w:rPr>
                <w:sz w:val="20"/>
                <w:szCs w:val="20"/>
                <w:color w:val="auto"/>
              </w:rPr>
            </w:pPr>
            <w:r>
              <w:rPr>
                <w:rFonts w:ascii="Arial" w:cs="Arial" w:eastAsia="Arial" w:hAnsi="Arial"/>
                <w:sz w:val="18"/>
                <w:szCs w:val="18"/>
                <w:color w:val="auto"/>
              </w:rPr>
              <w:t>258</w:t>
            </w: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30"/>
        </w:trPr>
        <w:tc>
          <w:tcPr>
            <w:tcW w:w="4760" w:type="dxa"/>
            <w:vAlign w:val="bottom"/>
          </w:tcPr>
          <w:p>
            <w:pPr>
              <w:ind w:left="220"/>
              <w:spacing w:after="0"/>
              <w:rPr>
                <w:sz w:val="20"/>
                <w:szCs w:val="20"/>
                <w:color w:val="auto"/>
              </w:rPr>
            </w:pPr>
            <w:r>
              <w:rPr>
                <w:rFonts w:ascii="Arial" w:cs="Arial" w:eastAsia="Arial" w:hAnsi="Arial"/>
                <w:sz w:val="18"/>
                <w:szCs w:val="18"/>
                <w:color w:val="auto"/>
              </w:rPr>
              <w:t>Cash flows from financing activities</w:t>
            </w:r>
          </w:p>
        </w:tc>
        <w:tc>
          <w:tcPr>
            <w:tcW w:w="9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 w:type="dxa"/>
            <w:vAlign w:val="bottom"/>
          </w:tcPr>
          <w:p>
            <w:pPr>
              <w:jc w:val="right"/>
              <w:ind w:right="35"/>
              <w:spacing w:after="0"/>
              <w:rPr>
                <w:sz w:val="20"/>
                <w:szCs w:val="20"/>
                <w:color w:val="auto"/>
              </w:rPr>
            </w:pPr>
            <w:r>
              <w:rPr>
                <w:rFonts w:ascii="Arial" w:cs="Arial" w:eastAsia="Arial" w:hAnsi="Arial"/>
                <w:sz w:val="18"/>
                <w:szCs w:val="18"/>
                <w:color w:val="auto"/>
              </w:rPr>
              <w:t>110</w:t>
            </w:r>
          </w:p>
        </w:tc>
        <w:tc>
          <w:tcPr>
            <w:tcW w:w="1340" w:type="dxa"/>
            <w:vAlign w:val="bottom"/>
          </w:tcPr>
          <w:p>
            <w:pPr>
              <w:jc w:val="right"/>
              <w:ind w:right="337"/>
              <w:spacing w:after="0"/>
              <w:rPr>
                <w:sz w:val="20"/>
                <w:szCs w:val="20"/>
                <w:color w:val="auto"/>
              </w:rPr>
            </w:pPr>
            <w:r>
              <w:rPr>
                <w:rFonts w:ascii="Arial" w:cs="Arial" w:eastAsia="Arial" w:hAnsi="Arial"/>
                <w:sz w:val="18"/>
                <w:szCs w:val="18"/>
                <w:color w:val="auto"/>
              </w:rPr>
              <w:t>94</w:t>
            </w:r>
          </w:p>
        </w:tc>
        <w:tc>
          <w:tcPr>
            <w:tcW w:w="700" w:type="dxa"/>
            <w:vAlign w:val="bottom"/>
          </w:tcPr>
          <w:p>
            <w:pPr>
              <w:jc w:val="right"/>
              <w:spacing w:after="0"/>
              <w:rPr>
                <w:sz w:val="20"/>
                <w:szCs w:val="20"/>
                <w:color w:val="auto"/>
              </w:rPr>
            </w:pPr>
            <w:r>
              <w:rPr>
                <w:rFonts w:ascii="Arial" w:cs="Arial" w:eastAsia="Arial" w:hAnsi="Arial"/>
                <w:sz w:val="18"/>
                <w:szCs w:val="18"/>
                <w:color w:val="auto"/>
              </w:rPr>
              <w:t>177</w:t>
            </w:r>
          </w:p>
        </w:tc>
      </w:tr>
      <w:tr>
        <w:trPr>
          <w:trHeight w:val="499"/>
        </w:trPr>
        <w:tc>
          <w:tcPr>
            <w:tcW w:w="4760" w:type="dxa"/>
            <w:vAlign w:val="bottom"/>
          </w:tcPr>
          <w:p>
            <w:pPr>
              <w:ind w:left="20"/>
              <w:spacing w:after="0"/>
              <w:rPr>
                <w:sz w:val="20"/>
                <w:szCs w:val="20"/>
                <w:color w:val="auto"/>
              </w:rPr>
            </w:pPr>
            <w:r>
              <w:rPr>
                <w:rFonts w:ascii="Arial" w:cs="Arial" w:eastAsia="Arial" w:hAnsi="Arial"/>
                <w:sz w:val="18"/>
                <w:szCs w:val="18"/>
                <w:color w:val="auto"/>
              </w:rPr>
              <w:t>Noncash right of use assets recorded for lease liabilities</w:t>
            </w:r>
          </w:p>
        </w:tc>
        <w:tc>
          <w:tcPr>
            <w:tcW w:w="9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30"/>
        </w:trPr>
        <w:tc>
          <w:tcPr>
            <w:tcW w:w="4760" w:type="dxa"/>
            <w:vAlign w:val="bottom"/>
          </w:tcPr>
          <w:p>
            <w:pPr>
              <w:ind w:left="220"/>
              <w:spacing w:after="0"/>
              <w:rPr>
                <w:sz w:val="20"/>
                <w:szCs w:val="20"/>
                <w:color w:val="auto"/>
              </w:rPr>
            </w:pPr>
            <w:r>
              <w:rPr>
                <w:rFonts w:ascii="Arial" w:cs="Arial" w:eastAsia="Arial" w:hAnsi="Arial"/>
                <w:sz w:val="18"/>
                <w:szCs w:val="18"/>
                <w:color w:val="auto"/>
              </w:rPr>
              <w:t>For January 1 adoption of ASC 842</w:t>
            </w:r>
          </w:p>
        </w:tc>
        <w:tc>
          <w:tcPr>
            <w:tcW w:w="9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3,263</w:t>
            </w: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30"/>
        </w:trPr>
        <w:tc>
          <w:tcPr>
            <w:tcW w:w="4760" w:type="dxa"/>
            <w:vAlign w:val="bottom"/>
          </w:tcPr>
          <w:p>
            <w:pPr>
              <w:ind w:left="220"/>
              <w:spacing w:after="0"/>
              <w:rPr>
                <w:sz w:val="20"/>
                <w:szCs w:val="20"/>
                <w:color w:val="auto"/>
              </w:rPr>
            </w:pPr>
            <w:r>
              <w:rPr>
                <w:rFonts w:ascii="Arial" w:cs="Arial" w:eastAsia="Arial" w:hAnsi="Arial"/>
                <w:sz w:val="18"/>
                <w:szCs w:val="18"/>
                <w:color w:val="auto"/>
              </w:rPr>
              <w:t>In exchange for lease liabilities during the period</w:t>
            </w:r>
          </w:p>
        </w:tc>
        <w:tc>
          <w:tcPr>
            <w:tcW w:w="940" w:type="dxa"/>
            <w:vAlign w:val="bottom"/>
          </w:tcPr>
          <w:p>
            <w:pPr>
              <w:jc w:val="right"/>
              <w:spacing w:after="0"/>
              <w:rPr>
                <w:sz w:val="20"/>
                <w:szCs w:val="20"/>
                <w:color w:val="auto"/>
              </w:rPr>
            </w:pPr>
            <w:r>
              <w:rPr>
                <w:rFonts w:ascii="Arial" w:cs="Arial" w:eastAsia="Arial" w:hAnsi="Arial"/>
                <w:sz w:val="18"/>
                <w:szCs w:val="18"/>
                <w:color w:val="auto"/>
              </w:rPr>
              <w:t>1,405</w:t>
            </w:r>
          </w:p>
        </w:tc>
        <w:tc>
          <w:tcPr>
            <w:tcW w:w="1360" w:type="dxa"/>
            <w:vAlign w:val="bottom"/>
          </w:tcPr>
          <w:p>
            <w:pPr>
              <w:jc w:val="right"/>
              <w:ind w:right="317"/>
              <w:spacing w:after="0"/>
              <w:rPr>
                <w:sz w:val="20"/>
                <w:szCs w:val="20"/>
                <w:color w:val="auto"/>
              </w:rPr>
            </w:pPr>
            <w:r>
              <w:rPr>
                <w:rFonts w:ascii="Arial" w:cs="Arial" w:eastAsia="Arial" w:hAnsi="Arial"/>
                <w:sz w:val="18"/>
                <w:szCs w:val="18"/>
                <w:color w:val="auto"/>
              </w:rPr>
              <w:t>735</w:t>
            </w:r>
          </w:p>
        </w:tc>
        <w:tc>
          <w:tcPr>
            <w:tcW w:w="720" w:type="dxa"/>
            <w:vAlign w:val="bottom"/>
          </w:tcPr>
          <w:p>
            <w:pPr>
              <w:jc w:val="right"/>
              <w:spacing w:after="0"/>
              <w:rPr>
                <w:sz w:val="20"/>
                <w:szCs w:val="20"/>
                <w:color w:val="auto"/>
              </w:rPr>
            </w:pPr>
            <w:r>
              <w:rPr>
                <w:rFonts w:ascii="Arial" w:cs="Arial" w:eastAsia="Arial" w:hAnsi="Arial"/>
                <w:sz w:val="18"/>
                <w:szCs w:val="18"/>
                <w:color w:val="auto"/>
              </w:rPr>
              <w:t>3,663</w:t>
            </w:r>
          </w:p>
        </w:tc>
        <w:tc>
          <w:tcPr>
            <w:tcW w:w="4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 w:type="dxa"/>
            <w:vAlign w:val="bottom"/>
          </w:tcPr>
          <w:p>
            <w:pPr>
              <w:jc w:val="right"/>
              <w:ind w:right="35"/>
              <w:spacing w:after="0"/>
              <w:rPr>
                <w:sz w:val="20"/>
                <w:szCs w:val="20"/>
                <w:color w:val="auto"/>
              </w:rPr>
            </w:pPr>
            <w:r>
              <w:rPr>
                <w:rFonts w:ascii="Arial" w:cs="Arial" w:eastAsia="Arial" w:hAnsi="Arial"/>
                <w:sz w:val="18"/>
                <w:szCs w:val="18"/>
                <w:color w:val="auto"/>
              </w:rPr>
              <w:t>200</w:t>
            </w:r>
          </w:p>
        </w:tc>
        <w:tc>
          <w:tcPr>
            <w:tcW w:w="1340" w:type="dxa"/>
            <w:vAlign w:val="bottom"/>
          </w:tcPr>
          <w:p>
            <w:pPr>
              <w:jc w:val="right"/>
              <w:ind w:right="337"/>
              <w:spacing w:after="0"/>
              <w:rPr>
                <w:sz w:val="20"/>
                <w:szCs w:val="20"/>
                <w:color w:val="auto"/>
              </w:rPr>
            </w:pPr>
            <w:r>
              <w:rPr>
                <w:rFonts w:ascii="Arial" w:cs="Arial" w:eastAsia="Arial" w:hAnsi="Arial"/>
                <w:sz w:val="18"/>
                <w:szCs w:val="18"/>
                <w:color w:val="auto"/>
              </w:rPr>
              <w:t>108</w:t>
            </w:r>
          </w:p>
        </w:tc>
        <w:tc>
          <w:tcPr>
            <w:tcW w:w="700" w:type="dxa"/>
            <w:vAlign w:val="bottom"/>
          </w:tcPr>
          <w:p>
            <w:pPr>
              <w:jc w:val="right"/>
              <w:spacing w:after="0"/>
              <w:rPr>
                <w:sz w:val="20"/>
                <w:szCs w:val="20"/>
                <w:color w:val="auto"/>
              </w:rPr>
            </w:pPr>
            <w:r>
              <w:rPr>
                <w:rFonts w:ascii="Arial" w:cs="Arial" w:eastAsia="Arial" w:hAnsi="Arial"/>
                <w:sz w:val="18"/>
                <w:szCs w:val="18"/>
                <w:color w:val="auto"/>
              </w:rPr>
              <w:t>422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34"/>
        </w:trPr>
        <w:tc>
          <w:tcPr>
            <w:tcW w:w="6780" w:type="dxa"/>
            <w:vAlign w:val="bottom"/>
          </w:tcPr>
          <w:p>
            <w:pPr>
              <w:spacing w:after="0"/>
              <w:rPr>
                <w:sz w:val="20"/>
                <w:szCs w:val="20"/>
                <w:color w:val="auto"/>
              </w:rPr>
            </w:pPr>
            <w:r>
              <w:rPr>
                <w:rFonts w:ascii="Arial" w:cs="Arial" w:eastAsia="Arial" w:hAnsi="Arial"/>
                <w:sz w:val="18"/>
                <w:szCs w:val="18"/>
                <w:b w:val="1"/>
                <w:bCs w:val="1"/>
                <w:color w:val="auto"/>
              </w:rPr>
              <w:t>NOTES TO CONSOLIDATED FINANCIAL STATEMENTS</w:t>
            </w:r>
          </w:p>
        </w:tc>
        <w:tc>
          <w:tcPr>
            <w:tcW w:w="20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702"/>
        </w:trPr>
        <w:tc>
          <w:tcPr>
            <w:tcW w:w="6780" w:type="dxa"/>
            <w:vAlign w:val="bottom"/>
          </w:tcPr>
          <w:p>
            <w:pPr>
              <w:spacing w:after="0"/>
              <w:rPr>
                <w:sz w:val="20"/>
                <w:szCs w:val="20"/>
                <w:color w:val="auto"/>
              </w:rPr>
            </w:pPr>
            <w:r>
              <w:rPr>
                <w:rFonts w:ascii="Arial" w:cs="Arial" w:eastAsia="Arial" w:hAnsi="Arial"/>
                <w:sz w:val="18"/>
                <w:szCs w:val="18"/>
                <w:b w:val="1"/>
                <w:bCs w:val="1"/>
                <w:color w:val="auto"/>
              </w:rPr>
              <w:t>12. Earnings Per Share</w:t>
            </w:r>
          </w:p>
        </w:tc>
        <w:tc>
          <w:tcPr>
            <w:tcW w:w="20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51"/>
        </w:trPr>
        <w:tc>
          <w:tcPr>
            <w:tcW w:w="67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Earnings per common share</w:t>
            </w:r>
          </w:p>
        </w:tc>
        <w:tc>
          <w:tcPr>
            <w:tcW w:w="2080" w:type="dxa"/>
            <w:vAlign w:val="bottom"/>
            <w:tcBorders>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rPr>
              <w:t>2021</w:t>
            </w:r>
          </w:p>
        </w:tc>
        <w:tc>
          <w:tcPr>
            <w:tcW w:w="1400" w:type="dxa"/>
            <w:vAlign w:val="bottom"/>
            <w:tcBorders>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2020</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r>
      <w:tr>
        <w:trPr>
          <w:trHeight w:val="224"/>
        </w:trPr>
        <w:tc>
          <w:tcPr>
            <w:tcW w:w="6780" w:type="dxa"/>
            <w:vAlign w:val="bottom"/>
          </w:tcPr>
          <w:p>
            <w:pPr>
              <w:ind w:left="20"/>
              <w:spacing w:after="0"/>
              <w:rPr>
                <w:sz w:val="20"/>
                <w:szCs w:val="20"/>
                <w:color w:val="auto"/>
              </w:rPr>
            </w:pPr>
            <w:r>
              <w:rPr>
                <w:rFonts w:ascii="Arial" w:cs="Arial" w:eastAsia="Arial" w:hAnsi="Arial"/>
                <w:sz w:val="18"/>
                <w:szCs w:val="18"/>
                <w:color w:val="auto"/>
              </w:rPr>
              <w:t xml:space="preserve">Net income (loss) attributable to ExxonMobil </w:t>
            </w:r>
            <w:r>
              <w:rPr>
                <w:rFonts w:ascii="Arial" w:cs="Arial" w:eastAsia="Arial" w:hAnsi="Arial"/>
                <w:sz w:val="18"/>
                <w:szCs w:val="18"/>
                <w:i w:val="1"/>
                <w:iCs w:val="1"/>
                <w:color w:val="auto"/>
              </w:rPr>
              <w:t>(millions of dollars)</w:t>
            </w:r>
          </w:p>
        </w:tc>
        <w:tc>
          <w:tcPr>
            <w:tcW w:w="2080" w:type="dxa"/>
            <w:vAlign w:val="bottom"/>
          </w:tcPr>
          <w:p>
            <w:pPr>
              <w:jc w:val="right"/>
              <w:ind w:right="332"/>
              <w:spacing w:after="0"/>
              <w:rPr>
                <w:sz w:val="20"/>
                <w:szCs w:val="20"/>
                <w:color w:val="auto"/>
              </w:rPr>
            </w:pPr>
            <w:r>
              <w:rPr>
                <w:rFonts w:ascii="Arial" w:cs="Arial" w:eastAsia="Arial" w:hAnsi="Arial"/>
                <w:sz w:val="18"/>
                <w:szCs w:val="18"/>
                <w:color w:val="auto"/>
              </w:rPr>
              <w:t>23,040</w:t>
            </w:r>
          </w:p>
        </w:tc>
        <w:tc>
          <w:tcPr>
            <w:tcW w:w="1400" w:type="dxa"/>
            <w:vAlign w:val="bottom"/>
          </w:tcPr>
          <w:p>
            <w:pPr>
              <w:jc w:val="right"/>
              <w:ind w:right="332"/>
              <w:spacing w:after="0"/>
              <w:rPr>
                <w:sz w:val="20"/>
                <w:szCs w:val="20"/>
                <w:color w:val="auto"/>
              </w:rPr>
            </w:pPr>
            <w:r>
              <w:rPr>
                <w:rFonts w:ascii="Arial" w:cs="Arial" w:eastAsia="Arial" w:hAnsi="Arial"/>
                <w:sz w:val="18"/>
                <w:szCs w:val="18"/>
                <w:color w:val="auto"/>
              </w:rPr>
              <w:t>(22,440)</w:t>
            </w:r>
          </w:p>
        </w:tc>
        <w:tc>
          <w:tcPr>
            <w:tcW w:w="980" w:type="dxa"/>
            <w:vAlign w:val="bottom"/>
          </w:tcPr>
          <w:p>
            <w:pPr>
              <w:jc w:val="right"/>
              <w:spacing w:after="0"/>
              <w:rPr>
                <w:sz w:val="20"/>
                <w:szCs w:val="20"/>
                <w:color w:val="auto"/>
              </w:rPr>
            </w:pPr>
            <w:r>
              <w:rPr>
                <w:rFonts w:ascii="Arial" w:cs="Arial" w:eastAsia="Arial" w:hAnsi="Arial"/>
                <w:sz w:val="18"/>
                <w:szCs w:val="18"/>
                <w:color w:val="auto"/>
              </w:rPr>
              <w:t>14,340</w:t>
            </w:r>
          </w:p>
        </w:tc>
      </w:tr>
      <w:tr>
        <w:trPr>
          <w:trHeight w:val="391"/>
        </w:trPr>
        <w:tc>
          <w:tcPr>
            <w:tcW w:w="6780" w:type="dxa"/>
            <w:vAlign w:val="bottom"/>
          </w:tcPr>
          <w:p>
            <w:pPr>
              <w:ind w:left="20"/>
              <w:spacing w:after="0"/>
              <w:rPr>
                <w:sz w:val="20"/>
                <w:szCs w:val="20"/>
                <w:color w:val="auto"/>
              </w:rPr>
            </w:pPr>
            <w:r>
              <w:rPr>
                <w:rFonts w:ascii="Arial" w:cs="Arial" w:eastAsia="Arial" w:hAnsi="Arial"/>
                <w:sz w:val="18"/>
                <w:szCs w:val="18"/>
                <w:color w:val="auto"/>
              </w:rPr>
              <w:t xml:space="preserve">Weighted average number of common shares outstanding </w:t>
            </w:r>
            <w:r>
              <w:rPr>
                <w:rFonts w:ascii="Arial" w:cs="Arial" w:eastAsia="Arial" w:hAnsi="Arial"/>
                <w:sz w:val="18"/>
                <w:szCs w:val="18"/>
                <w:i w:val="1"/>
                <w:iCs w:val="1"/>
                <w:color w:val="auto"/>
              </w:rPr>
              <w:t>(millions of shares)</w:t>
            </w:r>
          </w:p>
        </w:tc>
        <w:tc>
          <w:tcPr>
            <w:tcW w:w="2080" w:type="dxa"/>
            <w:vAlign w:val="bottom"/>
          </w:tcPr>
          <w:p>
            <w:pPr>
              <w:jc w:val="right"/>
              <w:ind w:right="332"/>
              <w:spacing w:after="0"/>
              <w:rPr>
                <w:sz w:val="20"/>
                <w:szCs w:val="20"/>
                <w:color w:val="auto"/>
              </w:rPr>
            </w:pPr>
            <w:r>
              <w:rPr>
                <w:rFonts w:ascii="Arial" w:cs="Arial" w:eastAsia="Arial" w:hAnsi="Arial"/>
                <w:sz w:val="18"/>
                <w:szCs w:val="18"/>
                <w:color w:val="auto"/>
              </w:rPr>
              <w:t>4,275</w:t>
            </w:r>
          </w:p>
        </w:tc>
        <w:tc>
          <w:tcPr>
            <w:tcW w:w="1400" w:type="dxa"/>
            <w:vAlign w:val="bottom"/>
          </w:tcPr>
          <w:p>
            <w:pPr>
              <w:jc w:val="right"/>
              <w:ind w:right="372"/>
              <w:spacing w:after="0"/>
              <w:rPr>
                <w:sz w:val="20"/>
                <w:szCs w:val="20"/>
                <w:color w:val="auto"/>
              </w:rPr>
            </w:pPr>
            <w:r>
              <w:rPr>
                <w:rFonts w:ascii="Arial" w:cs="Arial" w:eastAsia="Arial" w:hAnsi="Arial"/>
                <w:sz w:val="18"/>
                <w:szCs w:val="18"/>
                <w:color w:val="auto"/>
              </w:rPr>
              <w:t>4,271</w:t>
            </w:r>
          </w:p>
        </w:tc>
        <w:tc>
          <w:tcPr>
            <w:tcW w:w="980" w:type="dxa"/>
            <w:vAlign w:val="bottom"/>
          </w:tcPr>
          <w:p>
            <w:pPr>
              <w:jc w:val="right"/>
              <w:spacing w:after="0"/>
              <w:rPr>
                <w:sz w:val="20"/>
                <w:szCs w:val="20"/>
                <w:color w:val="auto"/>
              </w:rPr>
            </w:pPr>
            <w:r>
              <w:rPr>
                <w:rFonts w:ascii="Arial" w:cs="Arial" w:eastAsia="Arial" w:hAnsi="Arial"/>
                <w:sz w:val="18"/>
                <w:szCs w:val="18"/>
                <w:color w:val="auto"/>
              </w:rPr>
              <w:t>4,270</w:t>
            </w:r>
          </w:p>
        </w:tc>
      </w:tr>
      <w:tr>
        <w:trPr>
          <w:trHeight w:val="392"/>
        </w:trPr>
        <w:tc>
          <w:tcPr>
            <w:tcW w:w="6780" w:type="dxa"/>
            <w:vAlign w:val="bottom"/>
          </w:tcPr>
          <w:p>
            <w:pPr>
              <w:ind w:left="20"/>
              <w:spacing w:after="0"/>
              <w:rPr>
                <w:sz w:val="20"/>
                <w:szCs w:val="20"/>
                <w:color w:val="auto"/>
              </w:rPr>
            </w:pPr>
            <w:r>
              <w:rPr>
                <w:rFonts w:ascii="Arial" w:cs="Arial" w:eastAsia="Arial" w:hAnsi="Arial"/>
                <w:sz w:val="18"/>
                <w:szCs w:val="18"/>
                <w:color w:val="auto"/>
              </w:rPr>
              <w:t xml:space="preserve">Earnings (loss) per common share </w:t>
            </w:r>
            <w:r>
              <w:rPr>
                <w:rFonts w:ascii="Arial" w:cs="Arial" w:eastAsia="Arial" w:hAnsi="Arial"/>
                <w:sz w:val="18"/>
                <w:szCs w:val="18"/>
                <w:i w:val="1"/>
                <w:iCs w:val="1"/>
                <w:color w:val="auto"/>
              </w:rPr>
              <w:t>(dollars)</w:t>
            </w:r>
            <w:r>
              <w:rPr>
                <w:rFonts w:ascii="Arial" w:cs="Arial" w:eastAsia="Arial" w:hAnsi="Arial"/>
                <w:sz w:val="18"/>
                <w:szCs w:val="18"/>
                <w:color w:val="auto"/>
              </w:rPr>
              <w:t xml:space="preserve"> </w:t>
            </w:r>
            <w:r>
              <w:rPr>
                <w:rFonts w:ascii="Arial" w:cs="Arial" w:eastAsia="Arial" w:hAnsi="Arial"/>
                <w:sz w:val="14"/>
                <w:szCs w:val="14"/>
                <w:i w:val="1"/>
                <w:iCs w:val="1"/>
                <w:color w:val="auto"/>
              </w:rPr>
              <w:t>(1)</w:t>
            </w:r>
          </w:p>
        </w:tc>
        <w:tc>
          <w:tcPr>
            <w:tcW w:w="2080" w:type="dxa"/>
            <w:vAlign w:val="bottom"/>
          </w:tcPr>
          <w:p>
            <w:pPr>
              <w:jc w:val="right"/>
              <w:ind w:right="332"/>
              <w:spacing w:after="0"/>
              <w:rPr>
                <w:sz w:val="20"/>
                <w:szCs w:val="20"/>
                <w:color w:val="auto"/>
              </w:rPr>
            </w:pPr>
            <w:r>
              <w:rPr>
                <w:rFonts w:ascii="Arial" w:cs="Arial" w:eastAsia="Arial" w:hAnsi="Arial"/>
                <w:sz w:val="18"/>
                <w:szCs w:val="18"/>
                <w:color w:val="auto"/>
              </w:rPr>
              <w:t>5.39</w:t>
            </w:r>
          </w:p>
        </w:tc>
        <w:tc>
          <w:tcPr>
            <w:tcW w:w="1400" w:type="dxa"/>
            <w:vAlign w:val="bottom"/>
          </w:tcPr>
          <w:p>
            <w:pPr>
              <w:jc w:val="right"/>
              <w:ind w:right="332"/>
              <w:spacing w:after="0"/>
              <w:rPr>
                <w:sz w:val="20"/>
                <w:szCs w:val="20"/>
                <w:color w:val="auto"/>
              </w:rPr>
            </w:pPr>
            <w:r>
              <w:rPr>
                <w:rFonts w:ascii="Arial" w:cs="Arial" w:eastAsia="Arial" w:hAnsi="Arial"/>
                <w:sz w:val="18"/>
                <w:szCs w:val="18"/>
                <w:color w:val="auto"/>
              </w:rPr>
              <w:t>(5.25)</w:t>
            </w:r>
          </w:p>
        </w:tc>
        <w:tc>
          <w:tcPr>
            <w:tcW w:w="980" w:type="dxa"/>
            <w:vAlign w:val="bottom"/>
          </w:tcPr>
          <w:p>
            <w:pPr>
              <w:jc w:val="right"/>
              <w:spacing w:after="0"/>
              <w:rPr>
                <w:sz w:val="20"/>
                <w:szCs w:val="20"/>
                <w:color w:val="auto"/>
              </w:rPr>
            </w:pPr>
            <w:r>
              <w:rPr>
                <w:rFonts w:ascii="Arial" w:cs="Arial" w:eastAsia="Arial" w:hAnsi="Arial"/>
                <w:sz w:val="18"/>
                <w:szCs w:val="18"/>
                <w:color w:val="auto"/>
              </w:rPr>
              <w:t>3.36</w:t>
            </w:r>
          </w:p>
        </w:tc>
      </w:tr>
      <w:tr>
        <w:trPr>
          <w:trHeight w:val="392"/>
        </w:trPr>
        <w:tc>
          <w:tcPr>
            <w:tcW w:w="6780" w:type="dxa"/>
            <w:vAlign w:val="bottom"/>
          </w:tcPr>
          <w:p>
            <w:pPr>
              <w:ind w:left="20"/>
              <w:spacing w:after="0"/>
              <w:rPr>
                <w:sz w:val="20"/>
                <w:szCs w:val="20"/>
                <w:color w:val="auto"/>
              </w:rPr>
            </w:pPr>
            <w:r>
              <w:rPr>
                <w:rFonts w:ascii="Arial" w:cs="Arial" w:eastAsia="Arial" w:hAnsi="Arial"/>
                <w:sz w:val="18"/>
                <w:szCs w:val="18"/>
                <w:color w:val="auto"/>
              </w:rPr>
              <w:t xml:space="preserve">Dividends paid per common share </w:t>
            </w:r>
            <w:r>
              <w:rPr>
                <w:rFonts w:ascii="Arial" w:cs="Arial" w:eastAsia="Arial" w:hAnsi="Arial"/>
                <w:sz w:val="18"/>
                <w:szCs w:val="18"/>
                <w:i w:val="1"/>
                <w:iCs w:val="1"/>
                <w:color w:val="auto"/>
              </w:rPr>
              <w:t>(dollars)</w:t>
            </w:r>
          </w:p>
        </w:tc>
        <w:tc>
          <w:tcPr>
            <w:tcW w:w="2080" w:type="dxa"/>
            <w:vAlign w:val="bottom"/>
          </w:tcPr>
          <w:p>
            <w:pPr>
              <w:jc w:val="right"/>
              <w:ind w:right="332"/>
              <w:spacing w:after="0"/>
              <w:rPr>
                <w:sz w:val="20"/>
                <w:szCs w:val="20"/>
                <w:color w:val="auto"/>
              </w:rPr>
            </w:pPr>
            <w:r>
              <w:rPr>
                <w:rFonts w:ascii="Arial" w:cs="Arial" w:eastAsia="Arial" w:hAnsi="Arial"/>
                <w:sz w:val="18"/>
                <w:szCs w:val="18"/>
                <w:color w:val="auto"/>
              </w:rPr>
              <w:t>3.49</w:t>
            </w:r>
          </w:p>
        </w:tc>
        <w:tc>
          <w:tcPr>
            <w:tcW w:w="1400" w:type="dxa"/>
            <w:vAlign w:val="bottom"/>
          </w:tcPr>
          <w:p>
            <w:pPr>
              <w:jc w:val="right"/>
              <w:ind w:right="372"/>
              <w:spacing w:after="0"/>
              <w:rPr>
                <w:sz w:val="20"/>
                <w:szCs w:val="20"/>
                <w:color w:val="auto"/>
              </w:rPr>
            </w:pPr>
            <w:r>
              <w:rPr>
                <w:rFonts w:ascii="Arial" w:cs="Arial" w:eastAsia="Arial" w:hAnsi="Arial"/>
                <w:sz w:val="18"/>
                <w:szCs w:val="18"/>
                <w:color w:val="auto"/>
              </w:rPr>
              <w:t>3.48</w:t>
            </w:r>
          </w:p>
        </w:tc>
        <w:tc>
          <w:tcPr>
            <w:tcW w:w="980" w:type="dxa"/>
            <w:vAlign w:val="bottom"/>
          </w:tcPr>
          <w:p>
            <w:pPr>
              <w:jc w:val="right"/>
              <w:spacing w:after="0"/>
              <w:rPr>
                <w:sz w:val="20"/>
                <w:szCs w:val="20"/>
                <w:color w:val="auto"/>
              </w:rPr>
            </w:pPr>
            <w:r>
              <w:rPr>
                <w:rFonts w:ascii="Arial" w:cs="Arial" w:eastAsia="Arial" w:hAnsi="Arial"/>
                <w:sz w:val="18"/>
                <w:szCs w:val="18"/>
                <w:color w:val="auto"/>
              </w:rPr>
              <w:t>3.43</w:t>
            </w:r>
          </w:p>
        </w:tc>
      </w:tr>
    </w:tbl>
    <w:p>
      <w:pPr>
        <w:spacing w:after="0" w:line="94" w:lineRule="exact"/>
        <w:rPr>
          <w:sz w:val="20"/>
          <w:szCs w:val="20"/>
          <w:color w:val="auto"/>
        </w:rPr>
      </w:pPr>
    </w:p>
    <w:p>
      <w:pPr>
        <w:ind w:left="5540" w:right="1300" w:hanging="5532"/>
        <w:spacing w:after="0" w:line="794" w:lineRule="auto"/>
        <w:tabs>
          <w:tab w:leader="none" w:pos="332"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The earnings (loss) per common share and earnings (loss) per common share - assuming dilution are the same in each period shown. </w:t>
      </w: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-255270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Financial Instruments and Derivatives</w:t>
      </w:r>
    </w:p>
    <w:p>
      <w:pPr>
        <w:spacing w:after="0" w:line="225"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Financial Instruments. </w:t>
      </w:r>
      <w:r>
        <w:rPr>
          <w:rFonts w:ascii="Arial" w:cs="Arial" w:eastAsia="Arial" w:hAnsi="Arial"/>
          <w:sz w:val="18"/>
          <w:szCs w:val="18"/>
          <w:color w:val="auto"/>
        </w:rPr>
        <w:t>The estimated fair value of financial instruments at December 31, 2021 and December 31, 2020, and the related hierarchy level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fair value measurement is as follows:</w:t>
      </w:r>
    </w:p>
    <w:p>
      <w:pPr>
        <w:spacing w:after="0" w:line="90"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3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80" w:type="dxa"/>
            <w:vAlign w:val="bottom"/>
            <w:gridSpan w:val="6"/>
          </w:tcPr>
          <w:p>
            <w:pPr>
              <w:ind w:left="660"/>
              <w:spacing w:after="0"/>
              <w:rPr>
                <w:sz w:val="20"/>
                <w:szCs w:val="20"/>
                <w:color w:val="auto"/>
              </w:rPr>
            </w:pPr>
            <w:r>
              <w:rPr>
                <w:rFonts w:ascii="Arial" w:cs="Arial" w:eastAsia="Arial" w:hAnsi="Arial"/>
                <w:sz w:val="14"/>
                <w:szCs w:val="14"/>
                <w:b w:val="1"/>
                <w:bCs w:val="1"/>
                <w:color w:val="auto"/>
              </w:rPr>
              <w:t>December 31, 2021</w:t>
            </w: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180" w:type="dxa"/>
            <w:vAlign w:val="bottom"/>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gridSpan w:val="2"/>
          </w:tcPr>
          <w:p>
            <w:pPr>
              <w:spacing w:after="0"/>
              <w:rPr>
                <w:sz w:val="3"/>
                <w:szCs w:val="3"/>
                <w:color w:val="auto"/>
              </w:rPr>
            </w:pPr>
          </w:p>
        </w:tc>
        <w:tc>
          <w:tcPr>
            <w:tcW w:w="112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3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80" w:type="dxa"/>
            <w:vAlign w:val="bottom"/>
            <w:gridSpan w:val="6"/>
          </w:tcPr>
          <w:p>
            <w:pPr>
              <w:ind w:left="660"/>
              <w:spacing w:after="0"/>
              <w:rPr>
                <w:sz w:val="20"/>
                <w:szCs w:val="20"/>
                <w:color w:val="auto"/>
              </w:rPr>
            </w:pPr>
            <w:r>
              <w:rPr>
                <w:rFonts w:ascii="Arial" w:cs="Arial" w:eastAsia="Arial" w:hAnsi="Arial"/>
                <w:sz w:val="14"/>
                <w:szCs w:val="14"/>
                <w:i w:val="1"/>
                <w:iCs w:val="1"/>
                <w:color w:val="auto"/>
              </w:rPr>
              <w:t>(millions of dollars)</w:t>
            </w: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18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5"/>
          </w:tcPr>
          <w:p>
            <w:pPr>
              <w:ind w:left="640"/>
              <w:spacing w:after="0"/>
              <w:rPr>
                <w:sz w:val="20"/>
                <w:szCs w:val="20"/>
                <w:color w:val="auto"/>
              </w:rPr>
            </w:pPr>
            <w:r>
              <w:rPr>
                <w:rFonts w:ascii="Arial" w:cs="Arial" w:eastAsia="Arial" w:hAnsi="Arial"/>
                <w:sz w:val="14"/>
                <w:szCs w:val="14"/>
                <w:b w:val="1"/>
                <w:bCs w:val="1"/>
                <w:color w:val="auto"/>
              </w:rPr>
              <w:t>Fair Value</w:t>
            </w:r>
          </w:p>
        </w:tc>
        <w:tc>
          <w:tcPr>
            <w:tcW w:w="10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1"/>
        </w:trPr>
        <w:tc>
          <w:tcPr>
            <w:tcW w:w="3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Total Gross</w:t>
            </w:r>
          </w:p>
        </w:tc>
        <w:tc>
          <w:tcPr>
            <w:tcW w:w="20" w:type="dxa"/>
            <w:vAlign w:val="bottom"/>
          </w:tcPr>
          <w:p>
            <w:pPr>
              <w:spacing w:after="0"/>
              <w:rPr>
                <w:sz w:val="10"/>
                <w:szCs w:val="10"/>
                <w:color w:val="auto"/>
              </w:rPr>
            </w:pPr>
          </w:p>
        </w:tc>
        <w:tc>
          <w:tcPr>
            <w:tcW w:w="122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2"/>
              </w:rPr>
              <w:t>Effect of</w:t>
            </w:r>
          </w:p>
        </w:tc>
        <w:tc>
          <w:tcPr>
            <w:tcW w:w="96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2"/>
              </w:rPr>
              <w:t>Effect of</w:t>
            </w:r>
          </w:p>
        </w:tc>
        <w:tc>
          <w:tcPr>
            <w:tcW w:w="40" w:type="dxa"/>
            <w:vAlign w:val="bottom"/>
          </w:tcPr>
          <w:p>
            <w:pPr>
              <w:spacing w:after="0"/>
              <w:rPr>
                <w:sz w:val="10"/>
                <w:szCs w:val="10"/>
                <w:color w:val="auto"/>
              </w:rPr>
            </w:pPr>
          </w:p>
        </w:tc>
        <w:tc>
          <w:tcPr>
            <w:tcW w:w="1040" w:type="dxa"/>
            <w:vAlign w:val="bottom"/>
            <w:gridSpan w:val="3"/>
          </w:tcPr>
          <w:p>
            <w:pPr>
              <w:jc w:val="center"/>
              <w:ind w:right="140"/>
              <w:spacing w:after="0" w:line="122" w:lineRule="exact"/>
              <w:rPr>
                <w:sz w:val="20"/>
                <w:szCs w:val="20"/>
                <w:color w:val="auto"/>
              </w:rPr>
            </w:pPr>
            <w:r>
              <w:rPr>
                <w:rFonts w:ascii="Arial" w:cs="Arial" w:eastAsia="Arial" w:hAnsi="Arial"/>
                <w:sz w:val="14"/>
                <w:szCs w:val="14"/>
                <w:b w:val="1"/>
                <w:bCs w:val="1"/>
                <w:color w:val="auto"/>
                <w:w w:val="91"/>
              </w:rPr>
              <w:t>Difference in</w:t>
            </w:r>
          </w:p>
        </w:tc>
        <w:tc>
          <w:tcPr>
            <w:tcW w:w="40" w:type="dxa"/>
            <w:vAlign w:val="bottom"/>
          </w:tcPr>
          <w:p>
            <w:pPr>
              <w:spacing w:after="0"/>
              <w:rPr>
                <w:sz w:val="10"/>
                <w:szCs w:val="10"/>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135"/>
        </w:trPr>
        <w:tc>
          <w:tcPr>
            <w:tcW w:w="3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3"/>
            <w:vMerge w:val="continue"/>
          </w:tcPr>
          <w:p>
            <w:pPr>
              <w:spacing w:after="0"/>
              <w:rPr>
                <w:sz w:val="11"/>
                <w:szCs w:val="11"/>
                <w:color w:val="auto"/>
              </w:rPr>
            </w:pPr>
          </w:p>
        </w:tc>
        <w:tc>
          <w:tcPr>
            <w:tcW w:w="96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gridSpan w:val="3"/>
          </w:tcPr>
          <w:p>
            <w:pPr>
              <w:jc w:val="center"/>
              <w:ind w:right="140"/>
              <w:spacing w:after="0" w:line="135" w:lineRule="exact"/>
              <w:rPr>
                <w:sz w:val="20"/>
                <w:szCs w:val="20"/>
                <w:color w:val="auto"/>
              </w:rPr>
            </w:pPr>
            <w:r>
              <w:rPr>
                <w:rFonts w:ascii="Arial" w:cs="Arial" w:eastAsia="Arial" w:hAnsi="Arial"/>
                <w:sz w:val="14"/>
                <w:szCs w:val="14"/>
                <w:b w:val="1"/>
                <w:bCs w:val="1"/>
                <w:color w:val="auto"/>
              </w:rPr>
              <w:t>Carrying</w:t>
            </w:r>
          </w:p>
        </w:tc>
        <w:tc>
          <w:tcPr>
            <w:tcW w:w="4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tcPr>
          <w:p>
            <w:pPr>
              <w:spacing w:after="0"/>
              <w:rPr>
                <w:sz w:val="11"/>
                <w:szCs w:val="11"/>
                <w:color w:val="auto"/>
              </w:rPr>
            </w:pPr>
          </w:p>
        </w:tc>
        <w:tc>
          <w:tcPr>
            <w:tcW w:w="9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Level 1</w:t>
            </w:r>
          </w:p>
        </w:tc>
        <w:tc>
          <w:tcPr>
            <w:tcW w:w="9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Level 2</w:t>
            </w:r>
          </w:p>
        </w:tc>
        <w:tc>
          <w:tcPr>
            <w:tcW w:w="92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Level 3</w:t>
            </w:r>
          </w:p>
        </w:tc>
        <w:tc>
          <w:tcPr>
            <w:tcW w:w="11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0"/>
              </w:rPr>
              <w:t>Assets &amp;</w:t>
            </w:r>
          </w:p>
        </w:tc>
        <w:tc>
          <w:tcPr>
            <w:tcW w:w="20" w:type="dxa"/>
            <w:vAlign w:val="bottom"/>
          </w:tcPr>
          <w:p>
            <w:pPr>
              <w:spacing w:after="0"/>
              <w:rPr>
                <w:sz w:val="11"/>
                <w:szCs w:val="11"/>
                <w:color w:val="auto"/>
              </w:rPr>
            </w:pPr>
          </w:p>
        </w:tc>
        <w:tc>
          <w:tcPr>
            <w:tcW w:w="1220" w:type="dxa"/>
            <w:vAlign w:val="bottom"/>
            <w:gridSpan w:val="3"/>
          </w:tcPr>
          <w:p>
            <w:pPr>
              <w:jc w:val="center"/>
              <w:ind w:right="140"/>
              <w:spacing w:after="0" w:line="135" w:lineRule="exact"/>
              <w:rPr>
                <w:sz w:val="20"/>
                <w:szCs w:val="20"/>
                <w:color w:val="auto"/>
              </w:rPr>
            </w:pPr>
            <w:r>
              <w:rPr>
                <w:rFonts w:ascii="Arial" w:cs="Arial" w:eastAsia="Arial" w:hAnsi="Arial"/>
                <w:sz w:val="14"/>
                <w:szCs w:val="14"/>
                <w:b w:val="1"/>
                <w:bCs w:val="1"/>
                <w:color w:val="auto"/>
                <w:w w:val="95"/>
              </w:rPr>
              <w:t>Counterparty</w:t>
            </w:r>
          </w:p>
        </w:tc>
        <w:tc>
          <w:tcPr>
            <w:tcW w:w="96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7"/>
              </w:rPr>
              <w:t>Collateral</w:t>
            </w:r>
          </w:p>
        </w:tc>
        <w:tc>
          <w:tcPr>
            <w:tcW w:w="1080" w:type="dxa"/>
            <w:vAlign w:val="bottom"/>
            <w:gridSpan w:val="4"/>
          </w:tcPr>
          <w:p>
            <w:pPr>
              <w:jc w:val="center"/>
              <w:ind w:right="100"/>
              <w:spacing w:after="0" w:line="135" w:lineRule="exact"/>
              <w:rPr>
                <w:sz w:val="20"/>
                <w:szCs w:val="20"/>
                <w:color w:val="auto"/>
              </w:rPr>
            </w:pPr>
            <w:r>
              <w:rPr>
                <w:rFonts w:ascii="Arial" w:cs="Arial" w:eastAsia="Arial" w:hAnsi="Arial"/>
                <w:sz w:val="14"/>
                <w:szCs w:val="14"/>
                <w:b w:val="1"/>
                <w:bCs w:val="1"/>
                <w:color w:val="auto"/>
                <w:w w:val="93"/>
              </w:rPr>
              <w:t>Value and Fair</w:t>
            </w:r>
          </w:p>
        </w:tc>
        <w:tc>
          <w:tcPr>
            <w:tcW w:w="4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86"/>
        </w:trPr>
        <w:tc>
          <w:tcPr>
            <w:tcW w:w="31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920" w:type="dxa"/>
            <w:vAlign w:val="bottom"/>
            <w:gridSpan w:val="3"/>
            <w:vMerge w:val="continue"/>
          </w:tcPr>
          <w:p>
            <w:pPr>
              <w:spacing w:after="0"/>
              <w:rPr>
                <w:sz w:val="16"/>
                <w:szCs w:val="16"/>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Liabilities</w:t>
            </w:r>
          </w:p>
        </w:tc>
        <w:tc>
          <w:tcPr>
            <w:tcW w:w="20" w:type="dxa"/>
            <w:vAlign w:val="bottom"/>
          </w:tcPr>
          <w:p>
            <w:pPr>
              <w:spacing w:after="0"/>
              <w:rPr>
                <w:sz w:val="16"/>
                <w:szCs w:val="16"/>
                <w:color w:val="auto"/>
              </w:rPr>
            </w:pPr>
          </w:p>
        </w:tc>
        <w:tc>
          <w:tcPr>
            <w:tcW w:w="12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Netting</w:t>
            </w:r>
          </w:p>
        </w:tc>
        <w:tc>
          <w:tcPr>
            <w:tcW w:w="9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Netting</w:t>
            </w:r>
          </w:p>
        </w:tc>
        <w:tc>
          <w:tcPr>
            <w:tcW w:w="40" w:type="dxa"/>
            <w:vAlign w:val="bottom"/>
          </w:tcPr>
          <w:p>
            <w:pPr>
              <w:spacing w:after="0"/>
              <w:rPr>
                <w:sz w:val="16"/>
                <w:szCs w:val="16"/>
                <w:color w:val="auto"/>
              </w:rPr>
            </w:pPr>
          </w:p>
        </w:tc>
        <w:tc>
          <w:tcPr>
            <w:tcW w:w="10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0"/>
              </w:rPr>
              <w:t>Value</w:t>
            </w:r>
          </w:p>
        </w:tc>
        <w:tc>
          <w:tcPr>
            <w:tcW w:w="4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66"/>
        </w:trPr>
        <w:tc>
          <w:tcPr>
            <w:tcW w:w="3180" w:type="dxa"/>
            <w:vAlign w:val="bottom"/>
          </w:tcPr>
          <w:p>
            <w:pPr>
              <w:spacing w:after="0"/>
              <w:rPr>
                <w:sz w:val="20"/>
                <w:szCs w:val="20"/>
                <w:color w:val="auto"/>
              </w:rPr>
            </w:pPr>
            <w:r>
              <w:rPr>
                <w:rFonts w:ascii="Arial" w:cs="Arial" w:eastAsia="Arial" w:hAnsi="Arial"/>
                <w:sz w:val="14"/>
                <w:szCs w:val="14"/>
                <w:b w:val="1"/>
                <w:bCs w:val="1"/>
                <w:color w:val="auto"/>
              </w:rPr>
              <w:t>Assets</w:t>
            </w:r>
          </w:p>
        </w:tc>
        <w:tc>
          <w:tcPr>
            <w:tcW w:w="8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3180" w:type="dxa"/>
            <w:vAlign w:val="bottom"/>
          </w:tcPr>
          <w:p>
            <w:pPr>
              <w:ind w:left="120"/>
              <w:spacing w:after="0"/>
              <w:rPr>
                <w:sz w:val="20"/>
                <w:szCs w:val="20"/>
                <w:color w:val="auto"/>
              </w:rPr>
            </w:pPr>
            <w:r>
              <w:rPr>
                <w:rFonts w:ascii="Arial" w:cs="Arial" w:eastAsia="Arial" w:hAnsi="Arial"/>
                <w:sz w:val="14"/>
                <w:szCs w:val="14"/>
                <w:color w:val="auto"/>
              </w:rPr>
              <w:t xml:space="preserve">Derivative assets </w:t>
            </w:r>
            <w:r>
              <w:rPr>
                <w:rFonts w:ascii="Arial" w:cs="Arial" w:eastAsia="Arial" w:hAnsi="Arial"/>
                <w:sz w:val="14"/>
                <w:szCs w:val="14"/>
                <w:i w:val="1"/>
                <w:iCs w:val="1"/>
                <w:color w:val="auto"/>
              </w:rPr>
              <w:t>(1)</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1,422</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1,523</w:t>
            </w:r>
          </w:p>
        </w:tc>
        <w:tc>
          <w:tcPr>
            <w:tcW w:w="120" w:type="dxa"/>
            <w:vAlign w:val="bottom"/>
          </w:tcPr>
          <w:p>
            <w:pPr>
              <w:spacing w:after="0"/>
              <w:rPr>
                <w:sz w:val="20"/>
                <w:szCs w:val="20"/>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2,945</w:t>
            </w:r>
          </w:p>
        </w:tc>
        <w:tc>
          <w:tcPr>
            <w:tcW w:w="10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(1,930)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(28)</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987</w:t>
            </w:r>
          </w:p>
        </w:tc>
        <w:tc>
          <w:tcPr>
            <w:tcW w:w="0" w:type="dxa"/>
            <w:vAlign w:val="bottom"/>
          </w:tcPr>
          <w:p>
            <w:pPr>
              <w:spacing w:after="0"/>
              <w:rPr>
                <w:sz w:val="1"/>
                <w:szCs w:val="1"/>
                <w:color w:val="auto"/>
              </w:rPr>
            </w:pPr>
          </w:p>
        </w:tc>
      </w:tr>
      <w:tr>
        <w:trPr>
          <w:trHeight w:val="188"/>
        </w:trPr>
        <w:tc>
          <w:tcPr>
            <w:tcW w:w="3180" w:type="dxa"/>
            <w:vAlign w:val="bottom"/>
          </w:tcPr>
          <w:p>
            <w:pPr>
              <w:ind w:left="120"/>
              <w:spacing w:after="0"/>
              <w:rPr>
                <w:sz w:val="20"/>
                <w:szCs w:val="20"/>
                <w:color w:val="auto"/>
              </w:rPr>
            </w:pPr>
            <w:r>
              <w:rPr>
                <w:rFonts w:ascii="Arial" w:cs="Arial" w:eastAsia="Arial" w:hAnsi="Arial"/>
                <w:sz w:val="14"/>
                <w:szCs w:val="14"/>
                <w:color w:val="auto"/>
                <w:w w:val="95"/>
              </w:rPr>
              <w:t xml:space="preserve">Advances to/receivables from equity companies </w:t>
            </w:r>
            <w:r>
              <w:rPr>
                <w:rFonts w:ascii="Arial" w:cs="Arial" w:eastAsia="Arial" w:hAnsi="Arial"/>
                <w:sz w:val="14"/>
                <w:szCs w:val="14"/>
                <w:i w:val="1"/>
                <w:iCs w:val="1"/>
                <w:color w:val="auto"/>
                <w:w w:val="95"/>
              </w:rPr>
              <w:t>(2)</w:t>
            </w: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3,076</w:t>
            </w:r>
          </w:p>
        </w:tc>
        <w:tc>
          <w:tcPr>
            <w:tcW w:w="12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5,373</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8,449</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gridSpan w:val="3"/>
            <w:vMerge w:val="restart"/>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gridSpan w:val="3"/>
            <w:vMerge w:val="restart"/>
          </w:tcPr>
          <w:p>
            <w:pPr>
              <w:ind w:left="640"/>
              <w:spacing w:after="0"/>
              <w:rPr>
                <w:sz w:val="20"/>
                <w:szCs w:val="20"/>
                <w:color w:val="auto"/>
              </w:rPr>
            </w:pPr>
            <w:r>
              <w:rPr>
                <w:rFonts w:ascii="Arial" w:cs="Arial" w:eastAsia="Arial" w:hAnsi="Arial"/>
                <w:sz w:val="14"/>
                <w:szCs w:val="14"/>
                <w:color w:val="auto"/>
              </w:rPr>
              <w:t>—</w:t>
            </w:r>
          </w:p>
        </w:tc>
        <w:tc>
          <w:tcPr>
            <w:tcW w:w="980" w:type="dxa"/>
            <w:vAlign w:val="bottom"/>
            <w:gridSpan w:val="2"/>
            <w:vMerge w:val="restart"/>
          </w:tcPr>
          <w:p>
            <w:pPr>
              <w:jc w:val="right"/>
              <w:spacing w:after="0"/>
              <w:rPr>
                <w:sz w:val="20"/>
                <w:szCs w:val="20"/>
                <w:color w:val="auto"/>
              </w:rPr>
            </w:pPr>
            <w:r>
              <w:rPr>
                <w:rFonts w:ascii="Arial" w:cs="Arial" w:eastAsia="Arial" w:hAnsi="Arial"/>
                <w:sz w:val="14"/>
                <w:szCs w:val="14"/>
                <w:color w:val="auto"/>
              </w:rPr>
              <w:t>(123)</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color w:val="auto"/>
              </w:rPr>
              <w:t>8,326</w:t>
            </w:r>
          </w:p>
        </w:tc>
        <w:tc>
          <w:tcPr>
            <w:tcW w:w="0" w:type="dxa"/>
            <w:vAlign w:val="bottom"/>
          </w:tcPr>
          <w:p>
            <w:pPr>
              <w:spacing w:after="0"/>
              <w:rPr>
                <w:sz w:val="1"/>
                <w:szCs w:val="1"/>
                <w:color w:val="auto"/>
              </w:rPr>
            </w:pPr>
          </w:p>
        </w:tc>
      </w:tr>
      <w:tr>
        <w:trPr>
          <w:trHeight w:val="182"/>
        </w:trPr>
        <w:tc>
          <w:tcPr>
            <w:tcW w:w="3180" w:type="dxa"/>
            <w:vAlign w:val="bottom"/>
          </w:tcPr>
          <w:p>
            <w:pPr>
              <w:ind w:left="440"/>
              <w:spacing w:after="0"/>
              <w:rPr>
                <w:sz w:val="20"/>
                <w:szCs w:val="20"/>
                <w:color w:val="auto"/>
              </w:rPr>
            </w:pPr>
            <w:r>
              <w:rPr>
                <w:rFonts w:ascii="Arial" w:cs="Arial" w:eastAsia="Arial" w:hAnsi="Arial"/>
                <w:sz w:val="14"/>
                <w:szCs w:val="14"/>
                <w:i w:val="1"/>
                <w:iCs w:val="1"/>
                <w:color w:val="auto"/>
              </w:rPr>
              <w:t>(6)</w:t>
            </w:r>
          </w:p>
        </w:tc>
        <w:tc>
          <w:tcPr>
            <w:tcW w:w="940" w:type="dxa"/>
            <w:vAlign w:val="bottom"/>
            <w:gridSpan w:val="2"/>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20" w:type="dxa"/>
            <w:vAlign w:val="bottom"/>
            <w:gridSpan w:val="3"/>
            <w:vMerge w:val="continue"/>
          </w:tcPr>
          <w:p>
            <w:pPr>
              <w:spacing w:after="0"/>
              <w:rPr>
                <w:sz w:val="15"/>
                <w:szCs w:val="15"/>
                <w:color w:val="auto"/>
              </w:rPr>
            </w:pPr>
          </w:p>
        </w:tc>
        <w:tc>
          <w:tcPr>
            <w:tcW w:w="960" w:type="dxa"/>
            <w:vAlign w:val="bottom"/>
            <w:gridSpan w:val="3"/>
            <w:vMerge w:val="continue"/>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180" w:type="dxa"/>
            <w:vAlign w:val="bottom"/>
          </w:tcPr>
          <w:p>
            <w:pPr>
              <w:ind w:left="120"/>
              <w:spacing w:after="0"/>
              <w:rPr>
                <w:sz w:val="20"/>
                <w:szCs w:val="20"/>
                <w:color w:val="auto"/>
              </w:rPr>
            </w:pPr>
            <w:r>
              <w:rPr>
                <w:rFonts w:ascii="Arial" w:cs="Arial" w:eastAsia="Arial" w:hAnsi="Arial"/>
                <w:sz w:val="14"/>
                <w:szCs w:val="14"/>
                <w:color w:val="auto"/>
              </w:rPr>
              <w:t xml:space="preserve">Other long-term financial assets </w:t>
            </w:r>
            <w:r>
              <w:rPr>
                <w:rFonts w:ascii="Arial" w:cs="Arial" w:eastAsia="Arial" w:hAnsi="Arial"/>
                <w:sz w:val="14"/>
                <w:szCs w:val="14"/>
                <w:i w:val="1"/>
                <w:iCs w:val="1"/>
                <w:color w:val="auto"/>
              </w:rPr>
              <w:t>(3)</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1,134</w:t>
            </w:r>
          </w:p>
        </w:tc>
        <w:tc>
          <w:tcPr>
            <w:tcW w:w="1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1,058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2,192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gridSpan w:val="3"/>
          </w:tcPr>
          <w:p>
            <w:pPr>
              <w:ind w:left="64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181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2,373</w:t>
            </w:r>
          </w:p>
        </w:tc>
        <w:tc>
          <w:tcPr>
            <w:tcW w:w="0" w:type="dxa"/>
            <w:vAlign w:val="bottom"/>
          </w:tcPr>
          <w:p>
            <w:pPr>
              <w:spacing w:after="0"/>
              <w:rPr>
                <w:sz w:val="1"/>
                <w:szCs w:val="1"/>
                <w:color w:val="auto"/>
              </w:rPr>
            </w:pPr>
          </w:p>
        </w:tc>
      </w:tr>
      <w:tr>
        <w:trPr>
          <w:trHeight w:val="446"/>
        </w:trPr>
        <w:tc>
          <w:tcPr>
            <w:tcW w:w="3180" w:type="dxa"/>
            <w:vAlign w:val="bottom"/>
          </w:tcPr>
          <w:p>
            <w:pPr>
              <w:spacing w:after="0"/>
              <w:rPr>
                <w:sz w:val="20"/>
                <w:szCs w:val="20"/>
                <w:color w:val="auto"/>
              </w:rPr>
            </w:pPr>
            <w:r>
              <w:rPr>
                <w:rFonts w:ascii="Arial" w:cs="Arial" w:eastAsia="Arial" w:hAnsi="Arial"/>
                <w:sz w:val="14"/>
                <w:szCs w:val="14"/>
                <w:b w:val="1"/>
                <w:bCs w:val="1"/>
                <w:color w:val="auto"/>
              </w:rPr>
              <w:t>Liabilities</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180" w:type="dxa"/>
            <w:vAlign w:val="bottom"/>
          </w:tcPr>
          <w:p>
            <w:pPr>
              <w:ind w:left="120"/>
              <w:spacing w:after="0"/>
              <w:rPr>
                <w:sz w:val="20"/>
                <w:szCs w:val="20"/>
                <w:color w:val="auto"/>
              </w:rPr>
            </w:pPr>
            <w:r>
              <w:rPr>
                <w:rFonts w:ascii="Arial" w:cs="Arial" w:eastAsia="Arial" w:hAnsi="Arial"/>
                <w:sz w:val="14"/>
                <w:szCs w:val="14"/>
                <w:color w:val="auto"/>
              </w:rPr>
              <w:t xml:space="preserve">Derivative liabilities </w:t>
            </w:r>
            <w:r>
              <w:rPr>
                <w:rFonts w:ascii="Arial" w:cs="Arial" w:eastAsia="Arial" w:hAnsi="Arial"/>
                <w:sz w:val="14"/>
                <w:szCs w:val="14"/>
                <w:i w:val="1"/>
                <w:iCs w:val="1"/>
                <w:color w:val="auto"/>
              </w:rPr>
              <w:t>(4)</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1,701</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2,594</w:t>
            </w:r>
          </w:p>
        </w:tc>
        <w:tc>
          <w:tcPr>
            <w:tcW w:w="120" w:type="dxa"/>
            <w:vAlign w:val="bottom"/>
          </w:tcPr>
          <w:p>
            <w:pPr>
              <w:spacing w:after="0"/>
              <w:rPr>
                <w:sz w:val="19"/>
                <w:szCs w:val="19"/>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4,295</w:t>
            </w:r>
          </w:p>
        </w:tc>
        <w:tc>
          <w:tcPr>
            <w:tcW w:w="10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(1,930)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(306)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2,059</w:t>
            </w:r>
          </w:p>
        </w:tc>
        <w:tc>
          <w:tcPr>
            <w:tcW w:w="0" w:type="dxa"/>
            <w:vAlign w:val="bottom"/>
          </w:tcPr>
          <w:p>
            <w:pPr>
              <w:spacing w:after="0"/>
              <w:rPr>
                <w:sz w:val="1"/>
                <w:szCs w:val="1"/>
                <w:color w:val="auto"/>
              </w:rPr>
            </w:pPr>
          </w:p>
        </w:tc>
      </w:tr>
      <w:tr>
        <w:trPr>
          <w:trHeight w:val="230"/>
        </w:trPr>
        <w:tc>
          <w:tcPr>
            <w:tcW w:w="3180" w:type="dxa"/>
            <w:vAlign w:val="bottom"/>
          </w:tcPr>
          <w:p>
            <w:pPr>
              <w:ind w:left="120"/>
              <w:spacing w:after="0"/>
              <w:rPr>
                <w:sz w:val="20"/>
                <w:szCs w:val="20"/>
                <w:color w:val="auto"/>
              </w:rPr>
            </w:pPr>
            <w:r>
              <w:rPr>
                <w:rFonts w:ascii="Arial" w:cs="Arial" w:eastAsia="Arial" w:hAnsi="Arial"/>
                <w:sz w:val="14"/>
                <w:szCs w:val="14"/>
                <w:color w:val="auto"/>
              </w:rPr>
              <w:t xml:space="preserve">Long-term debt </w:t>
            </w:r>
            <w:r>
              <w:rPr>
                <w:rFonts w:ascii="Arial" w:cs="Arial" w:eastAsia="Arial" w:hAnsi="Arial"/>
                <w:sz w:val="14"/>
                <w:szCs w:val="14"/>
                <w:i w:val="1"/>
                <w:iCs w:val="1"/>
                <w:color w:val="auto"/>
              </w:rPr>
              <w:t>(5)</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44,454</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88</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44,545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gridSpan w:val="3"/>
          </w:tcPr>
          <w:p>
            <w:pPr>
              <w:ind w:left="64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(2,878)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41,667</w:t>
            </w:r>
          </w:p>
        </w:tc>
        <w:tc>
          <w:tcPr>
            <w:tcW w:w="0" w:type="dxa"/>
            <w:vAlign w:val="bottom"/>
          </w:tcPr>
          <w:p>
            <w:pPr>
              <w:spacing w:after="0"/>
              <w:rPr>
                <w:sz w:val="1"/>
                <w:szCs w:val="1"/>
                <w:color w:val="auto"/>
              </w:rPr>
            </w:pPr>
          </w:p>
        </w:tc>
      </w:tr>
      <w:tr>
        <w:trPr>
          <w:trHeight w:val="229"/>
        </w:trPr>
        <w:tc>
          <w:tcPr>
            <w:tcW w:w="3180" w:type="dxa"/>
            <w:vAlign w:val="bottom"/>
          </w:tcPr>
          <w:p>
            <w:pPr>
              <w:ind w:left="120"/>
              <w:spacing w:after="0"/>
              <w:rPr>
                <w:sz w:val="20"/>
                <w:szCs w:val="20"/>
                <w:color w:val="auto"/>
              </w:rPr>
            </w:pPr>
            <w:r>
              <w:rPr>
                <w:rFonts w:ascii="Arial" w:cs="Arial" w:eastAsia="Arial" w:hAnsi="Arial"/>
                <w:sz w:val="14"/>
                <w:szCs w:val="14"/>
                <w:color w:val="auto"/>
              </w:rPr>
              <w:t xml:space="preserve">Long-term obligations to equity companies </w:t>
            </w:r>
            <w:r>
              <w:rPr>
                <w:rFonts w:ascii="Arial" w:cs="Arial" w:eastAsia="Arial" w:hAnsi="Arial"/>
                <w:sz w:val="14"/>
                <w:szCs w:val="14"/>
                <w:i w:val="1"/>
                <w:iCs w:val="1"/>
                <w:color w:val="auto"/>
              </w:rPr>
              <w:t>(6)</w:t>
            </w: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3,084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3,084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gridSpan w:val="3"/>
          </w:tcPr>
          <w:p>
            <w:pPr>
              <w:ind w:left="64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(227)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2,857</w:t>
            </w:r>
          </w:p>
        </w:tc>
        <w:tc>
          <w:tcPr>
            <w:tcW w:w="0" w:type="dxa"/>
            <w:vAlign w:val="bottom"/>
          </w:tcPr>
          <w:p>
            <w:pPr>
              <w:spacing w:after="0"/>
              <w:rPr>
                <w:sz w:val="1"/>
                <w:szCs w:val="1"/>
                <w:color w:val="auto"/>
              </w:rPr>
            </w:pPr>
          </w:p>
        </w:tc>
      </w:tr>
      <w:tr>
        <w:trPr>
          <w:trHeight w:val="229"/>
        </w:trPr>
        <w:tc>
          <w:tcPr>
            <w:tcW w:w="3180" w:type="dxa"/>
            <w:vAlign w:val="bottom"/>
          </w:tcPr>
          <w:p>
            <w:pPr>
              <w:ind w:left="120"/>
              <w:spacing w:after="0"/>
              <w:rPr>
                <w:sz w:val="20"/>
                <w:szCs w:val="20"/>
                <w:color w:val="auto"/>
              </w:rPr>
            </w:pPr>
            <w:r>
              <w:rPr>
                <w:rFonts w:ascii="Arial" w:cs="Arial" w:eastAsia="Arial" w:hAnsi="Arial"/>
                <w:sz w:val="14"/>
                <w:szCs w:val="14"/>
                <w:color w:val="auto"/>
              </w:rPr>
              <w:t xml:space="preserve">Other long-term financial liabilities </w:t>
            </w:r>
            <w:r>
              <w:rPr>
                <w:rFonts w:ascii="Arial" w:cs="Arial" w:eastAsia="Arial" w:hAnsi="Arial"/>
                <w:sz w:val="14"/>
                <w:szCs w:val="14"/>
                <w:i w:val="1"/>
                <w:iCs w:val="1"/>
                <w:color w:val="auto"/>
              </w:rPr>
              <w:t>(7)</w:t>
            </w: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902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902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gridSpan w:val="3"/>
          </w:tcPr>
          <w:p>
            <w:pPr>
              <w:ind w:left="64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58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960</w:t>
            </w:r>
          </w:p>
        </w:tc>
        <w:tc>
          <w:tcPr>
            <w:tcW w:w="0" w:type="dxa"/>
            <w:vAlign w:val="bottom"/>
          </w:tcPr>
          <w:p>
            <w:pPr>
              <w:spacing w:after="0"/>
              <w:rPr>
                <w:sz w:val="1"/>
                <w:szCs w:val="1"/>
                <w:color w:val="auto"/>
              </w:rPr>
            </w:pPr>
          </w:p>
        </w:tc>
      </w:tr>
      <w:tr>
        <w:trPr>
          <w:trHeight w:val="311"/>
        </w:trPr>
        <w:tc>
          <w:tcPr>
            <w:tcW w:w="3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80" w:type="dxa"/>
            <w:vAlign w:val="bottom"/>
            <w:gridSpan w:val="6"/>
          </w:tcPr>
          <w:p>
            <w:pPr>
              <w:ind w:left="660"/>
              <w:spacing w:after="0"/>
              <w:rPr>
                <w:sz w:val="20"/>
                <w:szCs w:val="20"/>
                <w:color w:val="auto"/>
              </w:rPr>
            </w:pPr>
            <w:r>
              <w:rPr>
                <w:rFonts w:ascii="Arial" w:cs="Arial" w:eastAsia="Arial" w:hAnsi="Arial"/>
                <w:sz w:val="14"/>
                <w:szCs w:val="14"/>
                <w:b w:val="1"/>
                <w:bCs w:val="1"/>
                <w:color w:val="auto"/>
              </w:rPr>
              <w:t>December 31, 2020</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3180" w:type="dxa"/>
            <w:vAlign w:val="bottom"/>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380" w:type="dxa"/>
            <w:vAlign w:val="bottom"/>
            <w:tcBorders>
              <w:bottom w:val="single" w:sz="8" w:color="auto"/>
            </w:tcBorders>
            <w:gridSpan w:val="6"/>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3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80" w:type="dxa"/>
            <w:vAlign w:val="bottom"/>
            <w:gridSpan w:val="6"/>
          </w:tcPr>
          <w:p>
            <w:pPr>
              <w:ind w:left="660"/>
              <w:spacing w:after="0"/>
              <w:rPr>
                <w:sz w:val="20"/>
                <w:szCs w:val="20"/>
                <w:color w:val="auto"/>
              </w:rPr>
            </w:pPr>
            <w:r>
              <w:rPr>
                <w:rFonts w:ascii="Arial" w:cs="Arial" w:eastAsia="Arial" w:hAnsi="Arial"/>
                <w:sz w:val="14"/>
                <w:szCs w:val="14"/>
                <w:i w:val="1"/>
                <w:iCs w:val="1"/>
                <w:color w:val="auto"/>
              </w:rPr>
              <w:t>(millions of dollars)</w:t>
            </w: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18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5"/>
          </w:tcPr>
          <w:p>
            <w:pPr>
              <w:ind w:left="660"/>
              <w:spacing w:after="0"/>
              <w:rPr>
                <w:sz w:val="20"/>
                <w:szCs w:val="20"/>
                <w:color w:val="auto"/>
              </w:rPr>
            </w:pPr>
            <w:r>
              <w:rPr>
                <w:rFonts w:ascii="Arial" w:cs="Arial" w:eastAsia="Arial" w:hAnsi="Arial"/>
                <w:sz w:val="14"/>
                <w:szCs w:val="14"/>
                <w:b w:val="1"/>
                <w:bCs w:val="1"/>
                <w:color w:val="auto"/>
              </w:rPr>
              <w:t>Fair Value</w:t>
            </w:r>
          </w:p>
        </w:tc>
        <w:tc>
          <w:tcPr>
            <w:tcW w:w="10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1"/>
        </w:trPr>
        <w:tc>
          <w:tcPr>
            <w:tcW w:w="3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9"/>
              </w:rPr>
              <w:t>Total Gross</w:t>
            </w:r>
          </w:p>
        </w:tc>
        <w:tc>
          <w:tcPr>
            <w:tcW w:w="20" w:type="dxa"/>
            <w:vAlign w:val="bottom"/>
          </w:tcPr>
          <w:p>
            <w:pPr>
              <w:spacing w:after="0"/>
              <w:rPr>
                <w:sz w:val="10"/>
                <w:szCs w:val="10"/>
                <w:color w:val="auto"/>
              </w:rPr>
            </w:pPr>
          </w:p>
        </w:tc>
        <w:tc>
          <w:tcPr>
            <w:tcW w:w="12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2"/>
              </w:rPr>
              <w:t>Effect of</w:t>
            </w:r>
          </w:p>
        </w:tc>
        <w:tc>
          <w:tcPr>
            <w:tcW w:w="96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96"/>
              </w:rPr>
              <w:t>Effect of</w:t>
            </w:r>
          </w:p>
        </w:tc>
        <w:tc>
          <w:tcPr>
            <w:tcW w:w="40" w:type="dxa"/>
            <w:vAlign w:val="bottom"/>
          </w:tcPr>
          <w:p>
            <w:pPr>
              <w:spacing w:after="0"/>
              <w:rPr>
                <w:sz w:val="10"/>
                <w:szCs w:val="10"/>
                <w:color w:val="auto"/>
              </w:rPr>
            </w:pPr>
          </w:p>
        </w:tc>
        <w:tc>
          <w:tcPr>
            <w:tcW w:w="1040" w:type="dxa"/>
            <w:vAlign w:val="bottom"/>
            <w:gridSpan w:val="3"/>
          </w:tcPr>
          <w:p>
            <w:pPr>
              <w:jc w:val="center"/>
              <w:ind w:right="60"/>
              <w:spacing w:after="0" w:line="122" w:lineRule="exact"/>
              <w:rPr>
                <w:sz w:val="20"/>
                <w:szCs w:val="20"/>
                <w:color w:val="auto"/>
              </w:rPr>
            </w:pPr>
            <w:r>
              <w:rPr>
                <w:rFonts w:ascii="Arial" w:cs="Arial" w:eastAsia="Arial" w:hAnsi="Arial"/>
                <w:sz w:val="14"/>
                <w:szCs w:val="14"/>
                <w:b w:val="1"/>
                <w:bCs w:val="1"/>
                <w:color w:val="auto"/>
                <w:w w:val="91"/>
              </w:rPr>
              <w:t>Difference in</w:t>
            </w:r>
          </w:p>
        </w:tc>
        <w:tc>
          <w:tcPr>
            <w:tcW w:w="40" w:type="dxa"/>
            <w:vAlign w:val="bottom"/>
          </w:tcPr>
          <w:p>
            <w:pPr>
              <w:spacing w:after="0"/>
              <w:rPr>
                <w:sz w:val="10"/>
                <w:szCs w:val="10"/>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135"/>
        </w:trPr>
        <w:tc>
          <w:tcPr>
            <w:tcW w:w="3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3"/>
            <w:vMerge w:val="continue"/>
          </w:tcPr>
          <w:p>
            <w:pPr>
              <w:spacing w:after="0"/>
              <w:rPr>
                <w:sz w:val="11"/>
                <w:szCs w:val="11"/>
                <w:color w:val="auto"/>
              </w:rPr>
            </w:pPr>
          </w:p>
        </w:tc>
        <w:tc>
          <w:tcPr>
            <w:tcW w:w="96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gridSpan w:val="3"/>
          </w:tcPr>
          <w:p>
            <w:pPr>
              <w:jc w:val="center"/>
              <w:ind w:right="60"/>
              <w:spacing w:after="0" w:line="135" w:lineRule="exact"/>
              <w:rPr>
                <w:sz w:val="20"/>
                <w:szCs w:val="20"/>
                <w:color w:val="auto"/>
              </w:rPr>
            </w:pPr>
            <w:r>
              <w:rPr>
                <w:rFonts w:ascii="Arial" w:cs="Arial" w:eastAsia="Arial" w:hAnsi="Arial"/>
                <w:sz w:val="14"/>
                <w:szCs w:val="14"/>
                <w:b w:val="1"/>
                <w:bCs w:val="1"/>
                <w:color w:val="auto"/>
              </w:rPr>
              <w:t>Carrying</w:t>
            </w:r>
          </w:p>
        </w:tc>
        <w:tc>
          <w:tcPr>
            <w:tcW w:w="4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tcPr>
          <w:p>
            <w:pPr>
              <w:spacing w:after="0"/>
              <w:rPr>
                <w:sz w:val="11"/>
                <w:szCs w:val="11"/>
                <w:color w:val="auto"/>
              </w:rPr>
            </w:pPr>
          </w:p>
        </w:tc>
        <w:tc>
          <w:tcPr>
            <w:tcW w:w="9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Level 1</w:t>
            </w:r>
          </w:p>
        </w:tc>
        <w:tc>
          <w:tcPr>
            <w:tcW w:w="9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Level 2</w:t>
            </w:r>
          </w:p>
        </w:tc>
        <w:tc>
          <w:tcPr>
            <w:tcW w:w="92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Level 3</w:t>
            </w:r>
          </w:p>
        </w:tc>
        <w:tc>
          <w:tcPr>
            <w:tcW w:w="114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90"/>
              </w:rPr>
              <w:t>Assets &amp;</w:t>
            </w:r>
          </w:p>
        </w:tc>
        <w:tc>
          <w:tcPr>
            <w:tcW w:w="20" w:type="dxa"/>
            <w:vAlign w:val="bottom"/>
          </w:tcPr>
          <w:p>
            <w:pPr>
              <w:spacing w:after="0"/>
              <w:rPr>
                <w:sz w:val="11"/>
                <w:szCs w:val="11"/>
                <w:color w:val="auto"/>
              </w:rPr>
            </w:pPr>
          </w:p>
        </w:tc>
        <w:tc>
          <w:tcPr>
            <w:tcW w:w="122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5"/>
              </w:rPr>
              <w:t>Counterparty</w:t>
            </w:r>
          </w:p>
        </w:tc>
        <w:tc>
          <w:tcPr>
            <w:tcW w:w="960" w:type="dxa"/>
            <w:vAlign w:val="bottom"/>
            <w:gridSpan w:val="3"/>
          </w:tcPr>
          <w:p>
            <w:pPr>
              <w:jc w:val="center"/>
              <w:ind w:right="60"/>
              <w:spacing w:after="0" w:line="135" w:lineRule="exact"/>
              <w:rPr>
                <w:sz w:val="20"/>
                <w:szCs w:val="20"/>
                <w:color w:val="auto"/>
              </w:rPr>
            </w:pPr>
            <w:r>
              <w:rPr>
                <w:rFonts w:ascii="Arial" w:cs="Arial" w:eastAsia="Arial" w:hAnsi="Arial"/>
                <w:sz w:val="14"/>
                <w:szCs w:val="14"/>
                <w:b w:val="1"/>
                <w:bCs w:val="1"/>
                <w:color w:val="auto"/>
                <w:w w:val="97"/>
              </w:rPr>
              <w:t>Collateral</w:t>
            </w:r>
          </w:p>
        </w:tc>
        <w:tc>
          <w:tcPr>
            <w:tcW w:w="40" w:type="dxa"/>
            <w:vAlign w:val="bottom"/>
          </w:tcPr>
          <w:p>
            <w:pPr>
              <w:spacing w:after="0"/>
              <w:rPr>
                <w:sz w:val="11"/>
                <w:szCs w:val="11"/>
                <w:color w:val="auto"/>
              </w:rPr>
            </w:pPr>
          </w:p>
        </w:tc>
        <w:tc>
          <w:tcPr>
            <w:tcW w:w="1040" w:type="dxa"/>
            <w:vAlign w:val="bottom"/>
            <w:gridSpan w:val="3"/>
          </w:tcPr>
          <w:p>
            <w:pPr>
              <w:jc w:val="center"/>
              <w:ind w:right="60"/>
              <w:spacing w:after="0" w:line="135" w:lineRule="exact"/>
              <w:rPr>
                <w:sz w:val="20"/>
                <w:szCs w:val="20"/>
                <w:color w:val="auto"/>
              </w:rPr>
            </w:pPr>
            <w:r>
              <w:rPr>
                <w:rFonts w:ascii="Arial" w:cs="Arial" w:eastAsia="Arial" w:hAnsi="Arial"/>
                <w:sz w:val="14"/>
                <w:szCs w:val="14"/>
                <w:b w:val="1"/>
                <w:bCs w:val="1"/>
                <w:color w:val="auto"/>
                <w:w w:val="93"/>
              </w:rPr>
              <w:t>Value and Fair</w:t>
            </w:r>
          </w:p>
        </w:tc>
        <w:tc>
          <w:tcPr>
            <w:tcW w:w="4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86"/>
        </w:trPr>
        <w:tc>
          <w:tcPr>
            <w:tcW w:w="31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920" w:type="dxa"/>
            <w:vAlign w:val="bottom"/>
            <w:gridSpan w:val="3"/>
            <w:vMerge w:val="continue"/>
          </w:tcPr>
          <w:p>
            <w:pPr>
              <w:spacing w:after="0"/>
              <w:rPr>
                <w:sz w:val="16"/>
                <w:szCs w:val="16"/>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Liabilities</w:t>
            </w:r>
          </w:p>
        </w:tc>
        <w:tc>
          <w:tcPr>
            <w:tcW w:w="20" w:type="dxa"/>
            <w:vAlign w:val="bottom"/>
          </w:tcPr>
          <w:p>
            <w:pPr>
              <w:spacing w:after="0"/>
              <w:rPr>
                <w:sz w:val="16"/>
                <w:szCs w:val="16"/>
                <w:color w:val="auto"/>
              </w:rPr>
            </w:pPr>
          </w:p>
        </w:tc>
        <w:tc>
          <w:tcPr>
            <w:tcW w:w="12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Netting</w:t>
            </w:r>
          </w:p>
        </w:tc>
        <w:tc>
          <w:tcPr>
            <w:tcW w:w="9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5"/>
              </w:rPr>
              <w:t>Netting</w:t>
            </w:r>
          </w:p>
        </w:tc>
        <w:tc>
          <w:tcPr>
            <w:tcW w:w="40" w:type="dxa"/>
            <w:vAlign w:val="bottom"/>
          </w:tcPr>
          <w:p>
            <w:pPr>
              <w:spacing w:after="0"/>
              <w:rPr>
                <w:sz w:val="16"/>
                <w:szCs w:val="16"/>
                <w:color w:val="auto"/>
              </w:rPr>
            </w:pPr>
          </w:p>
        </w:tc>
        <w:tc>
          <w:tcPr>
            <w:tcW w:w="10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0"/>
              </w:rPr>
              <w:t>Value</w:t>
            </w:r>
          </w:p>
        </w:tc>
        <w:tc>
          <w:tcPr>
            <w:tcW w:w="4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66"/>
        </w:trPr>
        <w:tc>
          <w:tcPr>
            <w:tcW w:w="3180" w:type="dxa"/>
            <w:vAlign w:val="bottom"/>
          </w:tcPr>
          <w:p>
            <w:pPr>
              <w:spacing w:after="0"/>
              <w:rPr>
                <w:sz w:val="20"/>
                <w:szCs w:val="20"/>
                <w:color w:val="auto"/>
              </w:rPr>
            </w:pPr>
            <w:r>
              <w:rPr>
                <w:rFonts w:ascii="Arial" w:cs="Arial" w:eastAsia="Arial" w:hAnsi="Arial"/>
                <w:sz w:val="14"/>
                <w:szCs w:val="14"/>
                <w:b w:val="1"/>
                <w:bCs w:val="1"/>
                <w:color w:val="auto"/>
              </w:rPr>
              <w:t>Assets</w:t>
            </w:r>
          </w:p>
        </w:tc>
        <w:tc>
          <w:tcPr>
            <w:tcW w:w="8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3180" w:type="dxa"/>
            <w:vAlign w:val="bottom"/>
          </w:tcPr>
          <w:p>
            <w:pPr>
              <w:ind w:left="120"/>
              <w:spacing w:after="0"/>
              <w:rPr>
                <w:sz w:val="20"/>
                <w:szCs w:val="20"/>
                <w:color w:val="auto"/>
              </w:rPr>
            </w:pPr>
            <w:r>
              <w:rPr>
                <w:rFonts w:ascii="Arial" w:cs="Arial" w:eastAsia="Arial" w:hAnsi="Arial"/>
                <w:sz w:val="14"/>
                <w:szCs w:val="14"/>
                <w:color w:val="auto"/>
              </w:rPr>
              <w:t xml:space="preserve">Derivative assets </w:t>
            </w:r>
            <w:r>
              <w:rPr>
                <w:rFonts w:ascii="Arial" w:cs="Arial" w:eastAsia="Arial" w:hAnsi="Arial"/>
                <w:sz w:val="14"/>
                <w:szCs w:val="14"/>
                <w:i w:val="1"/>
                <w:iCs w:val="1"/>
                <w:color w:val="auto"/>
              </w:rPr>
              <w:t>(1)</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1,247</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194</w:t>
            </w:r>
          </w:p>
        </w:tc>
        <w:tc>
          <w:tcPr>
            <w:tcW w:w="120" w:type="dxa"/>
            <w:vAlign w:val="bottom"/>
          </w:tcPr>
          <w:p>
            <w:pPr>
              <w:spacing w:after="0"/>
              <w:rPr>
                <w:sz w:val="20"/>
                <w:szCs w:val="20"/>
                <w:color w:val="auto"/>
              </w:rPr>
            </w:pPr>
          </w:p>
        </w:tc>
        <w:tc>
          <w:tcPr>
            <w:tcW w:w="9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1,441</w:t>
            </w:r>
          </w:p>
        </w:tc>
        <w:tc>
          <w:tcPr>
            <w:tcW w:w="10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(1,282)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4"/>
                <w:szCs w:val="14"/>
                <w:color w:val="auto"/>
              </w:rPr>
              <w:t>(6)</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153</w:t>
            </w:r>
          </w:p>
        </w:tc>
        <w:tc>
          <w:tcPr>
            <w:tcW w:w="0" w:type="dxa"/>
            <w:vAlign w:val="bottom"/>
          </w:tcPr>
          <w:p>
            <w:pPr>
              <w:spacing w:after="0"/>
              <w:rPr>
                <w:sz w:val="1"/>
                <w:szCs w:val="1"/>
                <w:color w:val="auto"/>
              </w:rPr>
            </w:pPr>
          </w:p>
        </w:tc>
      </w:tr>
      <w:tr>
        <w:trPr>
          <w:trHeight w:val="188"/>
        </w:trPr>
        <w:tc>
          <w:tcPr>
            <w:tcW w:w="3180" w:type="dxa"/>
            <w:vAlign w:val="bottom"/>
          </w:tcPr>
          <w:p>
            <w:pPr>
              <w:ind w:left="120"/>
              <w:spacing w:after="0"/>
              <w:rPr>
                <w:sz w:val="20"/>
                <w:szCs w:val="20"/>
                <w:color w:val="auto"/>
              </w:rPr>
            </w:pPr>
            <w:r>
              <w:rPr>
                <w:rFonts w:ascii="Arial" w:cs="Arial" w:eastAsia="Arial" w:hAnsi="Arial"/>
                <w:sz w:val="14"/>
                <w:szCs w:val="14"/>
                <w:color w:val="auto"/>
                <w:w w:val="95"/>
              </w:rPr>
              <w:t xml:space="preserve">Advances to/receivables from equity companies </w:t>
            </w:r>
            <w:r>
              <w:rPr>
                <w:rFonts w:ascii="Arial" w:cs="Arial" w:eastAsia="Arial" w:hAnsi="Arial"/>
                <w:sz w:val="14"/>
                <w:szCs w:val="14"/>
                <w:i w:val="1"/>
                <w:iCs w:val="1"/>
                <w:color w:val="auto"/>
                <w:w w:val="95"/>
              </w:rPr>
              <w:t>(2)</w:t>
            </w: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3,275</w:t>
            </w:r>
          </w:p>
        </w:tc>
        <w:tc>
          <w:tcPr>
            <w:tcW w:w="12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5,904</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9,179</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gridSpan w:val="3"/>
            <w:vMerge w:val="restart"/>
          </w:tcPr>
          <w:p>
            <w:pPr>
              <w:ind w:left="900"/>
              <w:spacing w:after="0"/>
              <w:rPr>
                <w:sz w:val="20"/>
                <w:szCs w:val="20"/>
                <w:color w:val="auto"/>
              </w:rPr>
            </w:pPr>
            <w:r>
              <w:rPr>
                <w:rFonts w:ascii="Arial" w:cs="Arial" w:eastAsia="Arial" w:hAnsi="Arial"/>
                <w:sz w:val="14"/>
                <w:szCs w:val="14"/>
                <w:color w:val="auto"/>
              </w:rPr>
              <w:t>—</w:t>
            </w:r>
          </w:p>
        </w:tc>
        <w:tc>
          <w:tcPr>
            <w:tcW w:w="960" w:type="dxa"/>
            <w:vAlign w:val="bottom"/>
            <w:gridSpan w:val="3"/>
            <w:vMerge w:val="restart"/>
          </w:tcPr>
          <w:p>
            <w:pPr>
              <w:jc w:val="right"/>
              <w:ind w:right="120"/>
              <w:spacing w:after="0"/>
              <w:rPr>
                <w:sz w:val="20"/>
                <w:szCs w:val="20"/>
                <w:color w:val="auto"/>
              </w:rPr>
            </w:pPr>
            <w:r>
              <w:rPr>
                <w:rFonts w:ascii="Arial" w:cs="Arial" w:eastAsia="Arial" w:hAnsi="Arial"/>
                <w:sz w:val="14"/>
                <w:szCs w:val="14"/>
                <w:color w:val="auto"/>
              </w:rPr>
              <w:t>—</w:t>
            </w:r>
          </w:p>
        </w:tc>
        <w:tc>
          <w:tcPr>
            <w:tcW w:w="1020" w:type="dxa"/>
            <w:vAlign w:val="bottom"/>
            <w:gridSpan w:val="3"/>
            <w:vMerge w:val="restart"/>
          </w:tcPr>
          <w:p>
            <w:pPr>
              <w:jc w:val="right"/>
              <w:ind w:right="40"/>
              <w:spacing w:after="0"/>
              <w:rPr>
                <w:sz w:val="20"/>
                <w:szCs w:val="20"/>
                <w:color w:val="auto"/>
              </w:rPr>
            </w:pPr>
            <w:r>
              <w:rPr>
                <w:rFonts w:ascii="Arial" w:cs="Arial" w:eastAsia="Arial" w:hAnsi="Arial"/>
                <w:sz w:val="14"/>
                <w:szCs w:val="14"/>
                <w:color w:val="auto"/>
              </w:rPr>
              <w:t>(367)</w:t>
            </w:r>
          </w:p>
        </w:tc>
        <w:tc>
          <w:tcPr>
            <w:tcW w:w="60" w:type="dxa"/>
            <w:vAlign w:val="bottom"/>
          </w:tcPr>
          <w:p>
            <w:pPr>
              <w:spacing w:after="0"/>
              <w:rPr>
                <w:sz w:val="16"/>
                <w:szCs w:val="16"/>
                <w:color w:val="auto"/>
              </w:rPr>
            </w:pP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color w:val="auto"/>
              </w:rPr>
              <w:t>8,812</w:t>
            </w:r>
          </w:p>
        </w:tc>
        <w:tc>
          <w:tcPr>
            <w:tcW w:w="0" w:type="dxa"/>
            <w:vAlign w:val="bottom"/>
          </w:tcPr>
          <w:p>
            <w:pPr>
              <w:spacing w:after="0"/>
              <w:rPr>
                <w:sz w:val="1"/>
                <w:szCs w:val="1"/>
                <w:color w:val="auto"/>
              </w:rPr>
            </w:pPr>
          </w:p>
        </w:tc>
      </w:tr>
      <w:tr>
        <w:trPr>
          <w:trHeight w:val="182"/>
        </w:trPr>
        <w:tc>
          <w:tcPr>
            <w:tcW w:w="3180" w:type="dxa"/>
            <w:vAlign w:val="bottom"/>
          </w:tcPr>
          <w:p>
            <w:pPr>
              <w:ind w:left="440"/>
              <w:spacing w:after="0"/>
              <w:rPr>
                <w:sz w:val="20"/>
                <w:szCs w:val="20"/>
                <w:color w:val="auto"/>
              </w:rPr>
            </w:pPr>
            <w:r>
              <w:rPr>
                <w:rFonts w:ascii="Arial" w:cs="Arial" w:eastAsia="Arial" w:hAnsi="Arial"/>
                <w:sz w:val="14"/>
                <w:szCs w:val="14"/>
                <w:i w:val="1"/>
                <w:iCs w:val="1"/>
                <w:color w:val="auto"/>
              </w:rPr>
              <w:t>(6)</w:t>
            </w:r>
          </w:p>
        </w:tc>
        <w:tc>
          <w:tcPr>
            <w:tcW w:w="940" w:type="dxa"/>
            <w:vAlign w:val="bottom"/>
            <w:gridSpan w:val="2"/>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20" w:type="dxa"/>
            <w:vAlign w:val="bottom"/>
            <w:gridSpan w:val="3"/>
            <w:vMerge w:val="continue"/>
          </w:tcPr>
          <w:p>
            <w:pPr>
              <w:spacing w:after="0"/>
              <w:rPr>
                <w:sz w:val="15"/>
                <w:szCs w:val="15"/>
                <w:color w:val="auto"/>
              </w:rPr>
            </w:pPr>
          </w:p>
        </w:tc>
        <w:tc>
          <w:tcPr>
            <w:tcW w:w="960" w:type="dxa"/>
            <w:vAlign w:val="bottom"/>
            <w:gridSpan w:val="3"/>
            <w:vMerge w:val="continue"/>
          </w:tcPr>
          <w:p>
            <w:pPr>
              <w:spacing w:after="0"/>
              <w:rPr>
                <w:sz w:val="15"/>
                <w:szCs w:val="15"/>
                <w:color w:val="auto"/>
              </w:rPr>
            </w:pPr>
          </w:p>
        </w:tc>
        <w:tc>
          <w:tcPr>
            <w:tcW w:w="102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180" w:type="dxa"/>
            <w:vAlign w:val="bottom"/>
          </w:tcPr>
          <w:p>
            <w:pPr>
              <w:ind w:left="120"/>
              <w:spacing w:after="0"/>
              <w:rPr>
                <w:sz w:val="20"/>
                <w:szCs w:val="20"/>
                <w:color w:val="auto"/>
              </w:rPr>
            </w:pPr>
            <w:r>
              <w:rPr>
                <w:rFonts w:ascii="Arial" w:cs="Arial" w:eastAsia="Arial" w:hAnsi="Arial"/>
                <w:sz w:val="14"/>
                <w:szCs w:val="14"/>
                <w:color w:val="auto"/>
              </w:rPr>
              <w:t xml:space="preserve">Other long-term financial assets </w:t>
            </w:r>
            <w:r>
              <w:rPr>
                <w:rFonts w:ascii="Arial" w:cs="Arial" w:eastAsia="Arial" w:hAnsi="Arial"/>
                <w:sz w:val="14"/>
                <w:szCs w:val="14"/>
                <w:i w:val="1"/>
                <w:iCs w:val="1"/>
                <w:color w:val="auto"/>
              </w:rPr>
              <w:t>(3)</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1,235</w:t>
            </w:r>
          </w:p>
        </w:tc>
        <w:tc>
          <w:tcPr>
            <w:tcW w:w="1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944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2,179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gridSpan w:val="3"/>
          </w:tcPr>
          <w:p>
            <w:pPr>
              <w:ind w:left="900"/>
              <w:spacing w:after="0"/>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125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2,304</w:t>
            </w:r>
          </w:p>
        </w:tc>
        <w:tc>
          <w:tcPr>
            <w:tcW w:w="0" w:type="dxa"/>
            <w:vAlign w:val="bottom"/>
          </w:tcPr>
          <w:p>
            <w:pPr>
              <w:spacing w:after="0"/>
              <w:rPr>
                <w:sz w:val="1"/>
                <w:szCs w:val="1"/>
                <w:color w:val="auto"/>
              </w:rPr>
            </w:pPr>
          </w:p>
        </w:tc>
      </w:tr>
      <w:tr>
        <w:trPr>
          <w:trHeight w:val="445"/>
        </w:trPr>
        <w:tc>
          <w:tcPr>
            <w:tcW w:w="3180" w:type="dxa"/>
            <w:vAlign w:val="bottom"/>
          </w:tcPr>
          <w:p>
            <w:pPr>
              <w:spacing w:after="0"/>
              <w:rPr>
                <w:sz w:val="20"/>
                <w:szCs w:val="20"/>
                <w:color w:val="auto"/>
              </w:rPr>
            </w:pPr>
            <w:r>
              <w:rPr>
                <w:rFonts w:ascii="Arial" w:cs="Arial" w:eastAsia="Arial" w:hAnsi="Arial"/>
                <w:sz w:val="14"/>
                <w:szCs w:val="14"/>
                <w:b w:val="1"/>
                <w:bCs w:val="1"/>
                <w:color w:val="auto"/>
              </w:rPr>
              <w:t>Liabilities</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180" w:type="dxa"/>
            <w:vAlign w:val="bottom"/>
          </w:tcPr>
          <w:p>
            <w:pPr>
              <w:ind w:left="120"/>
              <w:spacing w:after="0"/>
              <w:rPr>
                <w:sz w:val="20"/>
                <w:szCs w:val="20"/>
                <w:color w:val="auto"/>
              </w:rPr>
            </w:pPr>
            <w:r>
              <w:rPr>
                <w:rFonts w:ascii="Arial" w:cs="Arial" w:eastAsia="Arial" w:hAnsi="Arial"/>
                <w:sz w:val="14"/>
                <w:szCs w:val="14"/>
                <w:color w:val="auto"/>
              </w:rPr>
              <w:t xml:space="preserve">Derivative liabilities </w:t>
            </w:r>
            <w:r>
              <w:rPr>
                <w:rFonts w:ascii="Arial" w:cs="Arial" w:eastAsia="Arial" w:hAnsi="Arial"/>
                <w:sz w:val="14"/>
                <w:szCs w:val="14"/>
                <w:i w:val="1"/>
                <w:iCs w:val="1"/>
                <w:color w:val="auto"/>
              </w:rPr>
              <w:t>(4)</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1,443</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254</w:t>
            </w:r>
          </w:p>
        </w:tc>
        <w:tc>
          <w:tcPr>
            <w:tcW w:w="120" w:type="dxa"/>
            <w:vAlign w:val="bottom"/>
          </w:tcPr>
          <w:p>
            <w:pPr>
              <w:spacing w:after="0"/>
              <w:rPr>
                <w:sz w:val="19"/>
                <w:szCs w:val="19"/>
                <w:color w:val="auto"/>
              </w:rPr>
            </w:pPr>
          </w:p>
        </w:tc>
        <w:tc>
          <w:tcPr>
            <w:tcW w:w="9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1,697</w:t>
            </w:r>
          </w:p>
        </w:tc>
        <w:tc>
          <w:tcPr>
            <w:tcW w:w="10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(1,282)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4"/>
                <w:szCs w:val="14"/>
                <w:color w:val="auto"/>
              </w:rPr>
              <w:t>(202)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213</w:t>
            </w:r>
          </w:p>
        </w:tc>
        <w:tc>
          <w:tcPr>
            <w:tcW w:w="0" w:type="dxa"/>
            <w:vAlign w:val="bottom"/>
          </w:tcPr>
          <w:p>
            <w:pPr>
              <w:spacing w:after="0"/>
              <w:rPr>
                <w:sz w:val="1"/>
                <w:szCs w:val="1"/>
                <w:color w:val="auto"/>
              </w:rPr>
            </w:pPr>
          </w:p>
        </w:tc>
      </w:tr>
      <w:tr>
        <w:trPr>
          <w:trHeight w:val="230"/>
        </w:trPr>
        <w:tc>
          <w:tcPr>
            <w:tcW w:w="3180" w:type="dxa"/>
            <w:vAlign w:val="bottom"/>
          </w:tcPr>
          <w:p>
            <w:pPr>
              <w:ind w:left="120"/>
              <w:spacing w:after="0"/>
              <w:rPr>
                <w:sz w:val="20"/>
                <w:szCs w:val="20"/>
                <w:color w:val="auto"/>
              </w:rPr>
            </w:pPr>
            <w:r>
              <w:rPr>
                <w:rFonts w:ascii="Arial" w:cs="Arial" w:eastAsia="Arial" w:hAnsi="Arial"/>
                <w:sz w:val="14"/>
                <w:szCs w:val="14"/>
                <w:color w:val="auto"/>
              </w:rPr>
              <w:t xml:space="preserve">Long-term debt </w:t>
            </w:r>
            <w:r>
              <w:rPr>
                <w:rFonts w:ascii="Arial" w:cs="Arial" w:eastAsia="Arial" w:hAnsi="Arial"/>
                <w:sz w:val="14"/>
                <w:szCs w:val="14"/>
                <w:i w:val="1"/>
                <w:iCs w:val="1"/>
                <w:color w:val="auto"/>
              </w:rPr>
              <w:t>(5)</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50,263</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125</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50,392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gridSpan w:val="3"/>
          </w:tcPr>
          <w:p>
            <w:pPr>
              <w:ind w:left="900"/>
              <w:spacing w:after="0"/>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1020" w:type="dxa"/>
            <w:vAlign w:val="bottom"/>
            <w:gridSpan w:val="3"/>
          </w:tcPr>
          <w:p>
            <w:pPr>
              <w:jc w:val="right"/>
              <w:ind w:right="40"/>
              <w:spacing w:after="0"/>
              <w:rPr>
                <w:sz w:val="20"/>
                <w:szCs w:val="20"/>
                <w:color w:val="auto"/>
              </w:rPr>
            </w:pPr>
            <w:r>
              <w:rPr>
                <w:rFonts w:ascii="Arial" w:cs="Arial" w:eastAsia="Arial" w:hAnsi="Arial"/>
                <w:sz w:val="14"/>
                <w:szCs w:val="14"/>
                <w:color w:val="auto"/>
              </w:rPr>
              <w:t>(4,890)</w:t>
            </w:r>
          </w:p>
        </w:tc>
        <w:tc>
          <w:tcPr>
            <w:tcW w:w="6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45,502</w:t>
            </w:r>
          </w:p>
        </w:tc>
        <w:tc>
          <w:tcPr>
            <w:tcW w:w="0" w:type="dxa"/>
            <w:vAlign w:val="bottom"/>
          </w:tcPr>
          <w:p>
            <w:pPr>
              <w:spacing w:after="0"/>
              <w:rPr>
                <w:sz w:val="1"/>
                <w:szCs w:val="1"/>
                <w:color w:val="auto"/>
              </w:rPr>
            </w:pPr>
          </w:p>
        </w:tc>
      </w:tr>
      <w:tr>
        <w:trPr>
          <w:trHeight w:val="229"/>
        </w:trPr>
        <w:tc>
          <w:tcPr>
            <w:tcW w:w="3180" w:type="dxa"/>
            <w:vAlign w:val="bottom"/>
          </w:tcPr>
          <w:p>
            <w:pPr>
              <w:ind w:left="100"/>
              <w:spacing w:after="0"/>
              <w:rPr>
                <w:sz w:val="20"/>
                <w:szCs w:val="20"/>
                <w:color w:val="auto"/>
              </w:rPr>
            </w:pPr>
            <w:r>
              <w:rPr>
                <w:rFonts w:ascii="Arial" w:cs="Arial" w:eastAsia="Arial" w:hAnsi="Arial"/>
                <w:sz w:val="14"/>
                <w:szCs w:val="14"/>
                <w:color w:val="auto"/>
              </w:rPr>
              <w:t xml:space="preserve">Long-term obligations to equity companies </w:t>
            </w:r>
            <w:r>
              <w:rPr>
                <w:rFonts w:ascii="Arial" w:cs="Arial" w:eastAsia="Arial" w:hAnsi="Arial"/>
                <w:sz w:val="14"/>
                <w:szCs w:val="14"/>
                <w:i w:val="1"/>
                <w:iCs w:val="1"/>
                <w:color w:val="auto"/>
              </w:rPr>
              <w:t>(6)</w:t>
            </w: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3,530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3,530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gridSpan w:val="3"/>
          </w:tcPr>
          <w:p>
            <w:pPr>
              <w:ind w:left="900"/>
              <w:spacing w:after="0"/>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1020" w:type="dxa"/>
            <w:vAlign w:val="bottom"/>
            <w:gridSpan w:val="3"/>
          </w:tcPr>
          <w:p>
            <w:pPr>
              <w:jc w:val="right"/>
              <w:ind w:right="40"/>
              <w:spacing w:after="0"/>
              <w:rPr>
                <w:sz w:val="20"/>
                <w:szCs w:val="20"/>
                <w:color w:val="auto"/>
              </w:rPr>
            </w:pPr>
            <w:r>
              <w:rPr>
                <w:rFonts w:ascii="Arial" w:cs="Arial" w:eastAsia="Arial" w:hAnsi="Arial"/>
                <w:sz w:val="14"/>
                <w:szCs w:val="14"/>
                <w:color w:val="auto"/>
              </w:rPr>
              <w:t>(277)</w:t>
            </w:r>
          </w:p>
        </w:tc>
        <w:tc>
          <w:tcPr>
            <w:tcW w:w="6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3,253</w:t>
            </w:r>
          </w:p>
        </w:tc>
        <w:tc>
          <w:tcPr>
            <w:tcW w:w="0" w:type="dxa"/>
            <w:vAlign w:val="bottom"/>
          </w:tcPr>
          <w:p>
            <w:pPr>
              <w:spacing w:after="0"/>
              <w:rPr>
                <w:sz w:val="1"/>
                <w:szCs w:val="1"/>
                <w:color w:val="auto"/>
              </w:rPr>
            </w:pPr>
          </w:p>
        </w:tc>
      </w:tr>
      <w:tr>
        <w:trPr>
          <w:trHeight w:val="230"/>
        </w:trPr>
        <w:tc>
          <w:tcPr>
            <w:tcW w:w="3180" w:type="dxa"/>
            <w:vAlign w:val="bottom"/>
          </w:tcPr>
          <w:p>
            <w:pPr>
              <w:ind w:left="120"/>
              <w:spacing w:after="0"/>
              <w:rPr>
                <w:sz w:val="20"/>
                <w:szCs w:val="20"/>
                <w:color w:val="auto"/>
              </w:rPr>
            </w:pPr>
            <w:r>
              <w:rPr>
                <w:rFonts w:ascii="Arial" w:cs="Arial" w:eastAsia="Arial" w:hAnsi="Arial"/>
                <w:sz w:val="14"/>
                <w:szCs w:val="14"/>
                <w:color w:val="auto"/>
              </w:rPr>
              <w:t xml:space="preserve">Other long-term financial liabilities </w:t>
            </w:r>
            <w:r>
              <w:rPr>
                <w:rFonts w:ascii="Arial" w:cs="Arial" w:eastAsia="Arial" w:hAnsi="Arial"/>
                <w:sz w:val="14"/>
                <w:szCs w:val="14"/>
                <w:i w:val="1"/>
                <w:iCs w:val="1"/>
                <w:color w:val="auto"/>
              </w:rPr>
              <w:t>(7)</w:t>
            </w: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964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964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gridSpan w:val="3"/>
          </w:tcPr>
          <w:p>
            <w:pPr>
              <w:ind w:left="900"/>
              <w:spacing w:after="0"/>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44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1,008</w:t>
            </w:r>
          </w:p>
        </w:tc>
        <w:tc>
          <w:tcPr>
            <w:tcW w:w="0" w:type="dxa"/>
            <w:vAlign w:val="bottom"/>
          </w:tcPr>
          <w:p>
            <w:pPr>
              <w:spacing w:after="0"/>
              <w:rPr>
                <w:sz w:val="1"/>
                <w:szCs w:val="1"/>
                <w:color w:val="auto"/>
              </w:rPr>
            </w:pPr>
          </w:p>
        </w:tc>
      </w:tr>
    </w:tbl>
    <w:p>
      <w:pPr>
        <w:spacing w:after="0" w:line="88" w:lineRule="exact"/>
        <w:rPr>
          <w:sz w:val="20"/>
          <w:szCs w:val="20"/>
          <w:color w:val="auto"/>
        </w:rPr>
      </w:pPr>
    </w:p>
    <w:p>
      <w:pPr>
        <w:ind w:left="320" w:hanging="312"/>
        <w:spacing w:after="0"/>
        <w:tabs>
          <w:tab w:leader="none" w:pos="320" w:val="left"/>
        </w:tabs>
        <w:numPr>
          <w:ilvl w:val="0"/>
          <w:numId w:val="23"/>
        </w:numPr>
        <w:rPr>
          <w:rFonts w:ascii="Arial" w:cs="Arial" w:eastAsia="Arial" w:hAnsi="Arial"/>
          <w:sz w:val="14"/>
          <w:szCs w:val="14"/>
          <w:i w:val="1"/>
          <w:iCs w:val="1"/>
          <w:color w:val="auto"/>
        </w:rPr>
      </w:pPr>
      <w:r>
        <w:rPr>
          <w:rFonts w:ascii="Arial" w:cs="Arial" w:eastAsia="Arial" w:hAnsi="Arial"/>
          <w:sz w:val="14"/>
          <w:szCs w:val="14"/>
          <w:i w:val="1"/>
          <w:iCs w:val="1"/>
          <w:color w:val="auto"/>
        </w:rPr>
        <w:t>Included in the Balance Sheet lines: Notes and accounts receivable - net and Other assets, including intangibles - net</w:t>
      </w:r>
    </w:p>
    <w:p>
      <w:pPr>
        <w:spacing w:after="0" w:line="13" w:lineRule="exact"/>
        <w:rPr>
          <w:rFonts w:ascii="Arial" w:cs="Arial" w:eastAsia="Arial" w:hAnsi="Arial"/>
          <w:sz w:val="14"/>
          <w:szCs w:val="14"/>
          <w:i w:val="1"/>
          <w:iCs w:val="1"/>
          <w:color w:val="auto"/>
        </w:rPr>
      </w:pPr>
    </w:p>
    <w:p>
      <w:pPr>
        <w:ind w:left="320" w:hanging="312"/>
        <w:spacing w:after="0"/>
        <w:tabs>
          <w:tab w:leader="none" w:pos="320" w:val="left"/>
        </w:tabs>
        <w:numPr>
          <w:ilvl w:val="0"/>
          <w:numId w:val="23"/>
        </w:numPr>
        <w:rPr>
          <w:rFonts w:ascii="Arial" w:cs="Arial" w:eastAsia="Arial" w:hAnsi="Arial"/>
          <w:sz w:val="14"/>
          <w:szCs w:val="14"/>
          <w:i w:val="1"/>
          <w:iCs w:val="1"/>
          <w:color w:val="auto"/>
        </w:rPr>
      </w:pPr>
      <w:r>
        <w:rPr>
          <w:rFonts w:ascii="Arial" w:cs="Arial" w:eastAsia="Arial" w:hAnsi="Arial"/>
          <w:sz w:val="14"/>
          <w:szCs w:val="14"/>
          <w:i w:val="1"/>
          <w:iCs w:val="1"/>
          <w:color w:val="auto"/>
        </w:rPr>
        <w:t>Included in the Balance Sheet line: Investments, advances and long-term receivables</w:t>
      </w:r>
    </w:p>
    <w:p>
      <w:pPr>
        <w:spacing w:after="0" w:line="1" w:lineRule="exact"/>
        <w:rPr>
          <w:rFonts w:ascii="Arial" w:cs="Arial" w:eastAsia="Arial" w:hAnsi="Arial"/>
          <w:sz w:val="14"/>
          <w:szCs w:val="14"/>
          <w:i w:val="1"/>
          <w:iCs w:val="1"/>
          <w:color w:val="auto"/>
        </w:rPr>
      </w:pPr>
    </w:p>
    <w:p>
      <w:pPr>
        <w:ind w:left="320" w:hanging="312"/>
        <w:spacing w:after="0"/>
        <w:tabs>
          <w:tab w:leader="none" w:pos="320" w:val="left"/>
        </w:tabs>
        <w:numPr>
          <w:ilvl w:val="0"/>
          <w:numId w:val="23"/>
        </w:numPr>
        <w:rPr>
          <w:rFonts w:ascii="Arial" w:cs="Arial" w:eastAsia="Arial" w:hAnsi="Arial"/>
          <w:sz w:val="14"/>
          <w:szCs w:val="14"/>
          <w:i w:val="1"/>
          <w:iCs w:val="1"/>
          <w:color w:val="auto"/>
        </w:rPr>
      </w:pPr>
      <w:r>
        <w:rPr>
          <w:rFonts w:ascii="Arial" w:cs="Arial" w:eastAsia="Arial" w:hAnsi="Arial"/>
          <w:sz w:val="14"/>
          <w:szCs w:val="14"/>
          <w:i w:val="1"/>
          <w:iCs w:val="1"/>
          <w:color w:val="auto"/>
        </w:rPr>
        <w:t>Included in the Balance Sheet lines: Investments, advances and long-term receivables and Other assets, including intangibles - net</w:t>
      </w:r>
    </w:p>
    <w:p>
      <w:pPr>
        <w:spacing w:after="0" w:line="1" w:lineRule="exact"/>
        <w:rPr>
          <w:rFonts w:ascii="Arial" w:cs="Arial" w:eastAsia="Arial" w:hAnsi="Arial"/>
          <w:sz w:val="14"/>
          <w:szCs w:val="14"/>
          <w:i w:val="1"/>
          <w:iCs w:val="1"/>
          <w:color w:val="auto"/>
        </w:rPr>
      </w:pPr>
    </w:p>
    <w:p>
      <w:pPr>
        <w:ind w:left="320" w:hanging="312"/>
        <w:spacing w:after="0"/>
        <w:tabs>
          <w:tab w:leader="none" w:pos="320" w:val="left"/>
        </w:tabs>
        <w:numPr>
          <w:ilvl w:val="0"/>
          <w:numId w:val="23"/>
        </w:numPr>
        <w:rPr>
          <w:rFonts w:ascii="Arial" w:cs="Arial" w:eastAsia="Arial" w:hAnsi="Arial"/>
          <w:sz w:val="14"/>
          <w:szCs w:val="14"/>
          <w:i w:val="1"/>
          <w:iCs w:val="1"/>
          <w:color w:val="auto"/>
        </w:rPr>
      </w:pPr>
      <w:r>
        <w:rPr>
          <w:rFonts w:ascii="Arial" w:cs="Arial" w:eastAsia="Arial" w:hAnsi="Arial"/>
          <w:sz w:val="14"/>
          <w:szCs w:val="14"/>
          <w:i w:val="1"/>
          <w:iCs w:val="1"/>
          <w:color w:val="auto"/>
        </w:rPr>
        <w:t>Included in the Balance Sheet lines: Accounts payable and accrued liabilities and Other long-term obligations</w:t>
      </w:r>
    </w:p>
    <w:p>
      <w:pPr>
        <w:spacing w:after="0" w:line="1" w:lineRule="exact"/>
        <w:rPr>
          <w:rFonts w:ascii="Arial" w:cs="Arial" w:eastAsia="Arial" w:hAnsi="Arial"/>
          <w:sz w:val="14"/>
          <w:szCs w:val="14"/>
          <w:i w:val="1"/>
          <w:iCs w:val="1"/>
          <w:color w:val="auto"/>
        </w:rPr>
      </w:pPr>
    </w:p>
    <w:p>
      <w:pPr>
        <w:ind w:left="320" w:hanging="312"/>
        <w:spacing w:after="0"/>
        <w:tabs>
          <w:tab w:leader="none" w:pos="320" w:val="left"/>
        </w:tabs>
        <w:numPr>
          <w:ilvl w:val="0"/>
          <w:numId w:val="23"/>
        </w:numPr>
        <w:rPr>
          <w:rFonts w:ascii="Arial" w:cs="Arial" w:eastAsia="Arial" w:hAnsi="Arial"/>
          <w:sz w:val="14"/>
          <w:szCs w:val="14"/>
          <w:i w:val="1"/>
          <w:iCs w:val="1"/>
          <w:color w:val="auto"/>
        </w:rPr>
      </w:pPr>
      <w:r>
        <w:rPr>
          <w:rFonts w:ascii="Arial" w:cs="Arial" w:eastAsia="Arial" w:hAnsi="Arial"/>
          <w:sz w:val="14"/>
          <w:szCs w:val="14"/>
          <w:i w:val="1"/>
          <w:iCs w:val="1"/>
          <w:color w:val="auto"/>
        </w:rPr>
        <w:t>Excluding finance lease obligations</w:t>
      </w:r>
    </w:p>
    <w:p>
      <w:pPr>
        <w:spacing w:after="0" w:line="1" w:lineRule="exact"/>
        <w:rPr>
          <w:rFonts w:ascii="Arial" w:cs="Arial" w:eastAsia="Arial" w:hAnsi="Arial"/>
          <w:sz w:val="14"/>
          <w:szCs w:val="14"/>
          <w:i w:val="1"/>
          <w:iCs w:val="1"/>
          <w:color w:val="auto"/>
        </w:rPr>
      </w:pPr>
    </w:p>
    <w:p>
      <w:pPr>
        <w:ind w:left="340" w:hanging="332"/>
        <w:spacing w:after="0" w:line="241" w:lineRule="auto"/>
        <w:tabs>
          <w:tab w:leader="none" w:pos="332" w:val="left"/>
        </w:tabs>
        <w:numPr>
          <w:ilvl w:val="0"/>
          <w:numId w:val="23"/>
        </w:numPr>
        <w:rPr>
          <w:rFonts w:ascii="Arial" w:cs="Arial" w:eastAsia="Arial" w:hAnsi="Arial"/>
          <w:sz w:val="14"/>
          <w:szCs w:val="14"/>
          <w:i w:val="1"/>
          <w:iCs w:val="1"/>
          <w:color w:val="auto"/>
        </w:rPr>
      </w:pPr>
      <w:r>
        <w:rPr>
          <w:rFonts w:ascii="Arial" w:cs="Arial" w:eastAsia="Arial" w:hAnsi="Arial"/>
          <w:sz w:val="14"/>
          <w:szCs w:val="14"/>
          <w:i w:val="1"/>
          <w:iCs w:val="1"/>
          <w:color w:val="auto"/>
        </w:rPr>
        <w:t>Advances to/receivables from equity companies and long-term obligations to equity companies are mainly designated as hierarchy level 3 inputs. The fair value is calculated by discounting the remaining obligations by a rate consistent with the credit quality and industry of the company.</w:t>
      </w:r>
    </w:p>
    <w:p>
      <w:pPr>
        <w:ind w:left="340" w:hanging="332"/>
        <w:spacing w:after="0" w:line="255" w:lineRule="auto"/>
        <w:tabs>
          <w:tab w:leader="none" w:pos="332" w:val="left"/>
        </w:tabs>
        <w:numPr>
          <w:ilvl w:val="0"/>
          <w:numId w:val="23"/>
        </w:numPr>
        <w:rPr>
          <w:rFonts w:ascii="Arial" w:cs="Arial" w:eastAsia="Arial" w:hAnsi="Arial"/>
          <w:sz w:val="14"/>
          <w:szCs w:val="14"/>
          <w:i w:val="1"/>
          <w:iCs w:val="1"/>
          <w:color w:val="auto"/>
        </w:rPr>
      </w:pPr>
      <w:r>
        <w:rPr>
          <w:rFonts w:ascii="Arial" w:cs="Arial" w:eastAsia="Arial" w:hAnsi="Arial"/>
          <w:sz w:val="14"/>
          <w:szCs w:val="14"/>
          <w:i w:val="1"/>
          <w:iCs w:val="1"/>
          <w:color w:val="auto"/>
        </w:rPr>
        <w:t>Included in the Balance Sheet line: Other long-term obligations. Includes contingent consideration related to a prior year acquisition where fair value is based on expected drilling activities and discount rates.</w:t>
      </w:r>
    </w:p>
    <w:p>
      <w:pPr>
        <w:spacing w:after="0" w:line="19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 December 31, 2021 and December 31, 2020, the Corporation had $641 million and $504 million of collateral under master netting arrangements not offset against the derivatives on the Consolidated Balance Sheet, primarily related to initial margin requirements.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9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Derivative Instruments. </w:t>
      </w:r>
      <w:r>
        <w:rPr>
          <w:rFonts w:ascii="Arial" w:cs="Arial" w:eastAsia="Arial" w:hAnsi="Arial"/>
          <w:sz w:val="18"/>
          <w:szCs w:val="18"/>
          <w:color w:val="auto"/>
        </w:rPr>
        <w:t>The Corporation’s size, strong capital structure, geographic diversity and the complementary nature of the Upstream,</w:t>
      </w:r>
      <w:r>
        <w:rPr>
          <w:rFonts w:ascii="Arial" w:cs="Arial" w:eastAsia="Arial" w:hAnsi="Arial"/>
          <w:sz w:val="18"/>
          <w:szCs w:val="18"/>
          <w:b w:val="1"/>
          <w:bCs w:val="1"/>
          <w:color w:val="auto"/>
        </w:rPr>
        <w:t xml:space="preserve"> </w:t>
      </w:r>
      <w:r>
        <w:rPr>
          <w:rFonts w:ascii="Arial" w:cs="Arial" w:eastAsia="Arial" w:hAnsi="Arial"/>
          <w:sz w:val="18"/>
          <w:szCs w:val="18"/>
          <w:color w:val="auto"/>
        </w:rPr>
        <w:t>Downstream and Chemical businesses reduce the Corporation’s enterprise-wide risk from changes in commodity prices, currency rates and interest rates. In addition, the Corporation uses commodity-based contracts, including derivatives, to manage commodity price risk and for trading purposes. Commodity contracts held for trading purposes are presented in the Consolidated Statement of Income on a net basis in the line “Sales and other operating revenue”. The Corporation’s commodity derivatives are not accounted for under hedge accounting. At times, the Corporation also enters into currency and interest rate derivatives, none of which are material to the Corporation’s financial position as of December 31, 2021 and 2020, or results of operations for 2021, 2020 and 2019.</w:t>
      </w:r>
    </w:p>
    <w:p>
      <w:pPr>
        <w:spacing w:after="0" w:line="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Credit risk associated with the Corporation’s derivative position is mitigated by several factors, including the use of derivative clearing exchanges and the quality of and financial limits placed on derivative counterparties. The Corporation maintains a system of controls that includes the authorization, reporting and monitoring of derivative activity.</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The net notional long/(short) position of derivative instruments at December 31, 2021 and December 31, 2020, was as follows:</w:t>
      </w:r>
    </w:p>
    <w:p>
      <w:pPr>
        <w:spacing w:after="0" w:line="379"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8380" w:type="dxa"/>
            <w:vAlign w:val="bottom"/>
          </w:tcPr>
          <w:p>
            <w:pPr>
              <w:spacing w:after="0"/>
              <w:rPr>
                <w:sz w:val="16"/>
                <w:szCs w:val="16"/>
                <w:color w:val="auto"/>
              </w:rPr>
            </w:pPr>
          </w:p>
        </w:tc>
        <w:tc>
          <w:tcPr>
            <w:tcW w:w="1720" w:type="dxa"/>
            <w:vAlign w:val="bottom"/>
          </w:tcPr>
          <w:p>
            <w:pPr>
              <w:jc w:val="right"/>
              <w:ind w:right="539"/>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Pr>
          <w:p>
            <w:pPr>
              <w:jc w:val="right"/>
              <w:ind w:right="177"/>
              <w:spacing w:after="0"/>
              <w:rPr>
                <w:sz w:val="20"/>
                <w:szCs w:val="20"/>
                <w:color w:val="auto"/>
              </w:rPr>
            </w:pPr>
            <w:r>
              <w:rPr>
                <w:rFonts w:ascii="Arial" w:cs="Arial" w:eastAsia="Arial" w:hAnsi="Arial"/>
                <w:sz w:val="14"/>
                <w:szCs w:val="14"/>
                <w:b w:val="1"/>
                <w:bCs w:val="1"/>
                <w:color w:val="auto"/>
                <w:w w:val="92"/>
              </w:rPr>
              <w:t>December 31,</w:t>
            </w:r>
          </w:p>
        </w:tc>
      </w:tr>
      <w:tr>
        <w:trPr>
          <w:trHeight w:val="195"/>
        </w:trPr>
        <w:tc>
          <w:tcPr>
            <w:tcW w:w="8380" w:type="dxa"/>
            <w:vAlign w:val="bottom"/>
          </w:tcPr>
          <w:p>
            <w:pPr>
              <w:spacing w:after="0"/>
              <w:rPr>
                <w:sz w:val="16"/>
                <w:szCs w:val="16"/>
                <w:color w:val="auto"/>
              </w:rPr>
            </w:pPr>
          </w:p>
        </w:tc>
        <w:tc>
          <w:tcPr>
            <w:tcW w:w="1720" w:type="dxa"/>
            <w:vAlign w:val="bottom"/>
            <w:tcBorders>
              <w:bottom w:val="single" w:sz="8" w:color="auto"/>
            </w:tcBorders>
          </w:tcPr>
          <w:p>
            <w:pPr>
              <w:jc w:val="right"/>
              <w:ind w:right="799"/>
              <w:spacing w:after="0"/>
              <w:rPr>
                <w:sz w:val="20"/>
                <w:szCs w:val="20"/>
                <w:color w:val="auto"/>
              </w:rPr>
            </w:pPr>
            <w:r>
              <w:rPr>
                <w:rFonts w:ascii="Arial" w:cs="Arial" w:eastAsia="Arial" w:hAnsi="Arial"/>
                <w:sz w:val="14"/>
                <w:szCs w:val="14"/>
                <w:b w:val="1"/>
                <w:bCs w:val="1"/>
                <w:color w:val="auto"/>
              </w:rPr>
              <w:t>2021</w:t>
            </w:r>
          </w:p>
        </w:tc>
        <w:tc>
          <w:tcPr>
            <w:tcW w:w="112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2020</w:t>
            </w:r>
          </w:p>
        </w:tc>
      </w:tr>
      <w:tr>
        <w:trPr>
          <w:trHeight w:val="182"/>
        </w:trPr>
        <w:tc>
          <w:tcPr>
            <w:tcW w:w="838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Arial" w:cs="Arial" w:eastAsia="Arial" w:hAnsi="Arial"/>
                <w:sz w:val="14"/>
                <w:szCs w:val="14"/>
                <w:i w:val="1"/>
                <w:iCs w:val="1"/>
                <w:color w:val="auto"/>
              </w:rPr>
              <w:t>(millions)</w:t>
            </w:r>
          </w:p>
        </w:tc>
        <w:tc>
          <w:tcPr>
            <w:tcW w:w="1120" w:type="dxa"/>
            <w:vAlign w:val="bottom"/>
          </w:tcPr>
          <w:p>
            <w:pPr>
              <w:spacing w:after="0"/>
              <w:rPr>
                <w:sz w:val="15"/>
                <w:szCs w:val="15"/>
                <w:color w:val="auto"/>
              </w:rPr>
            </w:pPr>
          </w:p>
        </w:tc>
      </w:tr>
      <w:tr>
        <w:trPr>
          <w:trHeight w:val="235"/>
        </w:trPr>
        <w:tc>
          <w:tcPr>
            <w:tcW w:w="8380" w:type="dxa"/>
            <w:vAlign w:val="bottom"/>
          </w:tcPr>
          <w:p>
            <w:pPr>
              <w:spacing w:after="0"/>
              <w:rPr>
                <w:sz w:val="20"/>
                <w:szCs w:val="20"/>
                <w:color w:val="auto"/>
              </w:rPr>
            </w:pPr>
            <w:r>
              <w:rPr>
                <w:rFonts w:ascii="Arial" w:cs="Arial" w:eastAsia="Arial" w:hAnsi="Arial"/>
                <w:sz w:val="18"/>
                <w:szCs w:val="18"/>
                <w:color w:val="auto"/>
              </w:rPr>
              <w:t>Crude oil (barrels)</w:t>
            </w:r>
          </w:p>
        </w:tc>
        <w:tc>
          <w:tcPr>
            <w:tcW w:w="1720" w:type="dxa"/>
            <w:vAlign w:val="bottom"/>
          </w:tcPr>
          <w:p>
            <w:pPr>
              <w:jc w:val="right"/>
              <w:ind w:right="339"/>
              <w:spacing w:after="0"/>
              <w:rPr>
                <w:sz w:val="20"/>
                <w:szCs w:val="20"/>
                <w:color w:val="auto"/>
              </w:rPr>
            </w:pPr>
            <w:r>
              <w:rPr>
                <w:rFonts w:ascii="Arial" w:cs="Arial" w:eastAsia="Arial" w:hAnsi="Arial"/>
                <w:sz w:val="18"/>
                <w:szCs w:val="18"/>
                <w:color w:val="auto"/>
              </w:rPr>
              <w:t>82</w:t>
            </w:r>
          </w:p>
        </w:tc>
        <w:tc>
          <w:tcPr>
            <w:tcW w:w="11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8380" w:type="dxa"/>
            <w:vAlign w:val="bottom"/>
          </w:tcPr>
          <w:p>
            <w:pPr>
              <w:spacing w:after="0"/>
              <w:rPr>
                <w:sz w:val="20"/>
                <w:szCs w:val="20"/>
                <w:color w:val="auto"/>
              </w:rPr>
            </w:pPr>
            <w:r>
              <w:rPr>
                <w:rFonts w:ascii="Arial" w:cs="Arial" w:eastAsia="Arial" w:hAnsi="Arial"/>
                <w:sz w:val="18"/>
                <w:szCs w:val="18"/>
                <w:color w:val="auto"/>
              </w:rPr>
              <w:t>Petroleum products (barrels)</w:t>
            </w:r>
          </w:p>
        </w:tc>
        <w:tc>
          <w:tcPr>
            <w:tcW w:w="1720" w:type="dxa"/>
            <w:vAlign w:val="bottom"/>
          </w:tcPr>
          <w:p>
            <w:pPr>
              <w:jc w:val="right"/>
              <w:ind w:right="299"/>
              <w:spacing w:after="0"/>
              <w:rPr>
                <w:sz w:val="20"/>
                <w:szCs w:val="20"/>
                <w:color w:val="auto"/>
              </w:rPr>
            </w:pPr>
            <w:r>
              <w:rPr>
                <w:rFonts w:ascii="Arial" w:cs="Arial" w:eastAsia="Arial" w:hAnsi="Arial"/>
                <w:sz w:val="18"/>
                <w:szCs w:val="18"/>
                <w:color w:val="auto"/>
              </w:rPr>
              <w:t>(48)</w:t>
            </w:r>
          </w:p>
        </w:tc>
        <w:tc>
          <w:tcPr>
            <w:tcW w:w="11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30"/>
        </w:trPr>
        <w:tc>
          <w:tcPr>
            <w:tcW w:w="8380" w:type="dxa"/>
            <w:vAlign w:val="bottom"/>
          </w:tcPr>
          <w:p>
            <w:pPr>
              <w:spacing w:after="0"/>
              <w:rPr>
                <w:sz w:val="20"/>
                <w:szCs w:val="20"/>
                <w:color w:val="auto"/>
              </w:rPr>
            </w:pPr>
            <w:r>
              <w:rPr>
                <w:rFonts w:ascii="Arial" w:cs="Arial" w:eastAsia="Arial" w:hAnsi="Arial"/>
                <w:sz w:val="18"/>
                <w:szCs w:val="18"/>
                <w:color w:val="auto"/>
              </w:rPr>
              <w:t>Natural gas (MMBTUs)</w:t>
            </w:r>
          </w:p>
        </w:tc>
        <w:tc>
          <w:tcPr>
            <w:tcW w:w="1720" w:type="dxa"/>
            <w:vAlign w:val="bottom"/>
          </w:tcPr>
          <w:p>
            <w:pPr>
              <w:jc w:val="right"/>
              <w:ind w:right="299"/>
              <w:spacing w:after="0"/>
              <w:rPr>
                <w:sz w:val="20"/>
                <w:szCs w:val="20"/>
                <w:color w:val="auto"/>
              </w:rPr>
            </w:pPr>
            <w:r>
              <w:rPr>
                <w:rFonts w:ascii="Arial" w:cs="Arial" w:eastAsia="Arial" w:hAnsi="Arial"/>
                <w:sz w:val="18"/>
                <w:szCs w:val="18"/>
                <w:color w:val="auto"/>
              </w:rPr>
              <w:t>(115)</w:t>
            </w:r>
          </w:p>
        </w:tc>
        <w:tc>
          <w:tcPr>
            <w:tcW w:w="1120" w:type="dxa"/>
            <w:vAlign w:val="bottom"/>
          </w:tcPr>
          <w:p>
            <w:pPr>
              <w:jc w:val="right"/>
              <w:spacing w:after="0"/>
              <w:rPr>
                <w:sz w:val="20"/>
                <w:szCs w:val="20"/>
                <w:color w:val="auto"/>
              </w:rPr>
            </w:pPr>
            <w:r>
              <w:rPr>
                <w:rFonts w:ascii="Arial" w:cs="Arial" w:eastAsia="Arial" w:hAnsi="Arial"/>
                <w:sz w:val="18"/>
                <w:szCs w:val="18"/>
                <w:color w:val="auto"/>
              </w:rPr>
              <w:t>(500)</w:t>
            </w:r>
          </w:p>
        </w:tc>
      </w:tr>
    </w:tbl>
    <w:p>
      <w:pPr>
        <w:spacing w:after="0" w:line="3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Realized and unrealized gains/(losses) on derivative instruments that were recognized in the Consolidated Statement of Income are included in the following lines on a before-tax basis:</w:t>
      </w: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240" w:type="dxa"/>
            <w:vAlign w:val="bottom"/>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176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2020</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r>
      <w:tr>
        <w:trPr>
          <w:trHeight w:val="182"/>
        </w:trPr>
        <w:tc>
          <w:tcPr>
            <w:tcW w:w="7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760" w:type="dxa"/>
            <w:vAlign w:val="bottom"/>
          </w:tcPr>
          <w:p>
            <w:pPr>
              <w:jc w:val="right"/>
              <w:ind w:right="437"/>
              <w:spacing w:after="0"/>
              <w:rPr>
                <w:sz w:val="20"/>
                <w:szCs w:val="20"/>
                <w:color w:val="auto"/>
              </w:rPr>
            </w:pPr>
            <w:r>
              <w:rPr>
                <w:rFonts w:ascii="Arial" w:cs="Arial" w:eastAsia="Arial" w:hAnsi="Arial"/>
                <w:sz w:val="14"/>
                <w:szCs w:val="14"/>
                <w:i w:val="1"/>
                <w:iCs w:val="1"/>
                <w:color w:val="auto"/>
              </w:rPr>
              <w:t>(millions of dollars)</w:t>
            </w:r>
          </w:p>
        </w:tc>
        <w:tc>
          <w:tcPr>
            <w:tcW w:w="900" w:type="dxa"/>
            <w:vAlign w:val="bottom"/>
          </w:tcPr>
          <w:p>
            <w:pPr>
              <w:spacing w:after="0"/>
              <w:rPr>
                <w:sz w:val="15"/>
                <w:szCs w:val="15"/>
                <w:color w:val="auto"/>
              </w:rPr>
            </w:pPr>
          </w:p>
        </w:tc>
      </w:tr>
      <w:tr>
        <w:trPr>
          <w:trHeight w:val="235"/>
        </w:trPr>
        <w:tc>
          <w:tcPr>
            <w:tcW w:w="7240" w:type="dxa"/>
            <w:vAlign w:val="bottom"/>
          </w:tcPr>
          <w:p>
            <w:pPr>
              <w:spacing w:after="0"/>
              <w:rPr>
                <w:sz w:val="20"/>
                <w:szCs w:val="20"/>
                <w:color w:val="auto"/>
              </w:rPr>
            </w:pPr>
            <w:r>
              <w:rPr>
                <w:rFonts w:ascii="Arial" w:cs="Arial" w:eastAsia="Arial" w:hAnsi="Arial"/>
                <w:sz w:val="18"/>
                <w:szCs w:val="18"/>
                <w:color w:val="auto"/>
              </w:rPr>
              <w:t>Sales and other operating revenue</w:t>
            </w: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(3,818)</w:t>
            </w:r>
          </w:p>
        </w:tc>
        <w:tc>
          <w:tcPr>
            <w:tcW w:w="1760" w:type="dxa"/>
            <w:vAlign w:val="bottom"/>
          </w:tcPr>
          <w:p>
            <w:pPr>
              <w:jc w:val="right"/>
              <w:ind w:right="457"/>
              <w:spacing w:after="0"/>
              <w:rPr>
                <w:sz w:val="20"/>
                <w:szCs w:val="20"/>
                <w:color w:val="auto"/>
              </w:rPr>
            </w:pPr>
            <w:r>
              <w:rPr>
                <w:rFonts w:ascii="Arial" w:cs="Arial" w:eastAsia="Arial" w:hAnsi="Arial"/>
                <w:sz w:val="18"/>
                <w:szCs w:val="18"/>
                <w:color w:val="auto"/>
              </w:rPr>
              <w:t>404</w:t>
            </w:r>
          </w:p>
        </w:tc>
        <w:tc>
          <w:tcPr>
            <w:tcW w:w="900" w:type="dxa"/>
            <w:vAlign w:val="bottom"/>
          </w:tcPr>
          <w:p>
            <w:pPr>
              <w:jc w:val="right"/>
              <w:spacing w:after="0"/>
              <w:rPr>
                <w:sz w:val="20"/>
                <w:szCs w:val="20"/>
                <w:color w:val="auto"/>
              </w:rPr>
            </w:pPr>
            <w:r>
              <w:rPr>
                <w:rFonts w:ascii="Arial" w:cs="Arial" w:eastAsia="Arial" w:hAnsi="Arial"/>
                <w:sz w:val="18"/>
                <w:szCs w:val="18"/>
                <w:color w:val="auto"/>
              </w:rPr>
              <w:t>(412)</w:t>
            </w:r>
          </w:p>
        </w:tc>
      </w:tr>
      <w:tr>
        <w:trPr>
          <w:trHeight w:val="230"/>
        </w:trPr>
        <w:tc>
          <w:tcPr>
            <w:tcW w:w="7240" w:type="dxa"/>
            <w:vAlign w:val="bottom"/>
          </w:tcPr>
          <w:p>
            <w:pPr>
              <w:spacing w:after="0"/>
              <w:rPr>
                <w:sz w:val="20"/>
                <w:szCs w:val="20"/>
                <w:color w:val="auto"/>
              </w:rPr>
            </w:pPr>
            <w:r>
              <w:rPr>
                <w:rFonts w:ascii="Arial" w:cs="Arial" w:eastAsia="Arial" w:hAnsi="Arial"/>
                <w:sz w:val="18"/>
                <w:szCs w:val="18"/>
                <w:color w:val="auto"/>
              </w:rPr>
              <w:t>Crude oil and product purchases</w:t>
            </w:r>
          </w:p>
        </w:tc>
        <w:tc>
          <w:tcPr>
            <w:tcW w:w="132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48</w:t>
            </w:r>
          </w:p>
        </w:tc>
        <w:tc>
          <w:tcPr>
            <w:tcW w:w="1760" w:type="dxa"/>
            <w:vAlign w:val="bottom"/>
            <w:tcBorders>
              <w:bottom w:val="single" w:sz="8" w:color="auto"/>
            </w:tcBorders>
          </w:tcPr>
          <w:p>
            <w:pPr>
              <w:jc w:val="right"/>
              <w:ind w:right="417"/>
              <w:spacing w:after="0"/>
              <w:rPr>
                <w:sz w:val="20"/>
                <w:szCs w:val="20"/>
                <w:color w:val="auto"/>
              </w:rPr>
            </w:pPr>
            <w:r>
              <w:rPr>
                <w:rFonts w:ascii="Arial" w:cs="Arial" w:eastAsia="Arial" w:hAnsi="Arial"/>
                <w:sz w:val="18"/>
                <w:szCs w:val="18"/>
                <w:color w:val="auto"/>
              </w:rPr>
              <w:t>(407)</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r>
      <w:tr>
        <w:trPr>
          <w:trHeight w:val="223"/>
        </w:trPr>
        <w:tc>
          <w:tcPr>
            <w:tcW w:w="7240" w:type="dxa"/>
            <w:vAlign w:val="bottom"/>
          </w:tcPr>
          <w:p>
            <w:pPr>
              <w:ind w:left="1100"/>
              <w:spacing w:after="0"/>
              <w:rPr>
                <w:sz w:val="20"/>
                <w:szCs w:val="20"/>
                <w:color w:val="auto"/>
              </w:rPr>
            </w:pPr>
            <w:r>
              <w:rPr>
                <w:rFonts w:ascii="Arial" w:cs="Arial" w:eastAsia="Arial" w:hAnsi="Arial"/>
                <w:sz w:val="18"/>
                <w:szCs w:val="18"/>
                <w:color w:val="auto"/>
              </w:rPr>
              <w:t>Total</w:t>
            </w:r>
          </w:p>
        </w:tc>
        <w:tc>
          <w:tcPr>
            <w:tcW w:w="13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(3,770)</w:t>
            </w:r>
          </w:p>
        </w:tc>
        <w:tc>
          <w:tcPr>
            <w:tcW w:w="1760" w:type="dxa"/>
            <w:vAlign w:val="bottom"/>
            <w:tcBorders>
              <w:bottom w:val="single" w:sz="8" w:color="auto"/>
            </w:tcBorders>
          </w:tcPr>
          <w:p>
            <w:pPr>
              <w:jc w:val="right"/>
              <w:ind w:right="417"/>
              <w:spacing w:after="0"/>
              <w:rPr>
                <w:sz w:val="20"/>
                <w:szCs w:val="20"/>
                <w:color w:val="auto"/>
              </w:rPr>
            </w:pPr>
            <w:r>
              <w:rPr>
                <w:rFonts w:ascii="Arial" w:cs="Arial" w:eastAsia="Arial" w:hAnsi="Arial"/>
                <w:sz w:val="18"/>
                <w:szCs w:val="18"/>
                <w:color w:val="auto"/>
              </w:rPr>
              <w:t>(3)</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w:t>
            </w: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Long-Term Debt</w:t>
      </w:r>
    </w:p>
    <w:p>
      <w:pPr>
        <w:spacing w:after="0" w:line="108"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At December 31, 2021, long-term debt consisted of $37,611 million due in U.S. dollars and $5,817 million representing the U.S. dollar equivalent at year-end exchange rates of amounts payable in foreign currencies. These amounts exclude that portion of long-term debt, totaling $2,392 million, which matures within one year and is included in current liabilities.</w:t>
      </w:r>
    </w:p>
    <w:p>
      <w:pPr>
        <w:spacing w:after="0" w:line="6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December 17, 2021, the Corporation irrevocably deposited sufficient cash with the Trustee to fund the redemption of its 2.397% notes due 2022. After the deposit of the funds, the Corporation was released from its obligation and the debt was extinguished.</w:t>
      </w:r>
    </w:p>
    <w:p>
      <w:pPr>
        <w:spacing w:after="0" w:line="3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amounts of long-term debt, excluding finance lease obligations, maturing in each of the four years after December 31, 2022, in millions of dollars, are: 2023 – $4,039; 2024 – $3,836; 2025 – $4,597; and 2026 – $3,575. At December 31, 2021, the Corporation's unused long-term lines of credit were $0.6 billion.</w:t>
      </w:r>
    </w:p>
    <w:p>
      <w:pPr>
        <w:spacing w:after="0" w:line="6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Corporation may use non-derivative financial instruments, such as its foreign currency-denominated debt, as hedges of its net investments in certain foreign subsidiaries. Under this method, the change in the carrying value of the financial instruments due to foreign exchange fluctuations is reported in accumulated other comprehensive income. As of December 31, 2021, the Corporation has designated its $5.1 billion of Euro-denominated long-term debt and related accrued interest as a net investment hedge of its European business. The net investment hedge is deemed to be perfectly 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Summarized long-term debt at year-end 2021 and 2020 are shown in the table below:</w:t>
      </w:r>
    </w:p>
    <w:p>
      <w:pPr>
        <w:spacing w:after="0" w:line="149" w:lineRule="exact"/>
        <w:rPr>
          <w:sz w:val="20"/>
          <w:szCs w:val="20"/>
          <w:color w:val="auto"/>
        </w:rPr>
      </w:pPr>
    </w:p>
    <w:tbl>
      <w:tblPr>
        <w:tblLayout w:type="fixed"/>
        <w:tblInd w:w="1180" w:type="dxa"/>
        <w:tblCellMar>
          <w:top w:w="0" w:type="dxa"/>
          <w:left w:w="0" w:type="dxa"/>
          <w:bottom w:w="0" w:type="dxa"/>
          <w:right w:w="0" w:type="dxa"/>
        </w:tblCellMar>
      </w:tblPr>
      <w:tr>
        <w:trPr>
          <w:trHeight w:val="186"/>
        </w:trPr>
        <w:tc>
          <w:tcPr>
            <w:tcW w:w="4180" w:type="dxa"/>
            <w:vAlign w:val="bottom"/>
          </w:tcPr>
          <w:p>
            <w:pPr>
              <w:spacing w:after="0"/>
              <w:rPr>
                <w:sz w:val="16"/>
                <w:szCs w:val="16"/>
                <w:color w:val="auto"/>
              </w:rPr>
            </w:pPr>
          </w:p>
        </w:tc>
        <w:tc>
          <w:tcPr>
            <w:tcW w:w="1880" w:type="dxa"/>
            <w:vAlign w:val="bottom"/>
          </w:tcPr>
          <w:p>
            <w:pPr>
              <w:jc w:val="center"/>
              <w:ind w:left="219"/>
              <w:spacing w:after="0"/>
              <w:rPr>
                <w:sz w:val="20"/>
                <w:szCs w:val="20"/>
                <w:color w:val="auto"/>
              </w:rPr>
            </w:pPr>
            <w:r>
              <w:rPr>
                <w:rFonts w:ascii="Arial" w:cs="Arial" w:eastAsia="Arial" w:hAnsi="Arial"/>
                <w:sz w:val="14"/>
                <w:szCs w:val="14"/>
                <w:b w:val="1"/>
                <w:bCs w:val="1"/>
                <w:color w:val="auto"/>
                <w:w w:val="90"/>
              </w:rPr>
              <w:t>Average</w:t>
            </w:r>
          </w:p>
        </w:tc>
        <w:tc>
          <w:tcPr>
            <w:tcW w:w="15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35"/>
        </w:trPr>
        <w:tc>
          <w:tcPr>
            <w:tcW w:w="41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center"/>
              <w:ind w:left="219"/>
              <w:spacing w:after="0"/>
              <w:rPr>
                <w:sz w:val="20"/>
                <w:szCs w:val="20"/>
                <w:color w:val="auto"/>
              </w:rPr>
            </w:pPr>
            <w:r>
              <w:rPr>
                <w:rFonts w:ascii="Arial" w:cs="Arial" w:eastAsia="Arial" w:hAnsi="Arial"/>
                <w:sz w:val="14"/>
                <w:szCs w:val="14"/>
                <w:b w:val="1"/>
                <w:bCs w:val="1"/>
                <w:color w:val="auto"/>
                <w:w w:val="97"/>
              </w:rPr>
              <w:t xml:space="preserve">Rate </w:t>
            </w:r>
            <w:r>
              <w:rPr>
                <w:rFonts w:ascii="Arial" w:cs="Arial" w:eastAsia="Arial" w:hAnsi="Arial"/>
                <w:sz w:val="14"/>
                <w:szCs w:val="14"/>
                <w:i w:val="1"/>
                <w:iCs w:val="1"/>
                <w:color w:val="auto"/>
                <w:w w:val="97"/>
              </w:rPr>
              <w:t>(1)</w:t>
            </w:r>
          </w:p>
        </w:tc>
        <w:tc>
          <w:tcPr>
            <w:tcW w:w="15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Dec 31, 2021</w:t>
            </w:r>
          </w:p>
        </w:tc>
        <w:tc>
          <w:tcPr>
            <w:tcW w:w="13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Dec 31, 2020</w:t>
            </w:r>
          </w:p>
        </w:tc>
      </w:tr>
      <w:tr>
        <w:trPr>
          <w:trHeight w:val="190"/>
        </w:trPr>
        <w:tc>
          <w:tcPr>
            <w:tcW w:w="41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840" w:type="dxa"/>
            <w:vAlign w:val="bottom"/>
            <w:gridSpan w:val="2"/>
          </w:tcPr>
          <w:p>
            <w:pPr>
              <w:jc w:val="right"/>
              <w:ind w:right="751"/>
              <w:spacing w:after="0"/>
              <w:rPr>
                <w:sz w:val="20"/>
                <w:szCs w:val="20"/>
                <w:color w:val="auto"/>
              </w:rPr>
            </w:pPr>
            <w:r>
              <w:rPr>
                <w:rFonts w:ascii="Arial" w:cs="Arial" w:eastAsia="Arial" w:hAnsi="Arial"/>
                <w:sz w:val="14"/>
                <w:szCs w:val="14"/>
                <w:i w:val="1"/>
                <w:iCs w:val="1"/>
                <w:color w:val="auto"/>
              </w:rPr>
              <w:t>(millions of dollars)</w:t>
            </w:r>
          </w:p>
        </w:tc>
      </w:tr>
      <w:tr>
        <w:trPr>
          <w:trHeight w:val="281"/>
        </w:trPr>
        <w:tc>
          <w:tcPr>
            <w:tcW w:w="4180" w:type="dxa"/>
            <w:vAlign w:val="bottom"/>
          </w:tcPr>
          <w:p>
            <w:pPr>
              <w:ind w:left="20"/>
              <w:spacing w:after="0"/>
              <w:rPr>
                <w:sz w:val="20"/>
                <w:szCs w:val="20"/>
                <w:color w:val="auto"/>
              </w:rPr>
            </w:pPr>
            <w:r>
              <w:rPr>
                <w:rFonts w:ascii="Arial" w:cs="Arial" w:eastAsia="Arial" w:hAnsi="Arial"/>
                <w:sz w:val="18"/>
                <w:szCs w:val="18"/>
                <w:color w:val="auto"/>
              </w:rPr>
              <w:t xml:space="preserve">Exxon Mobil Corporation </w:t>
            </w:r>
            <w:r>
              <w:rPr>
                <w:rFonts w:ascii="Arial" w:cs="Arial" w:eastAsia="Arial" w:hAnsi="Arial"/>
                <w:sz w:val="14"/>
                <w:szCs w:val="14"/>
                <w:i w:val="1"/>
                <w:iCs w:val="1"/>
                <w:color w:val="auto"/>
              </w:rPr>
              <w:t>(2)</w:t>
            </w:r>
          </w:p>
        </w:tc>
        <w:tc>
          <w:tcPr>
            <w:tcW w:w="18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29"/>
        </w:trPr>
        <w:tc>
          <w:tcPr>
            <w:tcW w:w="4180" w:type="dxa"/>
            <w:vAlign w:val="bottom"/>
          </w:tcPr>
          <w:p>
            <w:pPr>
              <w:ind w:left="220"/>
              <w:spacing w:after="0"/>
              <w:rPr>
                <w:sz w:val="20"/>
                <w:szCs w:val="20"/>
                <w:color w:val="auto"/>
              </w:rPr>
            </w:pPr>
            <w:r>
              <w:rPr>
                <w:rFonts w:ascii="Arial" w:cs="Arial" w:eastAsia="Arial" w:hAnsi="Arial"/>
                <w:sz w:val="18"/>
                <w:szCs w:val="18"/>
                <w:color w:val="auto"/>
              </w:rPr>
              <w:t>2.397% notes due 2022</w:t>
            </w:r>
          </w:p>
        </w:tc>
        <w:tc>
          <w:tcPr>
            <w:tcW w:w="1880" w:type="dxa"/>
            <w:vAlign w:val="bottom"/>
          </w:tcPr>
          <w:p>
            <w:pPr>
              <w:spacing w:after="0"/>
              <w:rPr>
                <w:sz w:val="19"/>
                <w:szCs w:val="19"/>
                <w:color w:val="auto"/>
              </w:rPr>
            </w:pPr>
          </w:p>
        </w:tc>
        <w:tc>
          <w:tcPr>
            <w:tcW w:w="154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1,150</w:t>
            </w:r>
          </w:p>
        </w:tc>
      </w:tr>
      <w:tr>
        <w:trPr>
          <w:trHeight w:val="230"/>
        </w:trPr>
        <w:tc>
          <w:tcPr>
            <w:tcW w:w="4180" w:type="dxa"/>
            <w:vAlign w:val="bottom"/>
          </w:tcPr>
          <w:p>
            <w:pPr>
              <w:ind w:left="220"/>
              <w:spacing w:after="0"/>
              <w:rPr>
                <w:sz w:val="20"/>
                <w:szCs w:val="20"/>
                <w:color w:val="auto"/>
              </w:rPr>
            </w:pPr>
            <w:r>
              <w:rPr>
                <w:rFonts w:ascii="Arial" w:cs="Arial" w:eastAsia="Arial" w:hAnsi="Arial"/>
                <w:sz w:val="18"/>
                <w:szCs w:val="18"/>
                <w:color w:val="auto"/>
              </w:rPr>
              <w:t>1.902% notes due 2022</w:t>
            </w:r>
          </w:p>
        </w:tc>
        <w:tc>
          <w:tcPr>
            <w:tcW w:w="1880" w:type="dxa"/>
            <w:vAlign w:val="bottom"/>
          </w:tcPr>
          <w:p>
            <w:pPr>
              <w:spacing w:after="0"/>
              <w:rPr>
                <w:sz w:val="19"/>
                <w:szCs w:val="19"/>
                <w:color w:val="auto"/>
              </w:rPr>
            </w:pPr>
          </w:p>
        </w:tc>
        <w:tc>
          <w:tcPr>
            <w:tcW w:w="154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750</w:t>
            </w:r>
          </w:p>
        </w:tc>
      </w:tr>
      <w:tr>
        <w:trPr>
          <w:trHeight w:val="229"/>
        </w:trPr>
        <w:tc>
          <w:tcPr>
            <w:tcW w:w="4180" w:type="dxa"/>
            <w:vAlign w:val="bottom"/>
          </w:tcPr>
          <w:p>
            <w:pPr>
              <w:ind w:left="220"/>
              <w:spacing w:after="0"/>
              <w:rPr>
                <w:sz w:val="20"/>
                <w:szCs w:val="20"/>
                <w:color w:val="auto"/>
              </w:rPr>
            </w:pPr>
            <w:r>
              <w:rPr>
                <w:rFonts w:ascii="Arial" w:cs="Arial" w:eastAsia="Arial" w:hAnsi="Arial"/>
                <w:sz w:val="18"/>
                <w:szCs w:val="18"/>
                <w:color w:val="auto"/>
              </w:rPr>
              <w:t xml:space="preserve">Floating-rate notes due 2022 </w:t>
            </w:r>
            <w:r>
              <w:rPr>
                <w:rFonts w:ascii="Arial" w:cs="Arial" w:eastAsia="Arial" w:hAnsi="Arial"/>
                <w:sz w:val="18"/>
                <w:szCs w:val="18"/>
                <w:i w:val="1"/>
                <w:iCs w:val="1"/>
                <w:color w:val="auto"/>
              </w:rPr>
              <w:t>(Issued 2015)</w:t>
            </w:r>
          </w:p>
        </w:tc>
        <w:tc>
          <w:tcPr>
            <w:tcW w:w="1880" w:type="dxa"/>
            <w:vAlign w:val="bottom"/>
          </w:tcPr>
          <w:p>
            <w:pPr>
              <w:spacing w:after="0"/>
              <w:rPr>
                <w:sz w:val="19"/>
                <w:szCs w:val="19"/>
                <w:color w:val="auto"/>
              </w:rPr>
            </w:pPr>
          </w:p>
        </w:tc>
        <w:tc>
          <w:tcPr>
            <w:tcW w:w="154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30"/>
        </w:trPr>
        <w:tc>
          <w:tcPr>
            <w:tcW w:w="4180" w:type="dxa"/>
            <w:vAlign w:val="bottom"/>
          </w:tcPr>
          <w:p>
            <w:pPr>
              <w:ind w:left="220"/>
              <w:spacing w:after="0"/>
              <w:rPr>
                <w:sz w:val="20"/>
                <w:szCs w:val="20"/>
                <w:color w:val="auto"/>
              </w:rPr>
            </w:pPr>
            <w:r>
              <w:rPr>
                <w:rFonts w:ascii="Arial" w:cs="Arial" w:eastAsia="Arial" w:hAnsi="Arial"/>
                <w:sz w:val="18"/>
                <w:szCs w:val="18"/>
                <w:color w:val="auto"/>
              </w:rPr>
              <w:t xml:space="preserve">Floating-rate notes due 2022 </w:t>
            </w:r>
            <w:r>
              <w:rPr>
                <w:rFonts w:ascii="Arial" w:cs="Arial" w:eastAsia="Arial" w:hAnsi="Arial"/>
                <w:sz w:val="18"/>
                <w:szCs w:val="18"/>
                <w:i w:val="1"/>
                <w:iCs w:val="1"/>
                <w:color w:val="auto"/>
              </w:rPr>
              <w:t>(Issued 2019)</w:t>
            </w:r>
          </w:p>
        </w:tc>
        <w:tc>
          <w:tcPr>
            <w:tcW w:w="1880" w:type="dxa"/>
            <w:vAlign w:val="bottom"/>
          </w:tcPr>
          <w:p>
            <w:pPr>
              <w:spacing w:after="0"/>
              <w:rPr>
                <w:sz w:val="19"/>
                <w:szCs w:val="19"/>
                <w:color w:val="auto"/>
              </w:rPr>
            </w:pPr>
          </w:p>
        </w:tc>
        <w:tc>
          <w:tcPr>
            <w:tcW w:w="154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750</w:t>
            </w:r>
          </w:p>
        </w:tc>
      </w:tr>
      <w:tr>
        <w:trPr>
          <w:trHeight w:val="229"/>
        </w:trPr>
        <w:tc>
          <w:tcPr>
            <w:tcW w:w="4180" w:type="dxa"/>
            <w:vAlign w:val="bottom"/>
          </w:tcPr>
          <w:p>
            <w:pPr>
              <w:ind w:left="220"/>
              <w:spacing w:after="0"/>
              <w:rPr>
                <w:sz w:val="20"/>
                <w:szCs w:val="20"/>
                <w:color w:val="auto"/>
              </w:rPr>
            </w:pPr>
            <w:r>
              <w:rPr>
                <w:rFonts w:ascii="Arial" w:cs="Arial" w:eastAsia="Arial" w:hAnsi="Arial"/>
                <w:sz w:val="18"/>
                <w:szCs w:val="18"/>
                <w:color w:val="auto"/>
              </w:rPr>
              <w:t>1.571% notes due 2023</w:t>
            </w:r>
          </w:p>
        </w:tc>
        <w:tc>
          <w:tcPr>
            <w:tcW w:w="1880" w:type="dxa"/>
            <w:vAlign w:val="bottom"/>
          </w:tcPr>
          <w:p>
            <w:pPr>
              <w:spacing w:after="0"/>
              <w:rPr>
                <w:sz w:val="19"/>
                <w:szCs w:val="19"/>
                <w:color w:val="auto"/>
              </w:rPr>
            </w:pPr>
          </w:p>
        </w:tc>
        <w:tc>
          <w:tcPr>
            <w:tcW w:w="1540" w:type="dxa"/>
            <w:vAlign w:val="bottom"/>
          </w:tcPr>
          <w:p>
            <w:pPr>
              <w:jc w:val="right"/>
              <w:ind w:right="171"/>
              <w:spacing w:after="0"/>
              <w:rPr>
                <w:sz w:val="20"/>
                <w:szCs w:val="20"/>
                <w:color w:val="auto"/>
              </w:rPr>
            </w:pPr>
            <w:r>
              <w:rPr>
                <w:rFonts w:ascii="Arial" w:cs="Arial" w:eastAsia="Arial" w:hAnsi="Arial"/>
                <w:sz w:val="18"/>
                <w:szCs w:val="18"/>
                <w:color w:val="auto"/>
              </w:rPr>
              <w:t>2,750</w:t>
            </w:r>
          </w:p>
        </w:tc>
        <w:tc>
          <w:tcPr>
            <w:tcW w:w="1300" w:type="dxa"/>
            <w:vAlign w:val="bottom"/>
          </w:tcPr>
          <w:p>
            <w:pPr>
              <w:jc w:val="right"/>
              <w:spacing w:after="0"/>
              <w:rPr>
                <w:sz w:val="20"/>
                <w:szCs w:val="20"/>
                <w:color w:val="auto"/>
              </w:rPr>
            </w:pPr>
            <w:r>
              <w:rPr>
                <w:rFonts w:ascii="Arial" w:cs="Arial" w:eastAsia="Arial" w:hAnsi="Arial"/>
                <w:sz w:val="18"/>
                <w:szCs w:val="18"/>
                <w:color w:val="auto"/>
              </w:rPr>
              <w:t>2,750</w:t>
            </w:r>
          </w:p>
        </w:tc>
      </w:tr>
      <w:tr>
        <w:trPr>
          <w:trHeight w:val="229"/>
        </w:trPr>
        <w:tc>
          <w:tcPr>
            <w:tcW w:w="4180" w:type="dxa"/>
            <w:vAlign w:val="bottom"/>
          </w:tcPr>
          <w:p>
            <w:pPr>
              <w:ind w:left="220"/>
              <w:spacing w:after="0"/>
              <w:rPr>
                <w:sz w:val="20"/>
                <w:szCs w:val="20"/>
                <w:color w:val="auto"/>
              </w:rPr>
            </w:pPr>
            <w:r>
              <w:rPr>
                <w:rFonts w:ascii="Arial" w:cs="Arial" w:eastAsia="Arial" w:hAnsi="Arial"/>
                <w:sz w:val="18"/>
                <w:szCs w:val="18"/>
                <w:color w:val="auto"/>
              </w:rPr>
              <w:t>2.726% notes due 2023</w:t>
            </w:r>
          </w:p>
        </w:tc>
        <w:tc>
          <w:tcPr>
            <w:tcW w:w="1880" w:type="dxa"/>
            <w:vAlign w:val="bottom"/>
          </w:tcPr>
          <w:p>
            <w:pPr>
              <w:spacing w:after="0"/>
              <w:rPr>
                <w:sz w:val="19"/>
                <w:szCs w:val="19"/>
                <w:color w:val="auto"/>
              </w:rPr>
            </w:pPr>
          </w:p>
        </w:tc>
        <w:tc>
          <w:tcPr>
            <w:tcW w:w="1540" w:type="dxa"/>
            <w:vAlign w:val="bottom"/>
          </w:tcPr>
          <w:p>
            <w:pPr>
              <w:jc w:val="right"/>
              <w:ind w:right="171"/>
              <w:spacing w:after="0"/>
              <w:rPr>
                <w:sz w:val="20"/>
                <w:szCs w:val="20"/>
                <w:color w:val="auto"/>
              </w:rPr>
            </w:pPr>
            <w:r>
              <w:rPr>
                <w:rFonts w:ascii="Arial" w:cs="Arial" w:eastAsia="Arial" w:hAnsi="Arial"/>
                <w:sz w:val="18"/>
                <w:szCs w:val="18"/>
                <w:color w:val="auto"/>
              </w:rPr>
              <w:t>1,250</w:t>
            </w:r>
          </w:p>
        </w:tc>
        <w:tc>
          <w:tcPr>
            <w:tcW w:w="1300" w:type="dxa"/>
            <w:vAlign w:val="bottom"/>
          </w:tcPr>
          <w:p>
            <w:pPr>
              <w:jc w:val="right"/>
              <w:spacing w:after="0"/>
              <w:rPr>
                <w:sz w:val="20"/>
                <w:szCs w:val="20"/>
                <w:color w:val="auto"/>
              </w:rPr>
            </w:pPr>
            <w:r>
              <w:rPr>
                <w:rFonts w:ascii="Arial" w:cs="Arial" w:eastAsia="Arial" w:hAnsi="Arial"/>
                <w:sz w:val="18"/>
                <w:szCs w:val="18"/>
                <w:color w:val="auto"/>
              </w:rPr>
              <w:t>1,250</w:t>
            </w:r>
          </w:p>
        </w:tc>
      </w:tr>
      <w:tr>
        <w:trPr>
          <w:trHeight w:val="230"/>
        </w:trPr>
        <w:tc>
          <w:tcPr>
            <w:tcW w:w="4180" w:type="dxa"/>
            <w:vAlign w:val="bottom"/>
          </w:tcPr>
          <w:p>
            <w:pPr>
              <w:ind w:left="220"/>
              <w:spacing w:after="0"/>
              <w:rPr>
                <w:sz w:val="20"/>
                <w:szCs w:val="20"/>
                <w:color w:val="auto"/>
              </w:rPr>
            </w:pPr>
            <w:r>
              <w:rPr>
                <w:rFonts w:ascii="Arial" w:cs="Arial" w:eastAsia="Arial" w:hAnsi="Arial"/>
                <w:sz w:val="18"/>
                <w:szCs w:val="18"/>
                <w:color w:val="auto"/>
              </w:rPr>
              <w:t>3.176% notes due 2024</w:t>
            </w:r>
          </w:p>
        </w:tc>
        <w:tc>
          <w:tcPr>
            <w:tcW w:w="1880" w:type="dxa"/>
            <w:vAlign w:val="bottom"/>
          </w:tcPr>
          <w:p>
            <w:pPr>
              <w:spacing w:after="0"/>
              <w:rPr>
                <w:sz w:val="19"/>
                <w:szCs w:val="19"/>
                <w:color w:val="auto"/>
              </w:rPr>
            </w:pPr>
          </w:p>
        </w:tc>
        <w:tc>
          <w:tcPr>
            <w:tcW w:w="1540" w:type="dxa"/>
            <w:vAlign w:val="bottom"/>
          </w:tcPr>
          <w:p>
            <w:pPr>
              <w:jc w:val="right"/>
              <w:ind w:right="171"/>
              <w:spacing w:after="0"/>
              <w:rPr>
                <w:sz w:val="20"/>
                <w:szCs w:val="20"/>
                <w:color w:val="auto"/>
              </w:rPr>
            </w:pPr>
            <w:r>
              <w:rPr>
                <w:rFonts w:ascii="Arial" w:cs="Arial" w:eastAsia="Arial" w:hAnsi="Arial"/>
                <w:sz w:val="18"/>
                <w:szCs w:val="18"/>
                <w:color w:val="auto"/>
              </w:rPr>
              <w:t>1,000</w:t>
            </w:r>
          </w:p>
        </w:tc>
        <w:tc>
          <w:tcPr>
            <w:tcW w:w="130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29"/>
        </w:trPr>
        <w:tc>
          <w:tcPr>
            <w:tcW w:w="4180" w:type="dxa"/>
            <w:vAlign w:val="bottom"/>
          </w:tcPr>
          <w:p>
            <w:pPr>
              <w:ind w:left="220"/>
              <w:spacing w:after="0"/>
              <w:rPr>
                <w:sz w:val="20"/>
                <w:szCs w:val="20"/>
                <w:color w:val="auto"/>
              </w:rPr>
            </w:pPr>
            <w:r>
              <w:rPr>
                <w:rFonts w:ascii="Arial" w:cs="Arial" w:eastAsia="Arial" w:hAnsi="Arial"/>
                <w:sz w:val="18"/>
                <w:szCs w:val="18"/>
                <w:color w:val="auto"/>
              </w:rPr>
              <w:t>2.019% notes due 2024</w:t>
            </w:r>
          </w:p>
        </w:tc>
        <w:tc>
          <w:tcPr>
            <w:tcW w:w="1880" w:type="dxa"/>
            <w:vAlign w:val="bottom"/>
          </w:tcPr>
          <w:p>
            <w:pPr>
              <w:spacing w:after="0"/>
              <w:rPr>
                <w:sz w:val="19"/>
                <w:szCs w:val="19"/>
                <w:color w:val="auto"/>
              </w:rPr>
            </w:pPr>
          </w:p>
        </w:tc>
        <w:tc>
          <w:tcPr>
            <w:tcW w:w="1540" w:type="dxa"/>
            <w:vAlign w:val="bottom"/>
          </w:tcPr>
          <w:p>
            <w:pPr>
              <w:jc w:val="right"/>
              <w:ind w:right="171"/>
              <w:spacing w:after="0"/>
              <w:rPr>
                <w:sz w:val="20"/>
                <w:szCs w:val="20"/>
                <w:color w:val="auto"/>
              </w:rPr>
            </w:pPr>
            <w:r>
              <w:rPr>
                <w:rFonts w:ascii="Arial" w:cs="Arial" w:eastAsia="Arial" w:hAnsi="Arial"/>
                <w:sz w:val="18"/>
                <w:szCs w:val="18"/>
                <w:color w:val="auto"/>
              </w:rPr>
              <w:t>1,000</w:t>
            </w:r>
          </w:p>
        </w:tc>
        <w:tc>
          <w:tcPr>
            <w:tcW w:w="130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29"/>
        </w:trPr>
        <w:tc>
          <w:tcPr>
            <w:tcW w:w="4180" w:type="dxa"/>
            <w:vAlign w:val="bottom"/>
          </w:tcPr>
          <w:p>
            <w:pPr>
              <w:ind w:left="220"/>
              <w:spacing w:after="0"/>
              <w:rPr>
                <w:sz w:val="20"/>
                <w:szCs w:val="20"/>
                <w:color w:val="auto"/>
              </w:rPr>
            </w:pPr>
            <w:r>
              <w:rPr>
                <w:rFonts w:ascii="Arial" w:cs="Arial" w:eastAsia="Arial" w:hAnsi="Arial"/>
                <w:sz w:val="18"/>
                <w:szCs w:val="18"/>
                <w:color w:val="auto"/>
              </w:rPr>
              <w:t>2.709% notes due 2025</w:t>
            </w:r>
          </w:p>
        </w:tc>
        <w:tc>
          <w:tcPr>
            <w:tcW w:w="1880" w:type="dxa"/>
            <w:vAlign w:val="bottom"/>
          </w:tcPr>
          <w:p>
            <w:pPr>
              <w:spacing w:after="0"/>
              <w:rPr>
                <w:sz w:val="19"/>
                <w:szCs w:val="19"/>
                <w:color w:val="auto"/>
              </w:rPr>
            </w:pPr>
          </w:p>
        </w:tc>
        <w:tc>
          <w:tcPr>
            <w:tcW w:w="1540" w:type="dxa"/>
            <w:vAlign w:val="bottom"/>
          </w:tcPr>
          <w:p>
            <w:pPr>
              <w:jc w:val="right"/>
              <w:ind w:right="171"/>
              <w:spacing w:after="0"/>
              <w:rPr>
                <w:sz w:val="20"/>
                <w:szCs w:val="20"/>
                <w:color w:val="auto"/>
              </w:rPr>
            </w:pPr>
            <w:r>
              <w:rPr>
                <w:rFonts w:ascii="Arial" w:cs="Arial" w:eastAsia="Arial" w:hAnsi="Arial"/>
                <w:sz w:val="18"/>
                <w:szCs w:val="18"/>
                <w:color w:val="auto"/>
              </w:rPr>
              <w:t>1,750</w:t>
            </w:r>
          </w:p>
        </w:tc>
        <w:tc>
          <w:tcPr>
            <w:tcW w:w="1300" w:type="dxa"/>
            <w:vAlign w:val="bottom"/>
          </w:tcPr>
          <w:p>
            <w:pPr>
              <w:jc w:val="right"/>
              <w:spacing w:after="0"/>
              <w:rPr>
                <w:sz w:val="20"/>
                <w:szCs w:val="20"/>
                <w:color w:val="auto"/>
              </w:rPr>
            </w:pPr>
            <w:r>
              <w:rPr>
                <w:rFonts w:ascii="Arial" w:cs="Arial" w:eastAsia="Arial" w:hAnsi="Arial"/>
                <w:sz w:val="18"/>
                <w:szCs w:val="18"/>
                <w:color w:val="auto"/>
              </w:rPr>
              <w:t>1,750</w:t>
            </w:r>
          </w:p>
        </w:tc>
      </w:tr>
      <w:tr>
        <w:trPr>
          <w:trHeight w:val="230"/>
        </w:trPr>
        <w:tc>
          <w:tcPr>
            <w:tcW w:w="4180" w:type="dxa"/>
            <w:vAlign w:val="bottom"/>
          </w:tcPr>
          <w:p>
            <w:pPr>
              <w:ind w:left="220"/>
              <w:spacing w:after="0"/>
              <w:rPr>
                <w:sz w:val="20"/>
                <w:szCs w:val="20"/>
                <w:color w:val="auto"/>
              </w:rPr>
            </w:pPr>
            <w:r>
              <w:rPr>
                <w:rFonts w:ascii="Arial" w:cs="Arial" w:eastAsia="Arial" w:hAnsi="Arial"/>
                <w:sz w:val="18"/>
                <w:szCs w:val="18"/>
                <w:color w:val="auto"/>
              </w:rPr>
              <w:t>2.992% notes due 2025</w:t>
            </w:r>
          </w:p>
        </w:tc>
        <w:tc>
          <w:tcPr>
            <w:tcW w:w="1880" w:type="dxa"/>
            <w:vAlign w:val="bottom"/>
          </w:tcPr>
          <w:p>
            <w:pPr>
              <w:spacing w:after="0"/>
              <w:rPr>
                <w:sz w:val="19"/>
                <w:szCs w:val="19"/>
                <w:color w:val="auto"/>
              </w:rPr>
            </w:pPr>
          </w:p>
        </w:tc>
        <w:tc>
          <w:tcPr>
            <w:tcW w:w="1540" w:type="dxa"/>
            <w:vAlign w:val="bottom"/>
          </w:tcPr>
          <w:p>
            <w:pPr>
              <w:jc w:val="right"/>
              <w:ind w:right="171"/>
              <w:spacing w:after="0"/>
              <w:rPr>
                <w:sz w:val="20"/>
                <w:szCs w:val="20"/>
                <w:color w:val="auto"/>
              </w:rPr>
            </w:pPr>
            <w:r>
              <w:rPr>
                <w:rFonts w:ascii="Arial" w:cs="Arial" w:eastAsia="Arial" w:hAnsi="Arial"/>
                <w:sz w:val="18"/>
                <w:szCs w:val="18"/>
                <w:color w:val="auto"/>
              </w:rPr>
              <w:t>2,794</w:t>
            </w:r>
          </w:p>
        </w:tc>
        <w:tc>
          <w:tcPr>
            <w:tcW w:w="1300" w:type="dxa"/>
            <w:vAlign w:val="bottom"/>
          </w:tcPr>
          <w:p>
            <w:pPr>
              <w:jc w:val="right"/>
              <w:spacing w:after="0"/>
              <w:rPr>
                <w:sz w:val="20"/>
                <w:szCs w:val="20"/>
                <w:color w:val="auto"/>
              </w:rPr>
            </w:pPr>
            <w:r>
              <w:rPr>
                <w:rFonts w:ascii="Arial" w:cs="Arial" w:eastAsia="Arial" w:hAnsi="Arial"/>
                <w:sz w:val="18"/>
                <w:szCs w:val="18"/>
                <w:color w:val="auto"/>
              </w:rPr>
              <w:t>2,807</w:t>
            </w:r>
          </w:p>
        </w:tc>
      </w:tr>
      <w:tr>
        <w:trPr>
          <w:trHeight w:val="229"/>
        </w:trPr>
        <w:tc>
          <w:tcPr>
            <w:tcW w:w="4180" w:type="dxa"/>
            <w:vAlign w:val="bottom"/>
          </w:tcPr>
          <w:p>
            <w:pPr>
              <w:ind w:left="220"/>
              <w:spacing w:after="0"/>
              <w:rPr>
                <w:sz w:val="20"/>
                <w:szCs w:val="20"/>
                <w:color w:val="auto"/>
              </w:rPr>
            </w:pPr>
            <w:r>
              <w:rPr>
                <w:rFonts w:ascii="Arial" w:cs="Arial" w:eastAsia="Arial" w:hAnsi="Arial"/>
                <w:sz w:val="18"/>
                <w:szCs w:val="18"/>
                <w:color w:val="auto"/>
              </w:rPr>
              <w:t>3.043% notes due 2026</w:t>
            </w:r>
          </w:p>
        </w:tc>
        <w:tc>
          <w:tcPr>
            <w:tcW w:w="1880" w:type="dxa"/>
            <w:vAlign w:val="bottom"/>
          </w:tcPr>
          <w:p>
            <w:pPr>
              <w:spacing w:after="0"/>
              <w:rPr>
                <w:sz w:val="19"/>
                <w:szCs w:val="19"/>
                <w:color w:val="auto"/>
              </w:rPr>
            </w:pPr>
          </w:p>
        </w:tc>
        <w:tc>
          <w:tcPr>
            <w:tcW w:w="1540" w:type="dxa"/>
            <w:vAlign w:val="bottom"/>
          </w:tcPr>
          <w:p>
            <w:pPr>
              <w:jc w:val="right"/>
              <w:ind w:right="171"/>
              <w:spacing w:after="0"/>
              <w:rPr>
                <w:sz w:val="20"/>
                <w:szCs w:val="20"/>
                <w:color w:val="auto"/>
              </w:rPr>
            </w:pPr>
            <w:r>
              <w:rPr>
                <w:rFonts w:ascii="Arial" w:cs="Arial" w:eastAsia="Arial" w:hAnsi="Arial"/>
                <w:sz w:val="18"/>
                <w:szCs w:val="18"/>
                <w:color w:val="auto"/>
              </w:rPr>
              <w:t>2,500</w:t>
            </w:r>
          </w:p>
        </w:tc>
        <w:tc>
          <w:tcPr>
            <w:tcW w:w="1300" w:type="dxa"/>
            <w:vAlign w:val="bottom"/>
          </w:tcPr>
          <w:p>
            <w:pPr>
              <w:jc w:val="right"/>
              <w:spacing w:after="0"/>
              <w:rPr>
                <w:sz w:val="20"/>
                <w:szCs w:val="20"/>
                <w:color w:val="auto"/>
              </w:rPr>
            </w:pPr>
            <w:r>
              <w:rPr>
                <w:rFonts w:ascii="Arial" w:cs="Arial" w:eastAsia="Arial" w:hAnsi="Arial"/>
                <w:sz w:val="18"/>
                <w:szCs w:val="18"/>
                <w:color w:val="auto"/>
              </w:rPr>
              <w:t>2,500</w:t>
            </w:r>
          </w:p>
        </w:tc>
      </w:tr>
      <w:tr>
        <w:trPr>
          <w:trHeight w:val="230"/>
        </w:trPr>
        <w:tc>
          <w:tcPr>
            <w:tcW w:w="4180" w:type="dxa"/>
            <w:vAlign w:val="bottom"/>
          </w:tcPr>
          <w:p>
            <w:pPr>
              <w:ind w:left="220"/>
              <w:spacing w:after="0"/>
              <w:rPr>
                <w:sz w:val="20"/>
                <w:szCs w:val="20"/>
                <w:color w:val="auto"/>
              </w:rPr>
            </w:pPr>
            <w:r>
              <w:rPr>
                <w:rFonts w:ascii="Arial" w:cs="Arial" w:eastAsia="Arial" w:hAnsi="Arial"/>
                <w:sz w:val="18"/>
                <w:szCs w:val="18"/>
                <w:color w:val="auto"/>
              </w:rPr>
              <w:t>2.275% notes due 2026</w:t>
            </w:r>
          </w:p>
        </w:tc>
        <w:tc>
          <w:tcPr>
            <w:tcW w:w="1880" w:type="dxa"/>
            <w:vAlign w:val="bottom"/>
          </w:tcPr>
          <w:p>
            <w:pPr>
              <w:spacing w:after="0"/>
              <w:rPr>
                <w:sz w:val="19"/>
                <w:szCs w:val="19"/>
                <w:color w:val="auto"/>
              </w:rPr>
            </w:pPr>
          </w:p>
        </w:tc>
        <w:tc>
          <w:tcPr>
            <w:tcW w:w="1540" w:type="dxa"/>
            <w:vAlign w:val="bottom"/>
          </w:tcPr>
          <w:p>
            <w:pPr>
              <w:jc w:val="right"/>
              <w:ind w:right="171"/>
              <w:spacing w:after="0"/>
              <w:rPr>
                <w:sz w:val="20"/>
                <w:szCs w:val="20"/>
                <w:color w:val="auto"/>
              </w:rPr>
            </w:pPr>
            <w:r>
              <w:rPr>
                <w:rFonts w:ascii="Arial" w:cs="Arial" w:eastAsia="Arial" w:hAnsi="Arial"/>
                <w:sz w:val="18"/>
                <w:szCs w:val="18"/>
                <w:color w:val="auto"/>
              </w:rPr>
              <w:t>1,000</w:t>
            </w:r>
          </w:p>
        </w:tc>
        <w:tc>
          <w:tcPr>
            <w:tcW w:w="130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29"/>
        </w:trPr>
        <w:tc>
          <w:tcPr>
            <w:tcW w:w="4180" w:type="dxa"/>
            <w:vAlign w:val="bottom"/>
          </w:tcPr>
          <w:p>
            <w:pPr>
              <w:ind w:left="220"/>
              <w:spacing w:after="0"/>
              <w:rPr>
                <w:sz w:val="20"/>
                <w:szCs w:val="20"/>
                <w:color w:val="auto"/>
              </w:rPr>
            </w:pPr>
            <w:r>
              <w:rPr>
                <w:rFonts w:ascii="Arial" w:cs="Arial" w:eastAsia="Arial" w:hAnsi="Arial"/>
                <w:sz w:val="18"/>
                <w:szCs w:val="18"/>
                <w:color w:val="auto"/>
              </w:rPr>
              <w:t>3.294% notes due 2027</w:t>
            </w:r>
          </w:p>
        </w:tc>
        <w:tc>
          <w:tcPr>
            <w:tcW w:w="1880" w:type="dxa"/>
            <w:vAlign w:val="bottom"/>
          </w:tcPr>
          <w:p>
            <w:pPr>
              <w:spacing w:after="0"/>
              <w:rPr>
                <w:sz w:val="19"/>
                <w:szCs w:val="19"/>
                <w:color w:val="auto"/>
              </w:rPr>
            </w:pPr>
          </w:p>
        </w:tc>
        <w:tc>
          <w:tcPr>
            <w:tcW w:w="1540" w:type="dxa"/>
            <w:vAlign w:val="bottom"/>
          </w:tcPr>
          <w:p>
            <w:pPr>
              <w:jc w:val="right"/>
              <w:ind w:right="171"/>
              <w:spacing w:after="0"/>
              <w:rPr>
                <w:sz w:val="20"/>
                <w:szCs w:val="20"/>
                <w:color w:val="auto"/>
              </w:rPr>
            </w:pPr>
            <w:r>
              <w:rPr>
                <w:rFonts w:ascii="Arial" w:cs="Arial" w:eastAsia="Arial" w:hAnsi="Arial"/>
                <w:sz w:val="18"/>
                <w:szCs w:val="18"/>
                <w:color w:val="auto"/>
              </w:rPr>
              <w:t>1,000</w:t>
            </w:r>
          </w:p>
        </w:tc>
        <w:tc>
          <w:tcPr>
            <w:tcW w:w="130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29"/>
        </w:trPr>
        <w:tc>
          <w:tcPr>
            <w:tcW w:w="4180" w:type="dxa"/>
            <w:vAlign w:val="bottom"/>
          </w:tcPr>
          <w:p>
            <w:pPr>
              <w:ind w:left="220"/>
              <w:spacing w:after="0"/>
              <w:rPr>
                <w:sz w:val="20"/>
                <w:szCs w:val="20"/>
                <w:color w:val="auto"/>
              </w:rPr>
            </w:pPr>
            <w:r>
              <w:rPr>
                <w:rFonts w:ascii="Arial" w:cs="Arial" w:eastAsia="Arial" w:hAnsi="Arial"/>
                <w:sz w:val="18"/>
                <w:szCs w:val="18"/>
                <w:color w:val="auto"/>
              </w:rPr>
              <w:t>2.440% notes due 2029</w:t>
            </w:r>
          </w:p>
        </w:tc>
        <w:tc>
          <w:tcPr>
            <w:tcW w:w="1880" w:type="dxa"/>
            <w:vAlign w:val="bottom"/>
          </w:tcPr>
          <w:p>
            <w:pPr>
              <w:spacing w:after="0"/>
              <w:rPr>
                <w:sz w:val="19"/>
                <w:szCs w:val="19"/>
                <w:color w:val="auto"/>
              </w:rPr>
            </w:pPr>
          </w:p>
        </w:tc>
        <w:tc>
          <w:tcPr>
            <w:tcW w:w="1540" w:type="dxa"/>
            <w:vAlign w:val="bottom"/>
          </w:tcPr>
          <w:p>
            <w:pPr>
              <w:jc w:val="right"/>
              <w:ind w:right="171"/>
              <w:spacing w:after="0"/>
              <w:rPr>
                <w:sz w:val="20"/>
                <w:szCs w:val="20"/>
                <w:color w:val="auto"/>
              </w:rPr>
            </w:pPr>
            <w:r>
              <w:rPr>
                <w:rFonts w:ascii="Arial" w:cs="Arial" w:eastAsia="Arial" w:hAnsi="Arial"/>
                <w:sz w:val="18"/>
                <w:szCs w:val="18"/>
                <w:color w:val="auto"/>
              </w:rPr>
              <w:t>1,250</w:t>
            </w:r>
          </w:p>
        </w:tc>
        <w:tc>
          <w:tcPr>
            <w:tcW w:w="1300" w:type="dxa"/>
            <w:vAlign w:val="bottom"/>
          </w:tcPr>
          <w:p>
            <w:pPr>
              <w:jc w:val="right"/>
              <w:spacing w:after="0"/>
              <w:rPr>
                <w:sz w:val="20"/>
                <w:szCs w:val="20"/>
                <w:color w:val="auto"/>
              </w:rPr>
            </w:pPr>
            <w:r>
              <w:rPr>
                <w:rFonts w:ascii="Arial" w:cs="Arial" w:eastAsia="Arial" w:hAnsi="Arial"/>
                <w:sz w:val="18"/>
                <w:szCs w:val="18"/>
                <w:color w:val="auto"/>
              </w:rPr>
              <w:t>1,250</w:t>
            </w:r>
          </w:p>
        </w:tc>
      </w:tr>
      <w:tr>
        <w:trPr>
          <w:trHeight w:val="230"/>
        </w:trPr>
        <w:tc>
          <w:tcPr>
            <w:tcW w:w="4180" w:type="dxa"/>
            <w:vAlign w:val="bottom"/>
          </w:tcPr>
          <w:p>
            <w:pPr>
              <w:ind w:left="220"/>
              <w:spacing w:after="0"/>
              <w:rPr>
                <w:sz w:val="20"/>
                <w:szCs w:val="20"/>
                <w:color w:val="auto"/>
              </w:rPr>
            </w:pPr>
            <w:r>
              <w:rPr>
                <w:rFonts w:ascii="Arial" w:cs="Arial" w:eastAsia="Arial" w:hAnsi="Arial"/>
                <w:sz w:val="18"/>
                <w:szCs w:val="18"/>
                <w:color w:val="auto"/>
              </w:rPr>
              <w:t>3.482% notes due 2030</w:t>
            </w:r>
          </w:p>
        </w:tc>
        <w:tc>
          <w:tcPr>
            <w:tcW w:w="1880" w:type="dxa"/>
            <w:vAlign w:val="bottom"/>
          </w:tcPr>
          <w:p>
            <w:pPr>
              <w:spacing w:after="0"/>
              <w:rPr>
                <w:sz w:val="19"/>
                <w:szCs w:val="19"/>
                <w:color w:val="auto"/>
              </w:rPr>
            </w:pPr>
          </w:p>
        </w:tc>
        <w:tc>
          <w:tcPr>
            <w:tcW w:w="1540" w:type="dxa"/>
            <w:vAlign w:val="bottom"/>
          </w:tcPr>
          <w:p>
            <w:pPr>
              <w:jc w:val="right"/>
              <w:ind w:right="171"/>
              <w:spacing w:after="0"/>
              <w:rPr>
                <w:sz w:val="20"/>
                <w:szCs w:val="20"/>
                <w:color w:val="auto"/>
              </w:rPr>
            </w:pPr>
            <w:r>
              <w:rPr>
                <w:rFonts w:ascii="Arial" w:cs="Arial" w:eastAsia="Arial" w:hAnsi="Arial"/>
                <w:sz w:val="18"/>
                <w:szCs w:val="18"/>
                <w:color w:val="auto"/>
              </w:rPr>
              <w:t>2,000</w:t>
            </w:r>
          </w:p>
        </w:tc>
        <w:tc>
          <w:tcPr>
            <w:tcW w:w="1300" w:type="dxa"/>
            <w:vAlign w:val="bottom"/>
          </w:tcPr>
          <w:p>
            <w:pPr>
              <w:jc w:val="right"/>
              <w:spacing w:after="0"/>
              <w:rPr>
                <w:sz w:val="20"/>
                <w:szCs w:val="20"/>
                <w:color w:val="auto"/>
              </w:rPr>
            </w:pPr>
            <w:r>
              <w:rPr>
                <w:rFonts w:ascii="Arial" w:cs="Arial" w:eastAsia="Arial" w:hAnsi="Arial"/>
                <w:sz w:val="18"/>
                <w:szCs w:val="18"/>
                <w:color w:val="auto"/>
              </w:rPr>
              <w:t>2,000</w:t>
            </w:r>
          </w:p>
        </w:tc>
      </w:tr>
      <w:tr>
        <w:trPr>
          <w:trHeight w:val="229"/>
        </w:trPr>
        <w:tc>
          <w:tcPr>
            <w:tcW w:w="4180" w:type="dxa"/>
            <w:vAlign w:val="bottom"/>
          </w:tcPr>
          <w:p>
            <w:pPr>
              <w:ind w:left="220"/>
              <w:spacing w:after="0"/>
              <w:rPr>
                <w:sz w:val="20"/>
                <w:szCs w:val="20"/>
                <w:color w:val="auto"/>
              </w:rPr>
            </w:pPr>
            <w:r>
              <w:rPr>
                <w:rFonts w:ascii="Arial" w:cs="Arial" w:eastAsia="Arial" w:hAnsi="Arial"/>
                <w:sz w:val="18"/>
                <w:szCs w:val="18"/>
                <w:color w:val="auto"/>
              </w:rPr>
              <w:t>2.610% notes due 2030</w:t>
            </w:r>
          </w:p>
        </w:tc>
        <w:tc>
          <w:tcPr>
            <w:tcW w:w="1880" w:type="dxa"/>
            <w:vAlign w:val="bottom"/>
          </w:tcPr>
          <w:p>
            <w:pPr>
              <w:spacing w:after="0"/>
              <w:rPr>
                <w:sz w:val="19"/>
                <w:szCs w:val="19"/>
                <w:color w:val="auto"/>
              </w:rPr>
            </w:pPr>
          </w:p>
        </w:tc>
        <w:tc>
          <w:tcPr>
            <w:tcW w:w="1540" w:type="dxa"/>
            <w:vAlign w:val="bottom"/>
          </w:tcPr>
          <w:p>
            <w:pPr>
              <w:jc w:val="right"/>
              <w:ind w:right="171"/>
              <w:spacing w:after="0"/>
              <w:rPr>
                <w:sz w:val="20"/>
                <w:szCs w:val="20"/>
                <w:color w:val="auto"/>
              </w:rPr>
            </w:pPr>
            <w:r>
              <w:rPr>
                <w:rFonts w:ascii="Arial" w:cs="Arial" w:eastAsia="Arial" w:hAnsi="Arial"/>
                <w:sz w:val="18"/>
                <w:szCs w:val="18"/>
                <w:color w:val="auto"/>
              </w:rPr>
              <w:t>2,000</w:t>
            </w:r>
          </w:p>
        </w:tc>
        <w:tc>
          <w:tcPr>
            <w:tcW w:w="1300" w:type="dxa"/>
            <w:vAlign w:val="bottom"/>
          </w:tcPr>
          <w:p>
            <w:pPr>
              <w:jc w:val="right"/>
              <w:spacing w:after="0"/>
              <w:rPr>
                <w:sz w:val="20"/>
                <w:szCs w:val="20"/>
                <w:color w:val="auto"/>
              </w:rPr>
            </w:pPr>
            <w:r>
              <w:rPr>
                <w:rFonts w:ascii="Arial" w:cs="Arial" w:eastAsia="Arial" w:hAnsi="Arial"/>
                <w:sz w:val="18"/>
                <w:szCs w:val="18"/>
                <w:color w:val="auto"/>
              </w:rPr>
              <w:t>2,000</w:t>
            </w:r>
          </w:p>
        </w:tc>
      </w:tr>
      <w:tr>
        <w:trPr>
          <w:trHeight w:val="229"/>
        </w:trPr>
        <w:tc>
          <w:tcPr>
            <w:tcW w:w="4180" w:type="dxa"/>
            <w:vAlign w:val="bottom"/>
          </w:tcPr>
          <w:p>
            <w:pPr>
              <w:ind w:left="220"/>
              <w:spacing w:after="0"/>
              <w:rPr>
                <w:sz w:val="20"/>
                <w:szCs w:val="20"/>
                <w:color w:val="auto"/>
              </w:rPr>
            </w:pPr>
            <w:r>
              <w:rPr>
                <w:rFonts w:ascii="Arial" w:cs="Arial" w:eastAsia="Arial" w:hAnsi="Arial"/>
                <w:sz w:val="18"/>
                <w:szCs w:val="18"/>
                <w:color w:val="auto"/>
              </w:rPr>
              <w:t>2.995% notes due 2039</w:t>
            </w:r>
          </w:p>
        </w:tc>
        <w:tc>
          <w:tcPr>
            <w:tcW w:w="1880" w:type="dxa"/>
            <w:vAlign w:val="bottom"/>
          </w:tcPr>
          <w:p>
            <w:pPr>
              <w:spacing w:after="0"/>
              <w:rPr>
                <w:sz w:val="19"/>
                <w:szCs w:val="19"/>
                <w:color w:val="auto"/>
              </w:rPr>
            </w:pPr>
          </w:p>
        </w:tc>
        <w:tc>
          <w:tcPr>
            <w:tcW w:w="1540" w:type="dxa"/>
            <w:vAlign w:val="bottom"/>
          </w:tcPr>
          <w:p>
            <w:pPr>
              <w:jc w:val="right"/>
              <w:ind w:right="171"/>
              <w:spacing w:after="0"/>
              <w:rPr>
                <w:sz w:val="20"/>
                <w:szCs w:val="20"/>
                <w:color w:val="auto"/>
              </w:rPr>
            </w:pPr>
            <w:r>
              <w:rPr>
                <w:rFonts w:ascii="Arial" w:cs="Arial" w:eastAsia="Arial" w:hAnsi="Arial"/>
                <w:sz w:val="18"/>
                <w:szCs w:val="18"/>
                <w:color w:val="auto"/>
              </w:rPr>
              <w:t>750</w:t>
            </w:r>
          </w:p>
        </w:tc>
        <w:tc>
          <w:tcPr>
            <w:tcW w:w="1300" w:type="dxa"/>
            <w:vAlign w:val="bottom"/>
          </w:tcPr>
          <w:p>
            <w:pPr>
              <w:jc w:val="right"/>
              <w:spacing w:after="0"/>
              <w:rPr>
                <w:sz w:val="20"/>
                <w:szCs w:val="20"/>
                <w:color w:val="auto"/>
              </w:rPr>
            </w:pPr>
            <w:r>
              <w:rPr>
                <w:rFonts w:ascii="Arial" w:cs="Arial" w:eastAsia="Arial" w:hAnsi="Arial"/>
                <w:sz w:val="18"/>
                <w:szCs w:val="18"/>
                <w:color w:val="auto"/>
              </w:rPr>
              <w:t>750</w:t>
            </w:r>
          </w:p>
        </w:tc>
      </w:tr>
      <w:tr>
        <w:trPr>
          <w:trHeight w:val="230"/>
        </w:trPr>
        <w:tc>
          <w:tcPr>
            <w:tcW w:w="4180" w:type="dxa"/>
            <w:vAlign w:val="bottom"/>
          </w:tcPr>
          <w:p>
            <w:pPr>
              <w:ind w:left="220"/>
              <w:spacing w:after="0"/>
              <w:rPr>
                <w:sz w:val="20"/>
                <w:szCs w:val="20"/>
                <w:color w:val="auto"/>
              </w:rPr>
            </w:pPr>
            <w:r>
              <w:rPr>
                <w:rFonts w:ascii="Arial" w:cs="Arial" w:eastAsia="Arial" w:hAnsi="Arial"/>
                <w:sz w:val="18"/>
                <w:szCs w:val="18"/>
                <w:color w:val="auto"/>
              </w:rPr>
              <w:t>4.227% notes due 2040</w:t>
            </w:r>
          </w:p>
        </w:tc>
        <w:tc>
          <w:tcPr>
            <w:tcW w:w="1880" w:type="dxa"/>
            <w:vAlign w:val="bottom"/>
          </w:tcPr>
          <w:p>
            <w:pPr>
              <w:spacing w:after="0"/>
              <w:rPr>
                <w:sz w:val="19"/>
                <w:szCs w:val="19"/>
                <w:color w:val="auto"/>
              </w:rPr>
            </w:pPr>
          </w:p>
        </w:tc>
        <w:tc>
          <w:tcPr>
            <w:tcW w:w="1540" w:type="dxa"/>
            <w:vAlign w:val="bottom"/>
          </w:tcPr>
          <w:p>
            <w:pPr>
              <w:jc w:val="right"/>
              <w:ind w:right="171"/>
              <w:spacing w:after="0"/>
              <w:rPr>
                <w:sz w:val="20"/>
                <w:szCs w:val="20"/>
                <w:color w:val="auto"/>
              </w:rPr>
            </w:pPr>
            <w:r>
              <w:rPr>
                <w:rFonts w:ascii="Arial" w:cs="Arial" w:eastAsia="Arial" w:hAnsi="Arial"/>
                <w:sz w:val="18"/>
                <w:szCs w:val="18"/>
                <w:color w:val="auto"/>
              </w:rPr>
              <w:t>2,087</w:t>
            </w:r>
          </w:p>
        </w:tc>
        <w:tc>
          <w:tcPr>
            <w:tcW w:w="1300" w:type="dxa"/>
            <w:vAlign w:val="bottom"/>
          </w:tcPr>
          <w:p>
            <w:pPr>
              <w:jc w:val="right"/>
              <w:spacing w:after="0"/>
              <w:rPr>
                <w:sz w:val="20"/>
                <w:szCs w:val="20"/>
                <w:color w:val="auto"/>
              </w:rPr>
            </w:pPr>
            <w:r>
              <w:rPr>
                <w:rFonts w:ascii="Arial" w:cs="Arial" w:eastAsia="Arial" w:hAnsi="Arial"/>
                <w:sz w:val="18"/>
                <w:szCs w:val="18"/>
                <w:color w:val="auto"/>
              </w:rPr>
              <w:t>2,091</w:t>
            </w:r>
          </w:p>
        </w:tc>
      </w:tr>
      <w:tr>
        <w:trPr>
          <w:trHeight w:val="229"/>
        </w:trPr>
        <w:tc>
          <w:tcPr>
            <w:tcW w:w="4180" w:type="dxa"/>
            <w:vAlign w:val="bottom"/>
          </w:tcPr>
          <w:p>
            <w:pPr>
              <w:ind w:left="220"/>
              <w:spacing w:after="0"/>
              <w:rPr>
                <w:sz w:val="20"/>
                <w:szCs w:val="20"/>
                <w:color w:val="auto"/>
              </w:rPr>
            </w:pPr>
            <w:r>
              <w:rPr>
                <w:rFonts w:ascii="Arial" w:cs="Arial" w:eastAsia="Arial" w:hAnsi="Arial"/>
                <w:sz w:val="18"/>
                <w:szCs w:val="18"/>
                <w:color w:val="auto"/>
              </w:rPr>
              <w:t>3.567% notes due 2045</w:t>
            </w:r>
          </w:p>
        </w:tc>
        <w:tc>
          <w:tcPr>
            <w:tcW w:w="1880" w:type="dxa"/>
            <w:vAlign w:val="bottom"/>
          </w:tcPr>
          <w:p>
            <w:pPr>
              <w:spacing w:after="0"/>
              <w:rPr>
                <w:sz w:val="19"/>
                <w:szCs w:val="19"/>
                <w:color w:val="auto"/>
              </w:rPr>
            </w:pPr>
          </w:p>
        </w:tc>
        <w:tc>
          <w:tcPr>
            <w:tcW w:w="1540" w:type="dxa"/>
            <w:vAlign w:val="bottom"/>
          </w:tcPr>
          <w:p>
            <w:pPr>
              <w:jc w:val="right"/>
              <w:ind w:right="171"/>
              <w:spacing w:after="0"/>
              <w:rPr>
                <w:sz w:val="20"/>
                <w:szCs w:val="20"/>
                <w:color w:val="auto"/>
              </w:rPr>
            </w:pPr>
            <w:r>
              <w:rPr>
                <w:rFonts w:ascii="Arial" w:cs="Arial" w:eastAsia="Arial" w:hAnsi="Arial"/>
                <w:sz w:val="18"/>
                <w:szCs w:val="18"/>
                <w:color w:val="auto"/>
              </w:rPr>
              <w:t>1,000</w:t>
            </w:r>
          </w:p>
        </w:tc>
        <w:tc>
          <w:tcPr>
            <w:tcW w:w="130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30"/>
        </w:trPr>
        <w:tc>
          <w:tcPr>
            <w:tcW w:w="4180" w:type="dxa"/>
            <w:vAlign w:val="bottom"/>
          </w:tcPr>
          <w:p>
            <w:pPr>
              <w:ind w:left="220"/>
              <w:spacing w:after="0"/>
              <w:rPr>
                <w:sz w:val="20"/>
                <w:szCs w:val="20"/>
                <w:color w:val="auto"/>
              </w:rPr>
            </w:pPr>
            <w:r>
              <w:rPr>
                <w:rFonts w:ascii="Arial" w:cs="Arial" w:eastAsia="Arial" w:hAnsi="Arial"/>
                <w:sz w:val="18"/>
                <w:szCs w:val="18"/>
                <w:color w:val="auto"/>
              </w:rPr>
              <w:t>4.114% notes due 2046</w:t>
            </w:r>
          </w:p>
        </w:tc>
        <w:tc>
          <w:tcPr>
            <w:tcW w:w="1880" w:type="dxa"/>
            <w:vAlign w:val="bottom"/>
          </w:tcPr>
          <w:p>
            <w:pPr>
              <w:spacing w:after="0"/>
              <w:rPr>
                <w:sz w:val="19"/>
                <w:szCs w:val="19"/>
                <w:color w:val="auto"/>
              </w:rPr>
            </w:pPr>
          </w:p>
        </w:tc>
        <w:tc>
          <w:tcPr>
            <w:tcW w:w="1540" w:type="dxa"/>
            <w:vAlign w:val="bottom"/>
          </w:tcPr>
          <w:p>
            <w:pPr>
              <w:jc w:val="right"/>
              <w:ind w:right="171"/>
              <w:spacing w:after="0"/>
              <w:rPr>
                <w:sz w:val="20"/>
                <w:szCs w:val="20"/>
                <w:color w:val="auto"/>
              </w:rPr>
            </w:pPr>
            <w:r>
              <w:rPr>
                <w:rFonts w:ascii="Arial" w:cs="Arial" w:eastAsia="Arial" w:hAnsi="Arial"/>
                <w:sz w:val="18"/>
                <w:szCs w:val="18"/>
                <w:color w:val="auto"/>
              </w:rPr>
              <w:t>2,500</w:t>
            </w:r>
          </w:p>
        </w:tc>
        <w:tc>
          <w:tcPr>
            <w:tcW w:w="1300" w:type="dxa"/>
            <w:vAlign w:val="bottom"/>
          </w:tcPr>
          <w:p>
            <w:pPr>
              <w:jc w:val="right"/>
              <w:spacing w:after="0"/>
              <w:rPr>
                <w:sz w:val="20"/>
                <w:szCs w:val="20"/>
                <w:color w:val="auto"/>
              </w:rPr>
            </w:pPr>
            <w:r>
              <w:rPr>
                <w:rFonts w:ascii="Arial" w:cs="Arial" w:eastAsia="Arial" w:hAnsi="Arial"/>
                <w:sz w:val="18"/>
                <w:szCs w:val="18"/>
                <w:color w:val="auto"/>
              </w:rPr>
              <w:t>2,500</w:t>
            </w:r>
          </w:p>
        </w:tc>
      </w:tr>
      <w:tr>
        <w:trPr>
          <w:trHeight w:val="230"/>
        </w:trPr>
        <w:tc>
          <w:tcPr>
            <w:tcW w:w="4180" w:type="dxa"/>
            <w:vAlign w:val="bottom"/>
          </w:tcPr>
          <w:p>
            <w:pPr>
              <w:ind w:left="220"/>
              <w:spacing w:after="0"/>
              <w:rPr>
                <w:sz w:val="20"/>
                <w:szCs w:val="20"/>
                <w:color w:val="auto"/>
              </w:rPr>
            </w:pPr>
            <w:r>
              <w:rPr>
                <w:rFonts w:ascii="Arial" w:cs="Arial" w:eastAsia="Arial" w:hAnsi="Arial"/>
                <w:sz w:val="18"/>
                <w:szCs w:val="18"/>
                <w:color w:val="auto"/>
              </w:rPr>
              <w:t>3.095% notes due 2049</w:t>
            </w:r>
          </w:p>
        </w:tc>
        <w:tc>
          <w:tcPr>
            <w:tcW w:w="1880" w:type="dxa"/>
            <w:vAlign w:val="bottom"/>
          </w:tcPr>
          <w:p>
            <w:pPr>
              <w:spacing w:after="0"/>
              <w:rPr>
                <w:sz w:val="19"/>
                <w:szCs w:val="19"/>
                <w:color w:val="auto"/>
              </w:rPr>
            </w:pPr>
          </w:p>
        </w:tc>
        <w:tc>
          <w:tcPr>
            <w:tcW w:w="1540" w:type="dxa"/>
            <w:vAlign w:val="bottom"/>
          </w:tcPr>
          <w:p>
            <w:pPr>
              <w:jc w:val="right"/>
              <w:ind w:right="171"/>
              <w:spacing w:after="0"/>
              <w:rPr>
                <w:sz w:val="20"/>
                <w:szCs w:val="20"/>
                <w:color w:val="auto"/>
              </w:rPr>
            </w:pPr>
            <w:r>
              <w:rPr>
                <w:rFonts w:ascii="Arial" w:cs="Arial" w:eastAsia="Arial" w:hAnsi="Arial"/>
                <w:sz w:val="18"/>
                <w:szCs w:val="18"/>
                <w:color w:val="auto"/>
              </w:rPr>
              <w:t>1,500</w:t>
            </w:r>
          </w:p>
        </w:tc>
        <w:tc>
          <w:tcPr>
            <w:tcW w:w="1300" w:type="dxa"/>
            <w:vAlign w:val="bottom"/>
          </w:tcPr>
          <w:p>
            <w:pPr>
              <w:jc w:val="right"/>
              <w:spacing w:after="0"/>
              <w:rPr>
                <w:sz w:val="20"/>
                <w:szCs w:val="20"/>
                <w:color w:val="auto"/>
              </w:rPr>
            </w:pPr>
            <w:r>
              <w:rPr>
                <w:rFonts w:ascii="Arial" w:cs="Arial" w:eastAsia="Arial" w:hAnsi="Arial"/>
                <w:sz w:val="18"/>
                <w:szCs w:val="18"/>
                <w:color w:val="auto"/>
              </w:rPr>
              <w:t>1,500</w:t>
            </w:r>
          </w:p>
        </w:tc>
      </w:tr>
      <w:tr>
        <w:trPr>
          <w:trHeight w:val="230"/>
        </w:trPr>
        <w:tc>
          <w:tcPr>
            <w:tcW w:w="4180" w:type="dxa"/>
            <w:vAlign w:val="bottom"/>
          </w:tcPr>
          <w:p>
            <w:pPr>
              <w:ind w:left="220"/>
              <w:spacing w:after="0"/>
              <w:rPr>
                <w:sz w:val="20"/>
                <w:szCs w:val="20"/>
                <w:color w:val="auto"/>
              </w:rPr>
            </w:pPr>
            <w:r>
              <w:rPr>
                <w:rFonts w:ascii="Arial" w:cs="Arial" w:eastAsia="Arial" w:hAnsi="Arial"/>
                <w:sz w:val="18"/>
                <w:szCs w:val="18"/>
                <w:color w:val="auto"/>
              </w:rPr>
              <w:t>4.327% notes due 2050</w:t>
            </w:r>
          </w:p>
        </w:tc>
        <w:tc>
          <w:tcPr>
            <w:tcW w:w="1880" w:type="dxa"/>
            <w:vAlign w:val="bottom"/>
          </w:tcPr>
          <w:p>
            <w:pPr>
              <w:spacing w:after="0"/>
              <w:rPr>
                <w:sz w:val="19"/>
                <w:szCs w:val="19"/>
                <w:color w:val="auto"/>
              </w:rPr>
            </w:pPr>
          </w:p>
        </w:tc>
        <w:tc>
          <w:tcPr>
            <w:tcW w:w="1540" w:type="dxa"/>
            <w:vAlign w:val="bottom"/>
          </w:tcPr>
          <w:p>
            <w:pPr>
              <w:jc w:val="right"/>
              <w:ind w:right="171"/>
              <w:spacing w:after="0"/>
              <w:rPr>
                <w:sz w:val="20"/>
                <w:szCs w:val="20"/>
                <w:color w:val="auto"/>
              </w:rPr>
            </w:pPr>
            <w:r>
              <w:rPr>
                <w:rFonts w:ascii="Arial" w:cs="Arial" w:eastAsia="Arial" w:hAnsi="Arial"/>
                <w:sz w:val="18"/>
                <w:szCs w:val="18"/>
                <w:color w:val="auto"/>
              </w:rPr>
              <w:t>2,750</w:t>
            </w:r>
          </w:p>
        </w:tc>
        <w:tc>
          <w:tcPr>
            <w:tcW w:w="1300" w:type="dxa"/>
            <w:vAlign w:val="bottom"/>
          </w:tcPr>
          <w:p>
            <w:pPr>
              <w:jc w:val="right"/>
              <w:spacing w:after="0"/>
              <w:rPr>
                <w:sz w:val="20"/>
                <w:szCs w:val="20"/>
                <w:color w:val="auto"/>
              </w:rPr>
            </w:pPr>
            <w:r>
              <w:rPr>
                <w:rFonts w:ascii="Arial" w:cs="Arial" w:eastAsia="Arial" w:hAnsi="Arial"/>
                <w:sz w:val="18"/>
                <w:szCs w:val="18"/>
                <w:color w:val="auto"/>
              </w:rPr>
              <w:t>2,750</w:t>
            </w:r>
          </w:p>
        </w:tc>
      </w:tr>
      <w:tr>
        <w:trPr>
          <w:trHeight w:val="229"/>
        </w:trPr>
        <w:tc>
          <w:tcPr>
            <w:tcW w:w="4180" w:type="dxa"/>
            <w:vAlign w:val="bottom"/>
          </w:tcPr>
          <w:p>
            <w:pPr>
              <w:ind w:left="220"/>
              <w:spacing w:after="0"/>
              <w:rPr>
                <w:sz w:val="20"/>
                <w:szCs w:val="20"/>
                <w:color w:val="auto"/>
              </w:rPr>
            </w:pPr>
            <w:r>
              <w:rPr>
                <w:rFonts w:ascii="Arial" w:cs="Arial" w:eastAsia="Arial" w:hAnsi="Arial"/>
                <w:sz w:val="18"/>
                <w:szCs w:val="18"/>
                <w:color w:val="auto"/>
              </w:rPr>
              <w:t>3.452% notes due 2051</w:t>
            </w:r>
          </w:p>
        </w:tc>
        <w:tc>
          <w:tcPr>
            <w:tcW w:w="1880" w:type="dxa"/>
            <w:vAlign w:val="bottom"/>
          </w:tcPr>
          <w:p>
            <w:pPr>
              <w:spacing w:after="0"/>
              <w:rPr>
                <w:sz w:val="19"/>
                <w:szCs w:val="19"/>
                <w:color w:val="auto"/>
              </w:rPr>
            </w:pPr>
          </w:p>
        </w:tc>
        <w:tc>
          <w:tcPr>
            <w:tcW w:w="1540" w:type="dxa"/>
            <w:vAlign w:val="bottom"/>
          </w:tcPr>
          <w:p>
            <w:pPr>
              <w:jc w:val="right"/>
              <w:ind w:right="171"/>
              <w:spacing w:after="0"/>
              <w:rPr>
                <w:sz w:val="20"/>
                <w:szCs w:val="20"/>
                <w:color w:val="auto"/>
              </w:rPr>
            </w:pPr>
            <w:r>
              <w:rPr>
                <w:rFonts w:ascii="Arial" w:cs="Arial" w:eastAsia="Arial" w:hAnsi="Arial"/>
                <w:sz w:val="18"/>
                <w:szCs w:val="18"/>
                <w:color w:val="auto"/>
              </w:rPr>
              <w:t>2,750</w:t>
            </w:r>
          </w:p>
        </w:tc>
        <w:tc>
          <w:tcPr>
            <w:tcW w:w="1300" w:type="dxa"/>
            <w:vAlign w:val="bottom"/>
          </w:tcPr>
          <w:p>
            <w:pPr>
              <w:jc w:val="right"/>
              <w:spacing w:after="0"/>
              <w:rPr>
                <w:sz w:val="20"/>
                <w:szCs w:val="20"/>
                <w:color w:val="auto"/>
              </w:rPr>
            </w:pPr>
            <w:r>
              <w:rPr>
                <w:rFonts w:ascii="Arial" w:cs="Arial" w:eastAsia="Arial" w:hAnsi="Arial"/>
                <w:sz w:val="18"/>
                <w:szCs w:val="18"/>
                <w:color w:val="auto"/>
              </w:rPr>
              <w:t>2,750</w:t>
            </w:r>
          </w:p>
        </w:tc>
      </w:tr>
      <w:tr>
        <w:trPr>
          <w:trHeight w:val="230"/>
        </w:trPr>
        <w:tc>
          <w:tcPr>
            <w:tcW w:w="4180" w:type="dxa"/>
            <w:vAlign w:val="bottom"/>
          </w:tcPr>
          <w:p>
            <w:pPr>
              <w:ind w:left="20"/>
              <w:spacing w:after="0"/>
              <w:rPr>
                <w:sz w:val="20"/>
                <w:szCs w:val="20"/>
                <w:color w:val="auto"/>
              </w:rPr>
            </w:pPr>
            <w:r>
              <w:rPr>
                <w:rFonts w:ascii="Arial" w:cs="Arial" w:eastAsia="Arial" w:hAnsi="Arial"/>
                <w:sz w:val="18"/>
                <w:szCs w:val="18"/>
                <w:color w:val="auto"/>
              </w:rPr>
              <w:t>Exxon Mobil Corporation - Euro-denominated</w:t>
            </w:r>
          </w:p>
        </w:tc>
        <w:tc>
          <w:tcPr>
            <w:tcW w:w="18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4180" w:type="dxa"/>
            <w:vAlign w:val="bottom"/>
          </w:tcPr>
          <w:p>
            <w:pPr>
              <w:ind w:left="220"/>
              <w:spacing w:after="0"/>
              <w:rPr>
                <w:sz w:val="20"/>
                <w:szCs w:val="20"/>
                <w:color w:val="auto"/>
              </w:rPr>
            </w:pPr>
            <w:r>
              <w:rPr>
                <w:rFonts w:ascii="Arial" w:cs="Arial" w:eastAsia="Arial" w:hAnsi="Arial"/>
                <w:sz w:val="18"/>
                <w:szCs w:val="18"/>
                <w:color w:val="auto"/>
              </w:rPr>
              <w:t>0.142% notes due 2024</w:t>
            </w:r>
          </w:p>
        </w:tc>
        <w:tc>
          <w:tcPr>
            <w:tcW w:w="1880" w:type="dxa"/>
            <w:vAlign w:val="bottom"/>
          </w:tcPr>
          <w:p>
            <w:pPr>
              <w:spacing w:after="0"/>
              <w:rPr>
                <w:sz w:val="19"/>
                <w:szCs w:val="19"/>
                <w:color w:val="auto"/>
              </w:rPr>
            </w:pPr>
          </w:p>
        </w:tc>
        <w:tc>
          <w:tcPr>
            <w:tcW w:w="1540" w:type="dxa"/>
            <w:vAlign w:val="bottom"/>
          </w:tcPr>
          <w:p>
            <w:pPr>
              <w:jc w:val="right"/>
              <w:ind w:right="171"/>
              <w:spacing w:after="0"/>
              <w:rPr>
                <w:sz w:val="20"/>
                <w:szCs w:val="20"/>
                <w:color w:val="auto"/>
              </w:rPr>
            </w:pPr>
            <w:r>
              <w:rPr>
                <w:rFonts w:ascii="Arial" w:cs="Arial" w:eastAsia="Arial" w:hAnsi="Arial"/>
                <w:sz w:val="18"/>
                <w:szCs w:val="18"/>
                <w:color w:val="auto"/>
              </w:rPr>
              <w:t>1,698</w:t>
            </w:r>
          </w:p>
        </w:tc>
        <w:tc>
          <w:tcPr>
            <w:tcW w:w="1300" w:type="dxa"/>
            <w:vAlign w:val="bottom"/>
          </w:tcPr>
          <w:p>
            <w:pPr>
              <w:jc w:val="right"/>
              <w:spacing w:after="0"/>
              <w:rPr>
                <w:sz w:val="20"/>
                <w:szCs w:val="20"/>
                <w:color w:val="auto"/>
              </w:rPr>
            </w:pPr>
            <w:r>
              <w:rPr>
                <w:rFonts w:ascii="Arial" w:cs="Arial" w:eastAsia="Arial" w:hAnsi="Arial"/>
                <w:sz w:val="18"/>
                <w:szCs w:val="18"/>
                <w:color w:val="auto"/>
              </w:rPr>
              <w:t>1,841</w:t>
            </w:r>
          </w:p>
        </w:tc>
      </w:tr>
      <w:tr>
        <w:trPr>
          <w:trHeight w:val="230"/>
        </w:trPr>
        <w:tc>
          <w:tcPr>
            <w:tcW w:w="4180" w:type="dxa"/>
            <w:vAlign w:val="bottom"/>
          </w:tcPr>
          <w:p>
            <w:pPr>
              <w:ind w:left="220"/>
              <w:spacing w:after="0"/>
              <w:rPr>
                <w:sz w:val="20"/>
                <w:szCs w:val="20"/>
                <w:color w:val="auto"/>
              </w:rPr>
            </w:pPr>
            <w:r>
              <w:rPr>
                <w:rFonts w:ascii="Arial" w:cs="Arial" w:eastAsia="Arial" w:hAnsi="Arial"/>
                <w:sz w:val="18"/>
                <w:szCs w:val="18"/>
                <w:color w:val="auto"/>
              </w:rPr>
              <w:t>0.524% notes due 2028</w:t>
            </w:r>
          </w:p>
        </w:tc>
        <w:tc>
          <w:tcPr>
            <w:tcW w:w="1880" w:type="dxa"/>
            <w:vAlign w:val="bottom"/>
          </w:tcPr>
          <w:p>
            <w:pPr>
              <w:spacing w:after="0"/>
              <w:rPr>
                <w:sz w:val="19"/>
                <w:szCs w:val="19"/>
                <w:color w:val="auto"/>
              </w:rPr>
            </w:pPr>
          </w:p>
        </w:tc>
        <w:tc>
          <w:tcPr>
            <w:tcW w:w="1540" w:type="dxa"/>
            <w:vAlign w:val="bottom"/>
          </w:tcPr>
          <w:p>
            <w:pPr>
              <w:jc w:val="right"/>
              <w:ind w:right="171"/>
              <w:spacing w:after="0"/>
              <w:rPr>
                <w:sz w:val="20"/>
                <w:szCs w:val="20"/>
                <w:color w:val="auto"/>
              </w:rPr>
            </w:pPr>
            <w:r>
              <w:rPr>
                <w:rFonts w:ascii="Arial" w:cs="Arial" w:eastAsia="Arial" w:hAnsi="Arial"/>
                <w:sz w:val="18"/>
                <w:szCs w:val="18"/>
                <w:color w:val="auto"/>
              </w:rPr>
              <w:t>1,133</w:t>
            </w:r>
          </w:p>
        </w:tc>
        <w:tc>
          <w:tcPr>
            <w:tcW w:w="1300" w:type="dxa"/>
            <w:vAlign w:val="bottom"/>
          </w:tcPr>
          <w:p>
            <w:pPr>
              <w:jc w:val="right"/>
              <w:spacing w:after="0"/>
              <w:rPr>
                <w:sz w:val="20"/>
                <w:szCs w:val="20"/>
                <w:color w:val="auto"/>
              </w:rPr>
            </w:pPr>
            <w:r>
              <w:rPr>
                <w:rFonts w:ascii="Arial" w:cs="Arial" w:eastAsia="Arial" w:hAnsi="Arial"/>
                <w:sz w:val="18"/>
                <w:szCs w:val="18"/>
                <w:color w:val="auto"/>
              </w:rPr>
              <w:t>1,227</w:t>
            </w:r>
          </w:p>
        </w:tc>
      </w:tr>
      <w:tr>
        <w:trPr>
          <w:trHeight w:val="229"/>
        </w:trPr>
        <w:tc>
          <w:tcPr>
            <w:tcW w:w="4180" w:type="dxa"/>
            <w:vAlign w:val="bottom"/>
          </w:tcPr>
          <w:p>
            <w:pPr>
              <w:ind w:left="220"/>
              <w:spacing w:after="0"/>
              <w:rPr>
                <w:sz w:val="20"/>
                <w:szCs w:val="20"/>
                <w:color w:val="auto"/>
              </w:rPr>
            </w:pPr>
            <w:r>
              <w:rPr>
                <w:rFonts w:ascii="Arial" w:cs="Arial" w:eastAsia="Arial" w:hAnsi="Arial"/>
                <w:sz w:val="18"/>
                <w:szCs w:val="18"/>
                <w:color w:val="auto"/>
              </w:rPr>
              <w:t>0.835% notes due 2032</w:t>
            </w:r>
          </w:p>
        </w:tc>
        <w:tc>
          <w:tcPr>
            <w:tcW w:w="1880" w:type="dxa"/>
            <w:vAlign w:val="bottom"/>
          </w:tcPr>
          <w:p>
            <w:pPr>
              <w:spacing w:after="0"/>
              <w:rPr>
                <w:sz w:val="19"/>
                <w:szCs w:val="19"/>
                <w:color w:val="auto"/>
              </w:rPr>
            </w:pPr>
          </w:p>
        </w:tc>
        <w:tc>
          <w:tcPr>
            <w:tcW w:w="1540" w:type="dxa"/>
            <w:vAlign w:val="bottom"/>
          </w:tcPr>
          <w:p>
            <w:pPr>
              <w:jc w:val="right"/>
              <w:ind w:right="171"/>
              <w:spacing w:after="0"/>
              <w:rPr>
                <w:sz w:val="20"/>
                <w:szCs w:val="20"/>
                <w:color w:val="auto"/>
              </w:rPr>
            </w:pPr>
            <w:r>
              <w:rPr>
                <w:rFonts w:ascii="Arial" w:cs="Arial" w:eastAsia="Arial" w:hAnsi="Arial"/>
                <w:sz w:val="18"/>
                <w:szCs w:val="18"/>
                <w:color w:val="auto"/>
              </w:rPr>
              <w:t>1,133</w:t>
            </w:r>
          </w:p>
        </w:tc>
        <w:tc>
          <w:tcPr>
            <w:tcW w:w="1300" w:type="dxa"/>
            <w:vAlign w:val="bottom"/>
          </w:tcPr>
          <w:p>
            <w:pPr>
              <w:jc w:val="right"/>
              <w:spacing w:after="0"/>
              <w:rPr>
                <w:sz w:val="20"/>
                <w:szCs w:val="20"/>
                <w:color w:val="auto"/>
              </w:rPr>
            </w:pPr>
            <w:r>
              <w:rPr>
                <w:rFonts w:ascii="Arial" w:cs="Arial" w:eastAsia="Arial" w:hAnsi="Arial"/>
                <w:sz w:val="18"/>
                <w:szCs w:val="18"/>
                <w:color w:val="auto"/>
              </w:rPr>
              <w:t>1,227</w:t>
            </w:r>
          </w:p>
        </w:tc>
      </w:tr>
      <w:tr>
        <w:trPr>
          <w:trHeight w:val="230"/>
        </w:trPr>
        <w:tc>
          <w:tcPr>
            <w:tcW w:w="4180" w:type="dxa"/>
            <w:vAlign w:val="bottom"/>
          </w:tcPr>
          <w:p>
            <w:pPr>
              <w:ind w:left="220"/>
              <w:spacing w:after="0"/>
              <w:rPr>
                <w:sz w:val="20"/>
                <w:szCs w:val="20"/>
                <w:color w:val="auto"/>
              </w:rPr>
            </w:pPr>
            <w:r>
              <w:rPr>
                <w:rFonts w:ascii="Arial" w:cs="Arial" w:eastAsia="Arial" w:hAnsi="Arial"/>
                <w:sz w:val="18"/>
                <w:szCs w:val="18"/>
                <w:color w:val="auto"/>
              </w:rPr>
              <w:t>1.408% notes due 2039</w:t>
            </w:r>
          </w:p>
        </w:tc>
        <w:tc>
          <w:tcPr>
            <w:tcW w:w="1880" w:type="dxa"/>
            <w:vAlign w:val="bottom"/>
          </w:tcPr>
          <w:p>
            <w:pPr>
              <w:spacing w:after="0"/>
              <w:rPr>
                <w:sz w:val="19"/>
                <w:szCs w:val="19"/>
                <w:color w:val="auto"/>
              </w:rPr>
            </w:pPr>
          </w:p>
        </w:tc>
        <w:tc>
          <w:tcPr>
            <w:tcW w:w="1540" w:type="dxa"/>
            <w:vAlign w:val="bottom"/>
          </w:tcPr>
          <w:p>
            <w:pPr>
              <w:jc w:val="right"/>
              <w:ind w:right="171"/>
              <w:spacing w:after="0"/>
              <w:rPr>
                <w:sz w:val="20"/>
                <w:szCs w:val="20"/>
                <w:color w:val="auto"/>
              </w:rPr>
            </w:pPr>
            <w:r>
              <w:rPr>
                <w:rFonts w:ascii="Arial" w:cs="Arial" w:eastAsia="Arial" w:hAnsi="Arial"/>
                <w:sz w:val="18"/>
                <w:szCs w:val="18"/>
                <w:color w:val="auto"/>
              </w:rPr>
              <w:t>1,133</w:t>
            </w:r>
          </w:p>
        </w:tc>
        <w:tc>
          <w:tcPr>
            <w:tcW w:w="1300" w:type="dxa"/>
            <w:vAlign w:val="bottom"/>
          </w:tcPr>
          <w:p>
            <w:pPr>
              <w:jc w:val="right"/>
              <w:spacing w:after="0"/>
              <w:rPr>
                <w:sz w:val="20"/>
                <w:szCs w:val="20"/>
                <w:color w:val="auto"/>
              </w:rPr>
            </w:pPr>
            <w:r>
              <w:rPr>
                <w:rFonts w:ascii="Arial" w:cs="Arial" w:eastAsia="Arial" w:hAnsi="Arial"/>
                <w:sz w:val="18"/>
                <w:szCs w:val="18"/>
                <w:color w:val="auto"/>
              </w:rPr>
              <w:t>1,227</w:t>
            </w:r>
          </w:p>
        </w:tc>
      </w:tr>
      <w:tr>
        <w:trPr>
          <w:trHeight w:val="230"/>
        </w:trPr>
        <w:tc>
          <w:tcPr>
            <w:tcW w:w="4180" w:type="dxa"/>
            <w:vAlign w:val="bottom"/>
          </w:tcPr>
          <w:p>
            <w:pPr>
              <w:ind w:left="20"/>
              <w:spacing w:after="0"/>
              <w:rPr>
                <w:sz w:val="20"/>
                <w:szCs w:val="20"/>
                <w:color w:val="auto"/>
              </w:rPr>
            </w:pPr>
            <w:r>
              <w:rPr>
                <w:rFonts w:ascii="Arial" w:cs="Arial" w:eastAsia="Arial" w:hAnsi="Arial"/>
                <w:sz w:val="18"/>
                <w:szCs w:val="18"/>
                <w:color w:val="auto"/>
              </w:rPr>
              <w:t xml:space="preserve">XTO Energy Inc. </w:t>
            </w:r>
            <w:r>
              <w:rPr>
                <w:rFonts w:ascii="Arial" w:cs="Arial" w:eastAsia="Arial" w:hAnsi="Arial"/>
                <w:sz w:val="14"/>
                <w:szCs w:val="14"/>
                <w:i w:val="1"/>
                <w:iCs w:val="1"/>
                <w:color w:val="auto"/>
              </w:rPr>
              <w:t>(3)</w:t>
            </w:r>
          </w:p>
        </w:tc>
        <w:tc>
          <w:tcPr>
            <w:tcW w:w="18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4180" w:type="dxa"/>
            <w:vAlign w:val="bottom"/>
          </w:tcPr>
          <w:p>
            <w:pPr>
              <w:ind w:left="220"/>
              <w:spacing w:after="0"/>
              <w:rPr>
                <w:sz w:val="20"/>
                <w:szCs w:val="20"/>
                <w:color w:val="auto"/>
              </w:rPr>
            </w:pPr>
            <w:r>
              <w:rPr>
                <w:rFonts w:ascii="Arial" w:cs="Arial" w:eastAsia="Arial" w:hAnsi="Arial"/>
                <w:sz w:val="18"/>
                <w:szCs w:val="18"/>
                <w:color w:val="auto"/>
              </w:rPr>
              <w:t>6.100% senior notes due 2036</w:t>
            </w:r>
          </w:p>
        </w:tc>
        <w:tc>
          <w:tcPr>
            <w:tcW w:w="1880" w:type="dxa"/>
            <w:vAlign w:val="bottom"/>
          </w:tcPr>
          <w:p>
            <w:pPr>
              <w:spacing w:after="0"/>
              <w:rPr>
                <w:sz w:val="19"/>
                <w:szCs w:val="19"/>
                <w:color w:val="auto"/>
              </w:rPr>
            </w:pPr>
          </w:p>
        </w:tc>
        <w:tc>
          <w:tcPr>
            <w:tcW w:w="1540" w:type="dxa"/>
            <w:vAlign w:val="bottom"/>
          </w:tcPr>
          <w:p>
            <w:pPr>
              <w:jc w:val="right"/>
              <w:ind w:right="171"/>
              <w:spacing w:after="0"/>
              <w:rPr>
                <w:sz w:val="20"/>
                <w:szCs w:val="20"/>
                <w:color w:val="auto"/>
              </w:rPr>
            </w:pPr>
            <w:r>
              <w:rPr>
                <w:rFonts w:ascii="Arial" w:cs="Arial" w:eastAsia="Arial" w:hAnsi="Arial"/>
                <w:sz w:val="18"/>
                <w:szCs w:val="18"/>
                <w:color w:val="auto"/>
              </w:rPr>
              <w:t>191</w:t>
            </w:r>
          </w:p>
        </w:tc>
        <w:tc>
          <w:tcPr>
            <w:tcW w:w="1300" w:type="dxa"/>
            <w:vAlign w:val="bottom"/>
          </w:tcPr>
          <w:p>
            <w:pPr>
              <w:jc w:val="right"/>
              <w:spacing w:after="0"/>
              <w:rPr>
                <w:sz w:val="20"/>
                <w:szCs w:val="20"/>
                <w:color w:val="auto"/>
              </w:rPr>
            </w:pPr>
            <w:r>
              <w:rPr>
                <w:rFonts w:ascii="Arial" w:cs="Arial" w:eastAsia="Arial" w:hAnsi="Arial"/>
                <w:sz w:val="18"/>
                <w:szCs w:val="18"/>
                <w:color w:val="auto"/>
              </w:rPr>
              <w:t>192</w:t>
            </w:r>
          </w:p>
        </w:tc>
      </w:tr>
      <w:tr>
        <w:trPr>
          <w:trHeight w:val="230"/>
        </w:trPr>
        <w:tc>
          <w:tcPr>
            <w:tcW w:w="4180" w:type="dxa"/>
            <w:vAlign w:val="bottom"/>
          </w:tcPr>
          <w:p>
            <w:pPr>
              <w:ind w:left="220"/>
              <w:spacing w:after="0"/>
              <w:rPr>
                <w:sz w:val="20"/>
                <w:szCs w:val="20"/>
                <w:color w:val="auto"/>
              </w:rPr>
            </w:pPr>
            <w:r>
              <w:rPr>
                <w:rFonts w:ascii="Arial" w:cs="Arial" w:eastAsia="Arial" w:hAnsi="Arial"/>
                <w:sz w:val="18"/>
                <w:szCs w:val="18"/>
                <w:color w:val="auto"/>
              </w:rPr>
              <w:t>6.750% senior notes due 2037</w:t>
            </w:r>
          </w:p>
        </w:tc>
        <w:tc>
          <w:tcPr>
            <w:tcW w:w="1880" w:type="dxa"/>
            <w:vAlign w:val="bottom"/>
          </w:tcPr>
          <w:p>
            <w:pPr>
              <w:spacing w:after="0"/>
              <w:rPr>
                <w:sz w:val="19"/>
                <w:szCs w:val="19"/>
                <w:color w:val="auto"/>
              </w:rPr>
            </w:pPr>
          </w:p>
        </w:tc>
        <w:tc>
          <w:tcPr>
            <w:tcW w:w="1540" w:type="dxa"/>
            <w:vAlign w:val="bottom"/>
          </w:tcPr>
          <w:p>
            <w:pPr>
              <w:jc w:val="right"/>
              <w:ind w:right="171"/>
              <w:spacing w:after="0"/>
              <w:rPr>
                <w:sz w:val="20"/>
                <w:szCs w:val="20"/>
                <w:color w:val="auto"/>
              </w:rPr>
            </w:pPr>
            <w:r>
              <w:rPr>
                <w:rFonts w:ascii="Arial" w:cs="Arial" w:eastAsia="Arial" w:hAnsi="Arial"/>
                <w:sz w:val="18"/>
                <w:szCs w:val="18"/>
                <w:color w:val="auto"/>
              </w:rPr>
              <w:t>291</w:t>
            </w:r>
          </w:p>
        </w:tc>
        <w:tc>
          <w:tcPr>
            <w:tcW w:w="1300" w:type="dxa"/>
            <w:vAlign w:val="bottom"/>
          </w:tcPr>
          <w:p>
            <w:pPr>
              <w:jc w:val="right"/>
              <w:spacing w:after="0"/>
              <w:rPr>
                <w:sz w:val="20"/>
                <w:szCs w:val="20"/>
                <w:color w:val="auto"/>
              </w:rPr>
            </w:pPr>
            <w:r>
              <w:rPr>
                <w:rFonts w:ascii="Arial" w:cs="Arial" w:eastAsia="Arial" w:hAnsi="Arial"/>
                <w:sz w:val="18"/>
                <w:szCs w:val="18"/>
                <w:color w:val="auto"/>
              </w:rPr>
              <w:t>294</w:t>
            </w:r>
          </w:p>
        </w:tc>
      </w:tr>
      <w:tr>
        <w:trPr>
          <w:trHeight w:val="230"/>
        </w:trPr>
        <w:tc>
          <w:tcPr>
            <w:tcW w:w="4180" w:type="dxa"/>
            <w:vAlign w:val="bottom"/>
          </w:tcPr>
          <w:p>
            <w:pPr>
              <w:ind w:left="220"/>
              <w:spacing w:after="0"/>
              <w:rPr>
                <w:sz w:val="20"/>
                <w:szCs w:val="20"/>
                <w:color w:val="auto"/>
              </w:rPr>
            </w:pPr>
            <w:r>
              <w:rPr>
                <w:rFonts w:ascii="Arial" w:cs="Arial" w:eastAsia="Arial" w:hAnsi="Arial"/>
                <w:sz w:val="18"/>
                <w:szCs w:val="18"/>
                <w:color w:val="auto"/>
              </w:rPr>
              <w:t>6.375% senior notes due 2038</w:t>
            </w:r>
          </w:p>
        </w:tc>
        <w:tc>
          <w:tcPr>
            <w:tcW w:w="1880" w:type="dxa"/>
            <w:vAlign w:val="bottom"/>
          </w:tcPr>
          <w:p>
            <w:pPr>
              <w:spacing w:after="0"/>
              <w:rPr>
                <w:sz w:val="20"/>
                <w:szCs w:val="20"/>
                <w:color w:val="auto"/>
              </w:rPr>
            </w:pPr>
          </w:p>
        </w:tc>
        <w:tc>
          <w:tcPr>
            <w:tcW w:w="1540" w:type="dxa"/>
            <w:vAlign w:val="bottom"/>
          </w:tcPr>
          <w:p>
            <w:pPr>
              <w:jc w:val="right"/>
              <w:ind w:right="171"/>
              <w:spacing w:after="0"/>
              <w:rPr>
                <w:sz w:val="20"/>
                <w:szCs w:val="20"/>
                <w:color w:val="auto"/>
              </w:rPr>
            </w:pPr>
            <w:r>
              <w:rPr>
                <w:rFonts w:ascii="Arial" w:cs="Arial" w:eastAsia="Arial" w:hAnsi="Arial"/>
                <w:sz w:val="18"/>
                <w:szCs w:val="18"/>
                <w:color w:val="auto"/>
              </w:rPr>
              <w:t>226</w:t>
            </w:r>
          </w:p>
        </w:tc>
        <w:tc>
          <w:tcPr>
            <w:tcW w:w="1300" w:type="dxa"/>
            <w:vAlign w:val="bottom"/>
          </w:tcPr>
          <w:p>
            <w:pPr>
              <w:jc w:val="right"/>
              <w:spacing w:after="0"/>
              <w:rPr>
                <w:sz w:val="20"/>
                <w:szCs w:val="20"/>
                <w:color w:val="auto"/>
              </w:rPr>
            </w:pPr>
            <w:r>
              <w:rPr>
                <w:rFonts w:ascii="Arial" w:cs="Arial" w:eastAsia="Arial" w:hAnsi="Arial"/>
                <w:sz w:val="18"/>
                <w:szCs w:val="18"/>
                <w:color w:val="auto"/>
              </w:rPr>
              <w:t>227</w:t>
            </w:r>
          </w:p>
        </w:tc>
      </w:tr>
      <w:tr>
        <w:trPr>
          <w:trHeight w:val="391"/>
        </w:trPr>
        <w:tc>
          <w:tcPr>
            <w:tcW w:w="4180" w:type="dxa"/>
            <w:vAlign w:val="bottom"/>
          </w:tcPr>
          <w:p>
            <w:pPr>
              <w:ind w:left="20"/>
              <w:spacing w:after="0"/>
              <w:rPr>
                <w:sz w:val="20"/>
                <w:szCs w:val="20"/>
                <w:color w:val="auto"/>
              </w:rPr>
            </w:pPr>
            <w:r>
              <w:rPr>
                <w:rFonts w:ascii="Arial" w:cs="Arial" w:eastAsia="Arial" w:hAnsi="Arial"/>
                <w:sz w:val="18"/>
                <w:szCs w:val="18"/>
                <w:color w:val="auto"/>
              </w:rPr>
              <w:t>Industrial revenue bonds due 2022-2051</w:t>
            </w:r>
          </w:p>
        </w:tc>
        <w:tc>
          <w:tcPr>
            <w:tcW w:w="1880" w:type="dxa"/>
            <w:vAlign w:val="bottom"/>
          </w:tcPr>
          <w:p>
            <w:pPr>
              <w:jc w:val="center"/>
              <w:ind w:left="219"/>
              <w:spacing w:after="0"/>
              <w:rPr>
                <w:sz w:val="20"/>
                <w:szCs w:val="20"/>
                <w:color w:val="auto"/>
              </w:rPr>
            </w:pPr>
            <w:r>
              <w:rPr>
                <w:rFonts w:ascii="Arial" w:cs="Arial" w:eastAsia="Arial" w:hAnsi="Arial"/>
                <w:sz w:val="18"/>
                <w:szCs w:val="18"/>
                <w:color w:val="auto"/>
                <w:w w:val="88"/>
              </w:rPr>
              <w:t>0.028%</w:t>
            </w:r>
          </w:p>
        </w:tc>
        <w:tc>
          <w:tcPr>
            <w:tcW w:w="1540" w:type="dxa"/>
            <w:vAlign w:val="bottom"/>
          </w:tcPr>
          <w:p>
            <w:pPr>
              <w:jc w:val="right"/>
              <w:ind w:right="171"/>
              <w:spacing w:after="0"/>
              <w:rPr>
                <w:sz w:val="20"/>
                <w:szCs w:val="20"/>
                <w:color w:val="auto"/>
              </w:rPr>
            </w:pPr>
            <w:r>
              <w:rPr>
                <w:rFonts w:ascii="Arial" w:cs="Arial" w:eastAsia="Arial" w:hAnsi="Arial"/>
                <w:sz w:val="18"/>
                <w:szCs w:val="18"/>
                <w:color w:val="auto"/>
              </w:rPr>
              <w:t>2,244</w:t>
            </w:r>
          </w:p>
        </w:tc>
        <w:tc>
          <w:tcPr>
            <w:tcW w:w="1300" w:type="dxa"/>
            <w:vAlign w:val="bottom"/>
          </w:tcPr>
          <w:p>
            <w:pPr>
              <w:jc w:val="right"/>
              <w:spacing w:after="0"/>
              <w:rPr>
                <w:sz w:val="20"/>
                <w:szCs w:val="20"/>
                <w:color w:val="auto"/>
              </w:rPr>
            </w:pPr>
            <w:r>
              <w:rPr>
                <w:rFonts w:ascii="Arial" w:cs="Arial" w:eastAsia="Arial" w:hAnsi="Arial"/>
                <w:sz w:val="18"/>
                <w:szCs w:val="18"/>
                <w:color w:val="auto"/>
              </w:rPr>
              <w:t>2,461</w:t>
            </w:r>
          </w:p>
        </w:tc>
      </w:tr>
      <w:tr>
        <w:trPr>
          <w:trHeight w:val="230"/>
        </w:trPr>
        <w:tc>
          <w:tcPr>
            <w:tcW w:w="4180" w:type="dxa"/>
            <w:vAlign w:val="bottom"/>
          </w:tcPr>
          <w:p>
            <w:pPr>
              <w:ind w:left="20"/>
              <w:spacing w:after="0"/>
              <w:rPr>
                <w:sz w:val="20"/>
                <w:szCs w:val="20"/>
                <w:color w:val="auto"/>
              </w:rPr>
            </w:pPr>
            <w:r>
              <w:rPr>
                <w:rFonts w:ascii="Arial" w:cs="Arial" w:eastAsia="Arial" w:hAnsi="Arial"/>
                <w:sz w:val="18"/>
                <w:szCs w:val="18"/>
                <w:color w:val="auto"/>
              </w:rPr>
              <w:t>Other U.S. dollar obligations</w:t>
            </w:r>
          </w:p>
        </w:tc>
        <w:tc>
          <w:tcPr>
            <w:tcW w:w="1880" w:type="dxa"/>
            <w:vAlign w:val="bottom"/>
          </w:tcPr>
          <w:p>
            <w:pPr>
              <w:spacing w:after="0"/>
              <w:rPr>
                <w:sz w:val="19"/>
                <w:szCs w:val="19"/>
                <w:color w:val="auto"/>
              </w:rPr>
            </w:pPr>
          </w:p>
        </w:tc>
        <w:tc>
          <w:tcPr>
            <w:tcW w:w="1540" w:type="dxa"/>
            <w:vAlign w:val="bottom"/>
          </w:tcPr>
          <w:p>
            <w:pPr>
              <w:jc w:val="right"/>
              <w:ind w:right="171"/>
              <w:spacing w:after="0"/>
              <w:rPr>
                <w:sz w:val="20"/>
                <w:szCs w:val="20"/>
                <w:color w:val="auto"/>
              </w:rPr>
            </w:pPr>
            <w:r>
              <w:rPr>
                <w:rFonts w:ascii="Arial" w:cs="Arial" w:eastAsia="Arial" w:hAnsi="Arial"/>
                <w:sz w:val="18"/>
                <w:szCs w:val="18"/>
                <w:color w:val="auto"/>
              </w:rPr>
              <w:t>64</w:t>
            </w:r>
          </w:p>
        </w:tc>
        <w:tc>
          <w:tcPr>
            <w:tcW w:w="130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29"/>
        </w:trPr>
        <w:tc>
          <w:tcPr>
            <w:tcW w:w="4180" w:type="dxa"/>
            <w:vAlign w:val="bottom"/>
          </w:tcPr>
          <w:p>
            <w:pPr>
              <w:ind w:left="20"/>
              <w:spacing w:after="0"/>
              <w:rPr>
                <w:sz w:val="20"/>
                <w:szCs w:val="20"/>
                <w:color w:val="auto"/>
              </w:rPr>
            </w:pPr>
            <w:r>
              <w:rPr>
                <w:rFonts w:ascii="Arial" w:cs="Arial" w:eastAsia="Arial" w:hAnsi="Arial"/>
                <w:sz w:val="18"/>
                <w:szCs w:val="18"/>
                <w:color w:val="auto"/>
              </w:rPr>
              <w:t>Other foreign currency obligations</w:t>
            </w:r>
          </w:p>
        </w:tc>
        <w:tc>
          <w:tcPr>
            <w:tcW w:w="1880" w:type="dxa"/>
            <w:vAlign w:val="bottom"/>
          </w:tcPr>
          <w:p>
            <w:pPr>
              <w:spacing w:after="0"/>
              <w:rPr>
                <w:sz w:val="19"/>
                <w:szCs w:val="19"/>
                <w:color w:val="auto"/>
              </w:rPr>
            </w:pPr>
          </w:p>
        </w:tc>
        <w:tc>
          <w:tcPr>
            <w:tcW w:w="1540" w:type="dxa"/>
            <w:vAlign w:val="bottom"/>
          </w:tcPr>
          <w:p>
            <w:pPr>
              <w:jc w:val="right"/>
              <w:ind w:right="171"/>
              <w:spacing w:after="0"/>
              <w:rPr>
                <w:sz w:val="20"/>
                <w:szCs w:val="20"/>
                <w:color w:val="auto"/>
              </w:rPr>
            </w:pPr>
            <w:r>
              <w:rPr>
                <w:rFonts w:ascii="Arial" w:cs="Arial" w:eastAsia="Arial" w:hAnsi="Arial"/>
                <w:sz w:val="18"/>
                <w:szCs w:val="18"/>
                <w:color w:val="auto"/>
              </w:rPr>
              <w:t>37</w:t>
            </w:r>
          </w:p>
        </w:tc>
        <w:tc>
          <w:tcPr>
            <w:tcW w:w="13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30"/>
        </w:trPr>
        <w:tc>
          <w:tcPr>
            <w:tcW w:w="4180" w:type="dxa"/>
            <w:vAlign w:val="bottom"/>
          </w:tcPr>
          <w:p>
            <w:pPr>
              <w:ind w:left="20"/>
              <w:spacing w:after="0"/>
              <w:rPr>
                <w:sz w:val="20"/>
                <w:szCs w:val="20"/>
                <w:color w:val="auto"/>
              </w:rPr>
            </w:pPr>
            <w:r>
              <w:rPr>
                <w:rFonts w:ascii="Arial" w:cs="Arial" w:eastAsia="Arial" w:hAnsi="Arial"/>
                <w:sz w:val="18"/>
                <w:szCs w:val="18"/>
                <w:color w:val="auto"/>
              </w:rPr>
              <w:t>Finance lease obligations</w:t>
            </w:r>
          </w:p>
        </w:tc>
        <w:tc>
          <w:tcPr>
            <w:tcW w:w="1880" w:type="dxa"/>
            <w:vAlign w:val="bottom"/>
          </w:tcPr>
          <w:p>
            <w:pPr>
              <w:jc w:val="center"/>
              <w:ind w:left="219"/>
              <w:spacing w:after="0"/>
              <w:rPr>
                <w:sz w:val="20"/>
                <w:szCs w:val="20"/>
                <w:color w:val="auto"/>
              </w:rPr>
            </w:pPr>
            <w:r>
              <w:rPr>
                <w:rFonts w:ascii="Arial" w:cs="Arial" w:eastAsia="Arial" w:hAnsi="Arial"/>
                <w:sz w:val="18"/>
                <w:szCs w:val="18"/>
                <w:color w:val="auto"/>
                <w:w w:val="88"/>
              </w:rPr>
              <w:t>7.438%</w:t>
            </w:r>
          </w:p>
        </w:tc>
        <w:tc>
          <w:tcPr>
            <w:tcW w:w="1540" w:type="dxa"/>
            <w:vAlign w:val="bottom"/>
          </w:tcPr>
          <w:p>
            <w:pPr>
              <w:jc w:val="right"/>
              <w:ind w:right="171"/>
              <w:spacing w:after="0"/>
              <w:rPr>
                <w:sz w:val="20"/>
                <w:szCs w:val="20"/>
                <w:color w:val="auto"/>
              </w:rPr>
            </w:pPr>
            <w:r>
              <w:rPr>
                <w:rFonts w:ascii="Arial" w:cs="Arial" w:eastAsia="Arial" w:hAnsi="Arial"/>
                <w:sz w:val="18"/>
                <w:szCs w:val="18"/>
                <w:color w:val="auto"/>
              </w:rPr>
              <w:t>1,761</w:t>
            </w:r>
          </w:p>
        </w:tc>
        <w:tc>
          <w:tcPr>
            <w:tcW w:w="1300" w:type="dxa"/>
            <w:vAlign w:val="bottom"/>
          </w:tcPr>
          <w:p>
            <w:pPr>
              <w:jc w:val="right"/>
              <w:spacing w:after="0"/>
              <w:rPr>
                <w:sz w:val="20"/>
                <w:szCs w:val="20"/>
                <w:color w:val="auto"/>
              </w:rPr>
            </w:pPr>
            <w:r>
              <w:rPr>
                <w:rFonts w:ascii="Arial" w:cs="Arial" w:eastAsia="Arial" w:hAnsi="Arial"/>
                <w:sz w:val="18"/>
                <w:szCs w:val="18"/>
                <w:color w:val="auto"/>
              </w:rPr>
              <w:t>1,680</w:t>
            </w:r>
          </w:p>
        </w:tc>
      </w:tr>
      <w:tr>
        <w:trPr>
          <w:trHeight w:val="230"/>
        </w:trPr>
        <w:tc>
          <w:tcPr>
            <w:tcW w:w="4180" w:type="dxa"/>
            <w:vAlign w:val="bottom"/>
          </w:tcPr>
          <w:p>
            <w:pPr>
              <w:ind w:left="20"/>
              <w:spacing w:after="0"/>
              <w:rPr>
                <w:sz w:val="20"/>
                <w:szCs w:val="20"/>
                <w:color w:val="auto"/>
              </w:rPr>
            </w:pPr>
            <w:r>
              <w:rPr>
                <w:rFonts w:ascii="Arial" w:cs="Arial" w:eastAsia="Arial" w:hAnsi="Arial"/>
                <w:sz w:val="18"/>
                <w:szCs w:val="18"/>
                <w:color w:val="auto"/>
              </w:rPr>
              <w:t>Debt issuance costs</w:t>
            </w:r>
          </w:p>
        </w:tc>
        <w:tc>
          <w:tcPr>
            <w:tcW w:w="1880" w:type="dxa"/>
            <w:vAlign w:val="bottom"/>
          </w:tcPr>
          <w:p>
            <w:pPr>
              <w:spacing w:after="0"/>
              <w:rPr>
                <w:sz w:val="20"/>
                <w:szCs w:val="20"/>
                <w:color w:val="auto"/>
              </w:rPr>
            </w:pPr>
          </w:p>
        </w:tc>
        <w:tc>
          <w:tcPr>
            <w:tcW w:w="154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(114)</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r>
      <w:tr>
        <w:trPr>
          <w:trHeight w:val="223"/>
        </w:trPr>
        <w:tc>
          <w:tcPr>
            <w:tcW w:w="4180" w:type="dxa"/>
            <w:vAlign w:val="bottom"/>
          </w:tcPr>
          <w:p>
            <w:pPr>
              <w:ind w:left="660"/>
              <w:spacing w:after="0"/>
              <w:rPr>
                <w:sz w:val="20"/>
                <w:szCs w:val="20"/>
                <w:color w:val="auto"/>
              </w:rPr>
            </w:pPr>
            <w:r>
              <w:rPr>
                <w:rFonts w:ascii="Arial" w:cs="Arial" w:eastAsia="Arial" w:hAnsi="Arial"/>
                <w:sz w:val="18"/>
                <w:szCs w:val="18"/>
                <w:color w:val="auto"/>
              </w:rPr>
              <w:t>Total long-term debt</w:t>
            </w:r>
          </w:p>
        </w:tc>
        <w:tc>
          <w:tcPr>
            <w:tcW w:w="1880" w:type="dxa"/>
            <w:vAlign w:val="bottom"/>
          </w:tcPr>
          <w:p>
            <w:pPr>
              <w:spacing w:after="0"/>
              <w:rPr>
                <w:sz w:val="19"/>
                <w:szCs w:val="19"/>
                <w:color w:val="auto"/>
              </w:rPr>
            </w:pPr>
          </w:p>
        </w:tc>
        <w:tc>
          <w:tcPr>
            <w:tcW w:w="154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43,428</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47,182</w:t>
            </w:r>
          </w:p>
        </w:tc>
      </w:tr>
    </w:tbl>
    <w:p>
      <w:pPr>
        <w:spacing w:after="0" w:line="310" w:lineRule="exact"/>
        <w:rPr>
          <w:sz w:val="20"/>
          <w:szCs w:val="20"/>
          <w:color w:val="auto"/>
        </w:rPr>
      </w:pPr>
    </w:p>
    <w:p>
      <w:pPr>
        <w:ind w:left="320" w:hanging="312"/>
        <w:spacing w:after="0"/>
        <w:tabs>
          <w:tab w:leader="none" w:pos="32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Average effective interest rate for debt and average imputed interest rate for finance leases at December 31, 2021.</w:t>
      </w:r>
    </w:p>
    <w:p>
      <w:pPr>
        <w:spacing w:after="0" w:line="23" w:lineRule="exact"/>
        <w:rPr>
          <w:rFonts w:ascii="Arial" w:cs="Arial" w:eastAsia="Arial" w:hAnsi="Arial"/>
          <w:sz w:val="18"/>
          <w:szCs w:val="18"/>
          <w:i w:val="1"/>
          <w:iCs w:val="1"/>
          <w:color w:val="auto"/>
        </w:rPr>
      </w:pPr>
    </w:p>
    <w:p>
      <w:pPr>
        <w:ind w:left="320" w:hanging="312"/>
        <w:spacing w:after="0"/>
        <w:tabs>
          <w:tab w:leader="none" w:pos="32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Includes premiums of $131 million in 2021 and $148 million in 2020.</w:t>
      </w:r>
    </w:p>
    <w:p>
      <w:pPr>
        <w:spacing w:after="0" w:line="9" w:lineRule="exact"/>
        <w:rPr>
          <w:rFonts w:ascii="Arial" w:cs="Arial" w:eastAsia="Arial" w:hAnsi="Arial"/>
          <w:sz w:val="18"/>
          <w:szCs w:val="18"/>
          <w:i w:val="1"/>
          <w:iCs w:val="1"/>
          <w:color w:val="auto"/>
        </w:rPr>
      </w:pPr>
    </w:p>
    <w:p>
      <w:pPr>
        <w:ind w:left="320" w:hanging="312"/>
        <w:spacing w:after="0"/>
        <w:tabs>
          <w:tab w:leader="none" w:pos="32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Includes premiums of $82 million in 2021 and $87 million in 2020.</w:t>
      </w:r>
    </w:p>
    <w:p>
      <w:pPr>
        <w:spacing w:after="0" w:line="200" w:lineRule="exact"/>
        <w:rPr>
          <w:sz w:val="20"/>
          <w:szCs w:val="20"/>
          <w:color w:val="auto"/>
        </w:rPr>
      </w:pPr>
    </w:p>
    <w:p>
      <w:pPr>
        <w:spacing w:after="0" w:line="24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Incentive Program</w:t>
      </w:r>
    </w:p>
    <w:p>
      <w:pPr>
        <w:spacing w:after="0" w:line="10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2003 Incentive Program provides for grants of stock options, stock appreciation rights (SARs), restricted stock, and other forms of awards. Awards may be granted to eligible employees of the Corporation and those affiliates at least 50 percent owned. Outstanding awards are subject to certain forfeiture provisions contained in the program or award instrument. Options and SARs may be granted at prices not less than 100 percent of market value on the date of grant and have a maximum life of 10 years. The maximum number of shares of stock that may be issued under the 2003 Incentive Program is 220 million. Awards that are forfeited, expire, or are settled in cash, do not count against this maximum limit. The 2003 Incentive Program does not have a specified term. New awards may be made until the available shares are depleted, unless the Board terminates the plan early. At the end of 2021, remaining shares available for award under the 2003 Incentive Program were 66 million.</w:t>
      </w:r>
    </w:p>
    <w:p>
      <w:pPr>
        <w:spacing w:after="0" w:line="3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color w:val="auto"/>
        </w:rPr>
        <w:t xml:space="preserve">Restricted Stock and Restricted Stock Units. </w:t>
      </w:r>
      <w:r>
        <w:rPr>
          <w:rFonts w:ascii="Arial" w:cs="Arial" w:eastAsia="Arial" w:hAnsi="Arial"/>
          <w:sz w:val="16"/>
          <w:szCs w:val="16"/>
          <w:color w:val="auto"/>
        </w:rPr>
        <w:t>Awards totaling 8,133 thousand, 8,681 thousand, and 8,936 thousand of restricted (nonvested) common</w:t>
      </w:r>
      <w:r>
        <w:rPr>
          <w:rFonts w:ascii="Arial" w:cs="Arial" w:eastAsia="Arial" w:hAnsi="Arial"/>
          <w:sz w:val="16"/>
          <w:szCs w:val="16"/>
          <w:b w:val="1"/>
          <w:bCs w:val="1"/>
          <w:color w:val="auto"/>
        </w:rPr>
        <w:t xml:space="preserve"> </w:t>
      </w:r>
      <w:r>
        <w:rPr>
          <w:rFonts w:ascii="Arial" w:cs="Arial" w:eastAsia="Arial" w:hAnsi="Arial"/>
          <w:sz w:val="16"/>
          <w:szCs w:val="16"/>
          <w:color w:val="auto"/>
        </w:rPr>
        <w:t>stock units were granted in 2021, 2020, and 2019, respectively. Compensation expense for these awards is based on the price of the stock at the date of grant and is recognized in income over the requisite service period. Shares for these awards are issued to employees from treasury stock. The units that are settled in cash are recorded as liabilities and their changes in fair value are recognized over the vesting period. During the applicable restricted periods, the shares and units may not be sold or transferred and are subject to forfeiture. The majority of the awards have graded vesting periods, with 50 percent of the shares and units in each award vesting after three years and the remaining 50 percent vesting after seven years. Awards granted to a small number of senior executives have vesting periods of five years for 50 percent of the award and of 10 years for the remaining 50 percent of the award, except that for awards granted prior to 2020 the vesting of the 10-year portion of the award is delayed until retirement if later than 10 years.</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information about restricted stock and restricted stock units for the year ended December 31, 2021.</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right"/>
              <w:ind w:right="268"/>
              <w:spacing w:after="0"/>
              <w:rPr>
                <w:sz w:val="20"/>
                <w:szCs w:val="20"/>
                <w:color w:val="auto"/>
              </w:rPr>
            </w:pPr>
            <w:r>
              <w:rPr>
                <w:rFonts w:ascii="Arial" w:cs="Arial" w:eastAsia="Arial" w:hAnsi="Arial"/>
                <w:sz w:val="14"/>
                <w:szCs w:val="14"/>
                <w:b w:val="1"/>
                <w:bCs w:val="1"/>
                <w:color w:val="auto"/>
              </w:rPr>
              <w:t>2021</w:t>
            </w: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7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780" w:type="dxa"/>
            <w:vAlign w:val="bottom"/>
            <w:gridSpan w:val="2"/>
          </w:tcPr>
          <w:p>
            <w:pPr>
              <w:jc w:val="center"/>
              <w:ind w:left="48"/>
              <w:spacing w:after="0" w:line="135" w:lineRule="exact"/>
              <w:rPr>
                <w:sz w:val="20"/>
                <w:szCs w:val="20"/>
                <w:color w:val="auto"/>
              </w:rPr>
            </w:pPr>
            <w:r>
              <w:rPr>
                <w:rFonts w:ascii="Arial" w:cs="Arial" w:eastAsia="Arial" w:hAnsi="Arial"/>
                <w:sz w:val="14"/>
                <w:szCs w:val="14"/>
                <w:b w:val="1"/>
                <w:bCs w:val="1"/>
                <w:color w:val="auto"/>
                <w:w w:val="94"/>
              </w:rPr>
              <w:t>Weighted Average Grant-</w:t>
            </w:r>
          </w:p>
        </w:tc>
        <w:tc>
          <w:tcPr>
            <w:tcW w:w="0" w:type="dxa"/>
            <w:vAlign w:val="bottom"/>
          </w:tcPr>
          <w:p>
            <w:pPr>
              <w:spacing w:after="0"/>
              <w:rPr>
                <w:sz w:val="1"/>
                <w:szCs w:val="1"/>
                <w:color w:val="auto"/>
              </w:rPr>
            </w:pPr>
          </w:p>
        </w:tc>
      </w:tr>
      <w:tr>
        <w:trPr>
          <w:trHeight w:val="135"/>
        </w:trPr>
        <w:tc>
          <w:tcPr>
            <w:tcW w:w="77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Restricted stock and units outstanding</w:t>
            </w:r>
          </w:p>
        </w:tc>
        <w:tc>
          <w:tcPr>
            <w:tcW w:w="2220" w:type="dxa"/>
            <w:vAlign w:val="bottom"/>
            <w:gridSpan w:val="3"/>
          </w:tcPr>
          <w:p>
            <w:pPr>
              <w:jc w:val="right"/>
              <w:ind w:right="1108"/>
              <w:spacing w:after="0" w:line="135" w:lineRule="exact"/>
              <w:rPr>
                <w:sz w:val="20"/>
                <w:szCs w:val="20"/>
                <w:color w:val="auto"/>
              </w:rPr>
            </w:pPr>
            <w:r>
              <w:rPr>
                <w:rFonts w:ascii="Arial" w:cs="Arial" w:eastAsia="Arial" w:hAnsi="Arial"/>
                <w:sz w:val="14"/>
                <w:szCs w:val="14"/>
                <w:b w:val="1"/>
                <w:bCs w:val="1"/>
                <w:color w:val="auto"/>
              </w:rPr>
              <w:t>Shares</w:t>
            </w:r>
          </w:p>
        </w:tc>
        <w:tc>
          <w:tcPr>
            <w:tcW w:w="1240" w:type="dxa"/>
            <w:vAlign w:val="bottom"/>
          </w:tcPr>
          <w:p>
            <w:pPr>
              <w:jc w:val="center"/>
              <w:ind w:right="395"/>
              <w:spacing w:after="0" w:line="135" w:lineRule="exact"/>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189"/>
        </w:trPr>
        <w:tc>
          <w:tcPr>
            <w:tcW w:w="7780" w:type="dxa"/>
            <w:vAlign w:val="bottom"/>
            <w:tcBorders>
              <w:bottom w:val="single" w:sz="8" w:color="auto"/>
            </w:tcBorders>
            <w:gridSpan w:val="2"/>
            <w:vMerge w:val="continue"/>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tcPr>
          <w:p>
            <w:pPr>
              <w:jc w:val="center"/>
              <w:ind w:left="28"/>
              <w:spacing w:after="0"/>
              <w:rPr>
                <w:sz w:val="20"/>
                <w:szCs w:val="20"/>
                <w:color w:val="auto"/>
              </w:rPr>
            </w:pPr>
            <w:r>
              <w:rPr>
                <w:rFonts w:ascii="Arial" w:cs="Arial" w:eastAsia="Arial" w:hAnsi="Arial"/>
                <w:sz w:val="14"/>
                <w:szCs w:val="14"/>
                <w:b w:val="1"/>
                <w:bCs w:val="1"/>
                <w:color w:val="auto"/>
                <w:w w:val="94"/>
              </w:rPr>
              <w:t>Fair Value per Share</w:t>
            </w:r>
          </w:p>
        </w:tc>
        <w:tc>
          <w:tcPr>
            <w:tcW w:w="0" w:type="dxa"/>
            <w:vAlign w:val="bottom"/>
          </w:tcPr>
          <w:p>
            <w:pPr>
              <w:spacing w:after="0"/>
              <w:rPr>
                <w:sz w:val="1"/>
                <w:szCs w:val="1"/>
                <w:color w:val="auto"/>
              </w:rPr>
            </w:pPr>
          </w:p>
        </w:tc>
      </w:tr>
      <w:tr>
        <w:trPr>
          <w:trHeight w:val="211"/>
        </w:trPr>
        <w:tc>
          <w:tcPr>
            <w:tcW w:w="7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20" w:type="dxa"/>
            <w:vAlign w:val="bottom"/>
            <w:gridSpan w:val="3"/>
          </w:tcPr>
          <w:p>
            <w:pPr>
              <w:jc w:val="right"/>
              <w:ind w:right="968"/>
              <w:spacing w:after="0"/>
              <w:rPr>
                <w:sz w:val="20"/>
                <w:szCs w:val="20"/>
                <w:color w:val="auto"/>
              </w:rPr>
            </w:pPr>
            <w:r>
              <w:rPr>
                <w:rFonts w:ascii="Arial" w:cs="Arial" w:eastAsia="Arial" w:hAnsi="Arial"/>
                <w:sz w:val="14"/>
                <w:szCs w:val="14"/>
                <w:i w:val="1"/>
                <w:iCs w:val="1"/>
                <w:color w:val="auto"/>
              </w:rPr>
              <w:t>(thousands)</w:t>
            </w:r>
          </w:p>
        </w:tc>
        <w:tc>
          <w:tcPr>
            <w:tcW w:w="1240" w:type="dxa"/>
            <w:vAlign w:val="bottom"/>
          </w:tcPr>
          <w:p>
            <w:pPr>
              <w:jc w:val="center"/>
              <w:ind w:right="335"/>
              <w:spacing w:after="0"/>
              <w:rPr>
                <w:sz w:val="20"/>
                <w:szCs w:val="20"/>
                <w:color w:val="auto"/>
              </w:rPr>
            </w:pPr>
            <w:r>
              <w:rPr>
                <w:rFonts w:ascii="Arial" w:cs="Arial" w:eastAsia="Arial" w:hAnsi="Arial"/>
                <w:sz w:val="14"/>
                <w:szCs w:val="14"/>
                <w:i w:val="1"/>
                <w:iCs w:val="1"/>
                <w:color w:val="auto"/>
                <w:w w:val="98"/>
              </w:rPr>
              <w:t>(dollars)</w:t>
            </w:r>
          </w:p>
        </w:tc>
        <w:tc>
          <w:tcPr>
            <w:tcW w:w="0" w:type="dxa"/>
            <w:vAlign w:val="bottom"/>
          </w:tcPr>
          <w:p>
            <w:pPr>
              <w:spacing w:after="0"/>
              <w:rPr>
                <w:sz w:val="1"/>
                <w:szCs w:val="1"/>
                <w:color w:val="auto"/>
              </w:rPr>
            </w:pPr>
          </w:p>
        </w:tc>
      </w:tr>
      <w:tr>
        <w:trPr>
          <w:trHeight w:val="241"/>
        </w:trPr>
        <w:tc>
          <w:tcPr>
            <w:tcW w:w="7780" w:type="dxa"/>
            <w:vAlign w:val="bottom"/>
            <w:gridSpan w:val="2"/>
          </w:tcPr>
          <w:p>
            <w:pPr>
              <w:ind w:left="20"/>
              <w:spacing w:after="0"/>
              <w:rPr>
                <w:sz w:val="20"/>
                <w:szCs w:val="20"/>
                <w:color w:val="auto"/>
              </w:rPr>
            </w:pPr>
            <w:r>
              <w:rPr>
                <w:rFonts w:ascii="Arial" w:cs="Arial" w:eastAsia="Arial" w:hAnsi="Arial"/>
                <w:sz w:val="18"/>
                <w:szCs w:val="18"/>
                <w:color w:val="auto"/>
              </w:rPr>
              <w:t>Issued and outstanding at January 1</w:t>
            </w:r>
          </w:p>
        </w:tc>
        <w:tc>
          <w:tcPr>
            <w:tcW w:w="8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39,585</w:t>
            </w:r>
          </w:p>
        </w:tc>
        <w:tc>
          <w:tcPr>
            <w:tcW w:w="5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80.43</w:t>
            </w:r>
          </w:p>
        </w:tc>
        <w:tc>
          <w:tcPr>
            <w:tcW w:w="0" w:type="dxa"/>
            <w:vAlign w:val="bottom"/>
          </w:tcPr>
          <w:p>
            <w:pPr>
              <w:spacing w:after="0"/>
              <w:rPr>
                <w:sz w:val="1"/>
                <w:szCs w:val="1"/>
                <w:color w:val="auto"/>
              </w:rPr>
            </w:pPr>
          </w:p>
        </w:tc>
      </w:tr>
      <w:tr>
        <w:trPr>
          <w:trHeight w:val="229"/>
        </w:trPr>
        <w:tc>
          <w:tcPr>
            <w:tcW w:w="7780" w:type="dxa"/>
            <w:vAlign w:val="bottom"/>
            <w:gridSpan w:val="2"/>
          </w:tcPr>
          <w:p>
            <w:pPr>
              <w:ind w:left="20"/>
              <w:spacing w:after="0"/>
              <w:rPr>
                <w:sz w:val="20"/>
                <w:szCs w:val="20"/>
                <w:color w:val="auto"/>
              </w:rPr>
            </w:pPr>
            <w:r>
              <w:rPr>
                <w:rFonts w:ascii="Arial" w:cs="Arial" w:eastAsia="Arial" w:hAnsi="Arial"/>
                <w:sz w:val="18"/>
                <w:szCs w:val="18"/>
                <w:color w:val="auto"/>
              </w:rPr>
              <w:t>Awards issued in 2021</w:t>
            </w:r>
          </w:p>
        </w:tc>
        <w:tc>
          <w:tcPr>
            <w:tcW w:w="8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8,753</w:t>
            </w:r>
          </w:p>
        </w:tc>
        <w:tc>
          <w:tcPr>
            <w:tcW w:w="5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41.29</w:t>
            </w:r>
          </w:p>
        </w:tc>
        <w:tc>
          <w:tcPr>
            <w:tcW w:w="0" w:type="dxa"/>
            <w:vAlign w:val="bottom"/>
          </w:tcPr>
          <w:p>
            <w:pPr>
              <w:spacing w:after="0"/>
              <w:rPr>
                <w:sz w:val="1"/>
                <w:szCs w:val="1"/>
                <w:color w:val="auto"/>
              </w:rPr>
            </w:pPr>
          </w:p>
        </w:tc>
      </w:tr>
      <w:tr>
        <w:trPr>
          <w:trHeight w:val="230"/>
        </w:trPr>
        <w:tc>
          <w:tcPr>
            <w:tcW w:w="7780" w:type="dxa"/>
            <w:vAlign w:val="bottom"/>
            <w:gridSpan w:val="2"/>
          </w:tcPr>
          <w:p>
            <w:pPr>
              <w:ind w:left="20"/>
              <w:spacing w:after="0"/>
              <w:rPr>
                <w:sz w:val="20"/>
                <w:szCs w:val="20"/>
                <w:color w:val="auto"/>
              </w:rPr>
            </w:pPr>
            <w:r>
              <w:rPr>
                <w:rFonts w:ascii="Arial" w:cs="Arial" w:eastAsia="Arial" w:hAnsi="Arial"/>
                <w:sz w:val="18"/>
                <w:szCs w:val="18"/>
                <w:color w:val="auto"/>
              </w:rPr>
              <w:t>Vested</w:t>
            </w:r>
          </w:p>
        </w:tc>
        <w:tc>
          <w:tcPr>
            <w:tcW w:w="8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(9,142)</w:t>
            </w:r>
          </w:p>
        </w:tc>
        <w:tc>
          <w:tcPr>
            <w:tcW w:w="5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86.16</w:t>
            </w:r>
          </w:p>
        </w:tc>
        <w:tc>
          <w:tcPr>
            <w:tcW w:w="0" w:type="dxa"/>
            <w:vAlign w:val="bottom"/>
          </w:tcPr>
          <w:p>
            <w:pPr>
              <w:spacing w:after="0"/>
              <w:rPr>
                <w:sz w:val="1"/>
                <w:szCs w:val="1"/>
                <w:color w:val="auto"/>
              </w:rPr>
            </w:pPr>
          </w:p>
        </w:tc>
      </w:tr>
      <w:tr>
        <w:trPr>
          <w:trHeight w:val="230"/>
        </w:trPr>
        <w:tc>
          <w:tcPr>
            <w:tcW w:w="7780" w:type="dxa"/>
            <w:vAlign w:val="bottom"/>
            <w:gridSpan w:val="2"/>
          </w:tcPr>
          <w:p>
            <w:pPr>
              <w:ind w:left="20"/>
              <w:spacing w:after="0"/>
              <w:rPr>
                <w:sz w:val="20"/>
                <w:szCs w:val="20"/>
                <w:color w:val="auto"/>
              </w:rPr>
            </w:pPr>
            <w:r>
              <w:rPr>
                <w:rFonts w:ascii="Arial" w:cs="Arial" w:eastAsia="Arial" w:hAnsi="Arial"/>
                <w:sz w:val="18"/>
                <w:szCs w:val="18"/>
                <w:color w:val="auto"/>
              </w:rPr>
              <w:t>Forfeited</w:t>
            </w:r>
          </w:p>
        </w:tc>
        <w:tc>
          <w:tcPr>
            <w:tcW w:w="8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5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66.54</w:t>
            </w:r>
          </w:p>
        </w:tc>
        <w:tc>
          <w:tcPr>
            <w:tcW w:w="0" w:type="dxa"/>
            <w:vAlign w:val="bottom"/>
          </w:tcPr>
          <w:p>
            <w:pPr>
              <w:spacing w:after="0"/>
              <w:rPr>
                <w:sz w:val="1"/>
                <w:szCs w:val="1"/>
                <w:color w:val="auto"/>
              </w:rPr>
            </w:pPr>
          </w:p>
        </w:tc>
      </w:tr>
      <w:tr>
        <w:trPr>
          <w:trHeight w:val="223"/>
        </w:trPr>
        <w:tc>
          <w:tcPr>
            <w:tcW w:w="7780" w:type="dxa"/>
            <w:vAlign w:val="bottom"/>
            <w:gridSpan w:val="2"/>
          </w:tcPr>
          <w:p>
            <w:pPr>
              <w:ind w:left="20"/>
              <w:spacing w:after="0"/>
              <w:rPr>
                <w:sz w:val="20"/>
                <w:szCs w:val="20"/>
                <w:color w:val="auto"/>
              </w:rPr>
            </w:pPr>
            <w:r>
              <w:rPr>
                <w:rFonts w:ascii="Arial" w:cs="Arial" w:eastAsia="Arial" w:hAnsi="Arial"/>
                <w:sz w:val="18"/>
                <w:szCs w:val="18"/>
                <w:color w:val="auto"/>
              </w:rPr>
              <w:t>Issued and outstanding at December 31</w:t>
            </w:r>
          </w:p>
        </w:tc>
        <w:tc>
          <w:tcPr>
            <w:tcW w:w="8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38,922</w:t>
            </w:r>
          </w:p>
        </w:tc>
        <w:tc>
          <w:tcPr>
            <w:tcW w:w="5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70.38</w:t>
            </w:r>
          </w:p>
        </w:tc>
        <w:tc>
          <w:tcPr>
            <w:tcW w:w="0" w:type="dxa"/>
            <w:vAlign w:val="bottom"/>
          </w:tcPr>
          <w:p>
            <w:pPr>
              <w:spacing w:after="0"/>
              <w:rPr>
                <w:sz w:val="1"/>
                <w:szCs w:val="1"/>
                <w:color w:val="auto"/>
              </w:rPr>
            </w:pPr>
          </w:p>
        </w:tc>
      </w:tr>
      <w:tr>
        <w:trPr>
          <w:trHeight w:val="682"/>
        </w:trPr>
        <w:tc>
          <w:tcPr>
            <w:tcW w:w="77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Value of restricted stock units</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1420" w:type="dxa"/>
            <w:vAlign w:val="bottom"/>
            <w:tcBorders>
              <w:bottom w:val="single" w:sz="8" w:color="auto"/>
            </w:tcBorders>
            <w:gridSpan w:val="2"/>
          </w:tcPr>
          <w:p>
            <w:pPr>
              <w:jc w:val="right"/>
              <w:ind w:right="68"/>
              <w:spacing w:after="0"/>
              <w:rPr>
                <w:sz w:val="20"/>
                <w:szCs w:val="20"/>
                <w:color w:val="auto"/>
              </w:rPr>
            </w:pPr>
            <w:r>
              <w:rPr>
                <w:rFonts w:ascii="Arial" w:cs="Arial" w:eastAsia="Arial" w:hAnsi="Arial"/>
                <w:sz w:val="14"/>
                <w:szCs w:val="14"/>
                <w:b w:val="1"/>
                <w:bCs w:val="1"/>
                <w:color w:val="auto"/>
              </w:rPr>
              <w:t>2020</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4"/>
        </w:trPr>
        <w:tc>
          <w:tcPr>
            <w:tcW w:w="7780" w:type="dxa"/>
            <w:vAlign w:val="bottom"/>
            <w:gridSpan w:val="2"/>
          </w:tcPr>
          <w:p>
            <w:pPr>
              <w:ind w:left="20"/>
              <w:spacing w:after="0"/>
              <w:rPr>
                <w:sz w:val="20"/>
                <w:szCs w:val="20"/>
                <w:color w:val="auto"/>
              </w:rPr>
            </w:pPr>
            <w:r>
              <w:rPr>
                <w:rFonts w:ascii="Arial" w:cs="Arial" w:eastAsia="Arial" w:hAnsi="Arial"/>
                <w:sz w:val="18"/>
                <w:szCs w:val="18"/>
                <w:color w:val="auto"/>
              </w:rPr>
              <w:t xml:space="preserve">Grant price </w:t>
            </w:r>
            <w:r>
              <w:rPr>
                <w:rFonts w:ascii="Arial" w:cs="Arial" w:eastAsia="Arial" w:hAnsi="Arial"/>
                <w:sz w:val="18"/>
                <w:szCs w:val="18"/>
                <w:i w:val="1"/>
                <w:iCs w:val="1"/>
                <w:color w:val="auto"/>
              </w:rPr>
              <w:t>(dollars)</w:t>
            </w:r>
          </w:p>
        </w:tc>
        <w:tc>
          <w:tcPr>
            <w:tcW w:w="800" w:type="dxa"/>
            <w:vAlign w:val="bottom"/>
          </w:tcPr>
          <w:p>
            <w:pPr>
              <w:jc w:val="right"/>
              <w:ind w:right="58"/>
              <w:spacing w:after="0"/>
              <w:rPr>
                <w:sz w:val="20"/>
                <w:szCs w:val="20"/>
                <w:color w:val="auto"/>
              </w:rPr>
            </w:pPr>
            <w:r>
              <w:rPr>
                <w:rFonts w:ascii="Arial" w:cs="Arial" w:eastAsia="Arial" w:hAnsi="Arial"/>
                <w:sz w:val="18"/>
                <w:szCs w:val="18"/>
                <w:color w:val="auto"/>
              </w:rPr>
              <w:t>62.76</w:t>
            </w:r>
          </w:p>
        </w:tc>
        <w:tc>
          <w:tcPr>
            <w:tcW w:w="1420" w:type="dxa"/>
            <w:vAlign w:val="bottom"/>
            <w:gridSpan w:val="2"/>
          </w:tcPr>
          <w:p>
            <w:pPr>
              <w:jc w:val="right"/>
              <w:ind w:right="128"/>
              <w:spacing w:after="0"/>
              <w:rPr>
                <w:sz w:val="20"/>
                <w:szCs w:val="20"/>
                <w:color w:val="auto"/>
              </w:rPr>
            </w:pPr>
            <w:r>
              <w:rPr>
                <w:rFonts w:ascii="Arial" w:cs="Arial" w:eastAsia="Arial" w:hAnsi="Arial"/>
                <w:sz w:val="18"/>
                <w:szCs w:val="18"/>
                <w:color w:val="auto"/>
              </w:rPr>
              <w:t>41.15</w:t>
            </w:r>
          </w:p>
        </w:tc>
        <w:tc>
          <w:tcPr>
            <w:tcW w:w="1240" w:type="dxa"/>
            <w:vAlign w:val="bottom"/>
          </w:tcPr>
          <w:p>
            <w:pPr>
              <w:jc w:val="right"/>
              <w:spacing w:after="0"/>
              <w:rPr>
                <w:sz w:val="20"/>
                <w:szCs w:val="20"/>
                <w:color w:val="auto"/>
              </w:rPr>
            </w:pPr>
            <w:r>
              <w:rPr>
                <w:rFonts w:ascii="Arial" w:cs="Arial" w:eastAsia="Arial" w:hAnsi="Arial"/>
                <w:sz w:val="18"/>
                <w:szCs w:val="18"/>
                <w:color w:val="auto"/>
              </w:rPr>
              <w:t>68.77</w:t>
            </w:r>
          </w:p>
        </w:tc>
        <w:tc>
          <w:tcPr>
            <w:tcW w:w="0" w:type="dxa"/>
            <w:vAlign w:val="bottom"/>
          </w:tcPr>
          <w:p>
            <w:pPr>
              <w:spacing w:after="0"/>
              <w:rPr>
                <w:sz w:val="1"/>
                <w:szCs w:val="1"/>
                <w:color w:val="auto"/>
              </w:rPr>
            </w:pPr>
          </w:p>
        </w:tc>
      </w:tr>
      <w:tr>
        <w:trPr>
          <w:trHeight w:val="390"/>
        </w:trPr>
        <w:tc>
          <w:tcPr>
            <w:tcW w:w="7780" w:type="dxa"/>
            <w:vAlign w:val="bottom"/>
            <w:gridSpan w:val="2"/>
          </w:tcPr>
          <w:p>
            <w:pPr>
              <w:ind w:left="20"/>
              <w:spacing w:after="0"/>
              <w:rPr>
                <w:sz w:val="20"/>
                <w:szCs w:val="20"/>
                <w:color w:val="auto"/>
              </w:rPr>
            </w:pPr>
            <w:r>
              <w:rPr>
                <w:rFonts w:ascii="Arial" w:cs="Arial" w:eastAsia="Arial" w:hAnsi="Arial"/>
                <w:sz w:val="18"/>
                <w:szCs w:val="18"/>
                <w:color w:val="auto"/>
              </w:rPr>
              <w:t>Value at date of grant:</w:t>
            </w:r>
          </w:p>
        </w:tc>
        <w:tc>
          <w:tcPr>
            <w:tcW w:w="800" w:type="dxa"/>
            <w:vAlign w:val="bottom"/>
          </w:tcPr>
          <w:p>
            <w:pPr>
              <w:spacing w:after="0"/>
              <w:rPr>
                <w:sz w:val="24"/>
                <w:szCs w:val="24"/>
                <w:color w:val="auto"/>
              </w:rPr>
            </w:pPr>
          </w:p>
        </w:tc>
        <w:tc>
          <w:tcPr>
            <w:tcW w:w="1420" w:type="dxa"/>
            <w:vAlign w:val="bottom"/>
            <w:gridSpan w:val="2"/>
          </w:tcPr>
          <w:p>
            <w:pPr>
              <w:jc w:val="right"/>
              <w:ind w:right="108"/>
              <w:spacing w:after="0"/>
              <w:rPr>
                <w:sz w:val="20"/>
                <w:szCs w:val="20"/>
                <w:color w:val="auto"/>
              </w:rPr>
            </w:pPr>
            <w:r>
              <w:rPr>
                <w:rFonts w:ascii="Arial" w:cs="Arial" w:eastAsia="Arial" w:hAnsi="Arial"/>
                <w:sz w:val="14"/>
                <w:szCs w:val="14"/>
                <w:i w:val="1"/>
                <w:iCs w:val="1"/>
                <w:color w:val="auto"/>
              </w:rPr>
              <w:t>(millions of dollars)</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7780" w:type="dxa"/>
            <w:vAlign w:val="bottom"/>
            <w:gridSpan w:val="2"/>
          </w:tcPr>
          <w:p>
            <w:pPr>
              <w:ind w:left="20"/>
              <w:spacing w:after="0"/>
              <w:rPr>
                <w:sz w:val="20"/>
                <w:szCs w:val="20"/>
                <w:color w:val="auto"/>
              </w:rPr>
            </w:pPr>
            <w:r>
              <w:rPr>
                <w:rFonts w:ascii="Arial" w:cs="Arial" w:eastAsia="Arial" w:hAnsi="Arial"/>
                <w:sz w:val="18"/>
                <w:szCs w:val="18"/>
                <w:color w:val="auto"/>
              </w:rPr>
              <w:t>Units settled in stock</w:t>
            </w:r>
          </w:p>
        </w:tc>
        <w:tc>
          <w:tcPr>
            <w:tcW w:w="800" w:type="dxa"/>
            <w:vAlign w:val="bottom"/>
          </w:tcPr>
          <w:p>
            <w:pPr>
              <w:jc w:val="right"/>
              <w:ind w:right="58"/>
              <w:spacing w:after="0"/>
              <w:rPr>
                <w:sz w:val="20"/>
                <w:szCs w:val="20"/>
                <w:color w:val="auto"/>
              </w:rPr>
            </w:pPr>
            <w:r>
              <w:rPr>
                <w:rFonts w:ascii="Arial" w:cs="Arial" w:eastAsia="Arial" w:hAnsi="Arial"/>
                <w:sz w:val="18"/>
                <w:szCs w:val="18"/>
                <w:color w:val="auto"/>
              </w:rPr>
              <w:t>461</w:t>
            </w:r>
          </w:p>
        </w:tc>
        <w:tc>
          <w:tcPr>
            <w:tcW w:w="1420" w:type="dxa"/>
            <w:vAlign w:val="bottom"/>
            <w:gridSpan w:val="2"/>
          </w:tcPr>
          <w:p>
            <w:pPr>
              <w:jc w:val="right"/>
              <w:ind w:right="128"/>
              <w:spacing w:after="0"/>
              <w:rPr>
                <w:sz w:val="20"/>
                <w:szCs w:val="20"/>
                <w:color w:val="auto"/>
              </w:rPr>
            </w:pPr>
            <w:r>
              <w:rPr>
                <w:rFonts w:ascii="Arial" w:cs="Arial" w:eastAsia="Arial" w:hAnsi="Arial"/>
                <w:sz w:val="18"/>
                <w:szCs w:val="18"/>
                <w:color w:val="auto"/>
              </w:rPr>
              <w:t>325</w:t>
            </w:r>
          </w:p>
        </w:tc>
        <w:tc>
          <w:tcPr>
            <w:tcW w:w="1240" w:type="dxa"/>
            <w:vAlign w:val="bottom"/>
          </w:tcPr>
          <w:p>
            <w:pPr>
              <w:jc w:val="right"/>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30"/>
        </w:trPr>
        <w:tc>
          <w:tcPr>
            <w:tcW w:w="7780" w:type="dxa"/>
            <w:vAlign w:val="bottom"/>
            <w:gridSpan w:val="2"/>
          </w:tcPr>
          <w:p>
            <w:pPr>
              <w:ind w:left="20"/>
              <w:spacing w:after="0"/>
              <w:rPr>
                <w:sz w:val="20"/>
                <w:szCs w:val="20"/>
                <w:color w:val="auto"/>
              </w:rPr>
            </w:pPr>
            <w:r>
              <w:rPr>
                <w:rFonts w:ascii="Arial" w:cs="Arial" w:eastAsia="Arial" w:hAnsi="Arial"/>
                <w:sz w:val="18"/>
                <w:szCs w:val="18"/>
                <w:color w:val="auto"/>
              </w:rPr>
              <w:t>Units settled in cash</w:t>
            </w:r>
          </w:p>
        </w:tc>
        <w:tc>
          <w:tcPr>
            <w:tcW w:w="800" w:type="dxa"/>
            <w:vAlign w:val="bottom"/>
          </w:tcPr>
          <w:p>
            <w:pPr>
              <w:jc w:val="right"/>
              <w:ind w:right="58"/>
              <w:spacing w:after="0"/>
              <w:rPr>
                <w:sz w:val="20"/>
                <w:szCs w:val="20"/>
                <w:color w:val="auto"/>
              </w:rPr>
            </w:pPr>
            <w:r>
              <w:rPr>
                <w:rFonts w:ascii="Arial" w:cs="Arial" w:eastAsia="Arial" w:hAnsi="Arial"/>
                <w:sz w:val="18"/>
                <w:szCs w:val="18"/>
                <w:color w:val="auto"/>
              </w:rPr>
              <w:t>49</w:t>
            </w:r>
          </w:p>
        </w:tc>
        <w:tc>
          <w:tcPr>
            <w:tcW w:w="1420" w:type="dxa"/>
            <w:vAlign w:val="bottom"/>
            <w:gridSpan w:val="2"/>
          </w:tcPr>
          <w:p>
            <w:pPr>
              <w:jc w:val="right"/>
              <w:ind w:right="128"/>
              <w:spacing w:after="0"/>
              <w:rPr>
                <w:sz w:val="20"/>
                <w:szCs w:val="20"/>
                <w:color w:val="auto"/>
              </w:rPr>
            </w:pPr>
            <w:r>
              <w:rPr>
                <w:rFonts w:ascii="Arial" w:cs="Arial" w:eastAsia="Arial" w:hAnsi="Arial"/>
                <w:sz w:val="18"/>
                <w:szCs w:val="18"/>
                <w:color w:val="auto"/>
              </w:rPr>
              <w:t>32</w:t>
            </w:r>
          </w:p>
        </w:tc>
        <w:tc>
          <w:tcPr>
            <w:tcW w:w="124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3"/>
        </w:trPr>
        <w:tc>
          <w:tcPr>
            <w:tcW w:w="7260" w:type="dxa"/>
            <w:vAlign w:val="bottom"/>
          </w:tcPr>
          <w:p>
            <w:pPr>
              <w:ind w:left="20"/>
              <w:spacing w:after="0"/>
              <w:rPr>
                <w:sz w:val="20"/>
                <w:szCs w:val="20"/>
                <w:color w:val="auto"/>
              </w:rPr>
            </w:pPr>
            <w:r>
              <w:rPr>
                <w:rFonts w:ascii="Arial" w:cs="Arial" w:eastAsia="Arial" w:hAnsi="Arial"/>
                <w:sz w:val="18"/>
                <w:szCs w:val="18"/>
                <w:color w:val="auto"/>
              </w:rPr>
              <w:t>Total value</w:t>
            </w:r>
          </w:p>
        </w:tc>
        <w:tc>
          <w:tcPr>
            <w:tcW w:w="5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8"/>
                <w:szCs w:val="18"/>
                <w:color w:val="auto"/>
              </w:rPr>
              <w:t>510</w:t>
            </w:r>
          </w:p>
        </w:tc>
        <w:tc>
          <w:tcPr>
            <w:tcW w:w="1420" w:type="dxa"/>
            <w:vAlign w:val="bottom"/>
            <w:tcBorders>
              <w:top w:val="single" w:sz="8" w:color="auto"/>
              <w:bottom w:val="single" w:sz="8" w:color="auto"/>
            </w:tcBorders>
            <w:gridSpan w:val="2"/>
          </w:tcPr>
          <w:p>
            <w:pPr>
              <w:jc w:val="right"/>
              <w:ind w:right="128"/>
              <w:spacing w:after="0"/>
              <w:rPr>
                <w:sz w:val="20"/>
                <w:szCs w:val="20"/>
                <w:color w:val="auto"/>
              </w:rPr>
            </w:pPr>
            <w:r>
              <w:rPr>
                <w:rFonts w:ascii="Arial" w:cs="Arial" w:eastAsia="Arial" w:hAnsi="Arial"/>
                <w:sz w:val="18"/>
                <w:szCs w:val="18"/>
                <w:color w:val="auto"/>
              </w:rPr>
              <w:t>357</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bl>
    <w:p>
      <w:pPr>
        <w:spacing w:after="0" w:line="28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of December 31, 2021, there was $1,268 million of unrecognized compensation cost related to the nonvested restricted awards. This cost is expected to be recognized over a weighted-average period of 4.4 years. The compensation cost charged against income for the restricted stock and restricted stock units was $612 million, $672 million, and $741 million for 2021, 2020, and 2019, respectively. The income tax benefit recognized in income related to this compensation expense was $49 million, $51 million, and $51 million for the same periods, respectively. The fair value of shares and units vested in 2021, 2020, and 2019 was $562 million, $367 million, and $647 million, respectively. Cash payments of $48 million, $34 million, and $56 million for vested restricted stock units settled in cash were made in 2021,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Litigation and Other Contingencies</w:t>
      </w:r>
    </w:p>
    <w:p>
      <w:pPr>
        <w:spacing w:after="0" w:line="10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b w:val="1"/>
          <w:bCs w:val="1"/>
          <w:color w:val="auto"/>
        </w:rPr>
        <w:t xml:space="preserve">Litigation. </w:t>
      </w:r>
      <w:r>
        <w:rPr>
          <w:rFonts w:ascii="Arial" w:cs="Arial" w:eastAsia="Arial" w:hAnsi="Arial"/>
          <w:sz w:val="16"/>
          <w:szCs w:val="16"/>
          <w:color w:val="auto"/>
        </w:rPr>
        <w:t>A variety of claims have been made against ExxonMobil and certain of its consolidated subsidiaries in a number of pending lawsuits.</w:t>
      </w:r>
      <w:r>
        <w:rPr>
          <w:rFonts w:ascii="Arial" w:cs="Arial" w:eastAsia="Arial" w:hAnsi="Arial"/>
          <w:sz w:val="16"/>
          <w:szCs w:val="16"/>
          <w:b w:val="1"/>
          <w:bCs w:val="1"/>
          <w:color w:val="auto"/>
        </w:rPr>
        <w:t xml:space="preserve"> </w:t>
      </w:r>
      <w:r>
        <w:rPr>
          <w:rFonts w:ascii="Arial" w:cs="Arial" w:eastAsia="Arial" w:hAnsi="Arial"/>
          <w:sz w:val="16"/>
          <w:szCs w:val="16"/>
          <w:color w:val="auto"/>
        </w:rPr>
        <w:t>Management has regular litigation reviews, including updates from corporate and outside counsel, to assess the need for accounting recognition or disclosure of these contingencies. The Corporation accrues an undiscounted liability for those contingencies where the incurrence of a loss is probable and the amount can be reasonably estimated. If a range of amounts can be reasonably estimated and no amount within the range is a better estimate than any other amount, then the minimum of the range is accrued. The Corporation does not record liabilities when the likelihood that the liability has been incurred is probable but the amount cannot be reasonably estimated or when the liability is believed to be only reasonably possible or remote. For contingencies where an unfavorable outcome is reasonably possible and which are significant, the Corporation discloses the nature of the contingency and, where feasible, an estimate of the possible loss. For purposes of our contingency disclosures, “significant” includes material matters, as well as other matters, which management believes should be disclosed. ExxonMobil will continue to defend itself vigorously in these matters. Based on a consideration of all relevant facts and circumstances, the Corporation does not believe the ultimate outcome of any currently pending lawsuit against ExxonMobil will have a material adverse effect upon the Corporation’s operations, financial condition, or financial statements taken as a whole.</w:t>
      </w:r>
    </w:p>
    <w:p>
      <w:pPr>
        <w:spacing w:after="0" w:line="2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Other Contingencies. </w:t>
      </w:r>
      <w:r>
        <w:rPr>
          <w:rFonts w:ascii="Arial" w:cs="Arial" w:eastAsia="Arial" w:hAnsi="Arial"/>
          <w:sz w:val="18"/>
          <w:szCs w:val="18"/>
          <w:color w:val="auto"/>
        </w:rPr>
        <w:t>The Corporation and certain of its consolidated subsidiaries were contingently liable at December 31, 2021, for guarantees relating</w:t>
      </w:r>
      <w:r>
        <w:rPr>
          <w:rFonts w:ascii="Arial" w:cs="Arial" w:eastAsia="Arial" w:hAnsi="Arial"/>
          <w:sz w:val="18"/>
          <w:szCs w:val="18"/>
          <w:b w:val="1"/>
          <w:bCs w:val="1"/>
          <w:color w:val="auto"/>
        </w:rPr>
        <w:t xml:space="preserve"> </w:t>
      </w:r>
      <w:r>
        <w:rPr>
          <w:rFonts w:ascii="Arial" w:cs="Arial" w:eastAsia="Arial" w:hAnsi="Arial"/>
          <w:sz w:val="18"/>
          <w:szCs w:val="18"/>
          <w:color w:val="auto"/>
        </w:rPr>
        <w:t>to notes, loans and performance under contracts. Where guarantees for environmental remediation and other similar matters do not include a stated cap, the amounts reflect management’s estimate of the maximum potential exposure.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20" w:type="dxa"/>
            <w:vAlign w:val="bottom"/>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center"/>
              <w:ind w:right="280"/>
              <w:spacing w:after="0"/>
              <w:rPr>
                <w:sz w:val="20"/>
                <w:szCs w:val="20"/>
                <w:color w:val="auto"/>
              </w:rPr>
            </w:pPr>
            <w:r>
              <w:rPr>
                <w:rFonts w:ascii="Arial" w:cs="Arial" w:eastAsia="Arial" w:hAnsi="Arial"/>
                <w:sz w:val="14"/>
                <w:szCs w:val="14"/>
                <w:b w:val="1"/>
                <w:bCs w:val="1"/>
                <w:color w:val="auto"/>
                <w:w w:val="91"/>
              </w:rPr>
              <w:t>December 31, 2021</w:t>
            </w:r>
          </w:p>
        </w:tc>
        <w:tc>
          <w:tcPr>
            <w:tcW w:w="1340" w:type="dxa"/>
            <w:vAlign w:val="bottom"/>
            <w:tcBorders>
              <w:bottom w:val="single" w:sz="8" w:color="auto"/>
            </w:tcBorders>
          </w:tcPr>
          <w:p>
            <w:pPr>
              <w:spacing w:after="0"/>
              <w:rPr>
                <w:sz w:val="16"/>
                <w:szCs w:val="16"/>
                <w:color w:val="auto"/>
              </w:rPr>
            </w:pPr>
          </w:p>
        </w:tc>
      </w:tr>
      <w:tr>
        <w:trPr>
          <w:trHeight w:val="206"/>
        </w:trPr>
        <w:tc>
          <w:tcPr>
            <w:tcW w:w="6320" w:type="dxa"/>
            <w:vAlign w:val="bottom"/>
          </w:tcPr>
          <w:p>
            <w:pPr>
              <w:spacing w:after="0"/>
              <w:rPr>
                <w:sz w:val="17"/>
                <w:szCs w:val="17"/>
                <w:color w:val="auto"/>
              </w:rPr>
            </w:pPr>
          </w:p>
        </w:tc>
        <w:tc>
          <w:tcPr>
            <w:tcW w:w="1700" w:type="dxa"/>
            <w:vAlign w:val="bottom"/>
          </w:tcPr>
          <w:p>
            <w:pPr>
              <w:jc w:val="right"/>
              <w:ind w:right="297"/>
              <w:spacing w:after="0"/>
              <w:rPr>
                <w:sz w:val="20"/>
                <w:szCs w:val="20"/>
                <w:color w:val="auto"/>
              </w:rPr>
            </w:pPr>
            <w:r>
              <w:rPr>
                <w:rFonts w:ascii="Arial" w:cs="Arial" w:eastAsia="Arial" w:hAnsi="Arial"/>
                <w:sz w:val="14"/>
                <w:szCs w:val="14"/>
                <w:b w:val="1"/>
                <w:bCs w:val="1"/>
                <w:color w:val="auto"/>
              </w:rPr>
              <w:t>Equity Company</w:t>
            </w:r>
          </w:p>
        </w:tc>
        <w:tc>
          <w:tcPr>
            <w:tcW w:w="1880" w:type="dxa"/>
            <w:vAlign w:val="bottom"/>
          </w:tcPr>
          <w:p>
            <w:pPr>
              <w:jc w:val="center"/>
              <w:ind w:right="280"/>
              <w:spacing w:after="0"/>
              <w:rPr>
                <w:sz w:val="20"/>
                <w:szCs w:val="20"/>
                <w:color w:val="auto"/>
              </w:rPr>
            </w:pPr>
            <w:r>
              <w:rPr>
                <w:rFonts w:ascii="Arial" w:cs="Arial" w:eastAsia="Arial" w:hAnsi="Arial"/>
                <w:sz w:val="14"/>
                <w:szCs w:val="14"/>
                <w:b w:val="1"/>
                <w:bCs w:val="1"/>
                <w:color w:val="auto"/>
              </w:rPr>
              <w:t>Other Third-Party</w:t>
            </w:r>
          </w:p>
        </w:tc>
        <w:tc>
          <w:tcPr>
            <w:tcW w:w="1340" w:type="dxa"/>
            <w:vAlign w:val="bottom"/>
          </w:tcPr>
          <w:p>
            <w:pPr>
              <w:spacing w:after="0"/>
              <w:rPr>
                <w:sz w:val="17"/>
                <w:szCs w:val="17"/>
                <w:color w:val="auto"/>
              </w:rPr>
            </w:pPr>
          </w:p>
        </w:tc>
      </w:tr>
      <w:tr>
        <w:trPr>
          <w:trHeight w:val="200"/>
        </w:trPr>
        <w:tc>
          <w:tcPr>
            <w:tcW w:w="6320" w:type="dxa"/>
            <w:vAlign w:val="bottom"/>
          </w:tcPr>
          <w:p>
            <w:pPr>
              <w:spacing w:after="0"/>
              <w:rPr>
                <w:sz w:val="17"/>
                <w:szCs w:val="17"/>
                <w:color w:val="auto"/>
              </w:rPr>
            </w:pPr>
          </w:p>
        </w:tc>
        <w:tc>
          <w:tcPr>
            <w:tcW w:w="1700" w:type="dxa"/>
            <w:vAlign w:val="bottom"/>
          </w:tcPr>
          <w:p>
            <w:pPr>
              <w:jc w:val="right"/>
              <w:ind w:right="357"/>
              <w:spacing w:after="0"/>
              <w:rPr>
                <w:sz w:val="20"/>
                <w:szCs w:val="20"/>
                <w:color w:val="auto"/>
              </w:rPr>
            </w:pPr>
            <w:r>
              <w:rPr>
                <w:rFonts w:ascii="Arial" w:cs="Arial" w:eastAsia="Arial" w:hAnsi="Arial"/>
                <w:sz w:val="14"/>
                <w:szCs w:val="14"/>
                <w:b w:val="1"/>
                <w:bCs w:val="1"/>
                <w:color w:val="auto"/>
              </w:rPr>
              <w:t xml:space="preserve">Obligations </w:t>
            </w:r>
            <w:r>
              <w:rPr>
                <w:rFonts w:ascii="Arial" w:cs="Arial" w:eastAsia="Arial" w:hAnsi="Arial"/>
                <w:sz w:val="14"/>
                <w:szCs w:val="14"/>
                <w:i w:val="1"/>
                <w:iCs w:val="1"/>
                <w:color w:val="auto"/>
              </w:rPr>
              <w:t>(1)</w:t>
            </w:r>
          </w:p>
        </w:tc>
        <w:tc>
          <w:tcPr>
            <w:tcW w:w="1880" w:type="dxa"/>
            <w:vAlign w:val="bottom"/>
          </w:tcPr>
          <w:p>
            <w:pPr>
              <w:jc w:val="center"/>
              <w:ind w:right="280"/>
              <w:spacing w:after="0"/>
              <w:rPr>
                <w:sz w:val="20"/>
                <w:szCs w:val="20"/>
                <w:color w:val="auto"/>
              </w:rPr>
            </w:pPr>
            <w:r>
              <w:rPr>
                <w:rFonts w:ascii="Arial" w:cs="Arial" w:eastAsia="Arial" w:hAnsi="Arial"/>
                <w:sz w:val="14"/>
                <w:szCs w:val="14"/>
                <w:b w:val="1"/>
                <w:bCs w:val="1"/>
                <w:color w:val="auto"/>
                <w:w w:val="93"/>
              </w:rPr>
              <w:t>Obligations</w:t>
            </w:r>
          </w:p>
        </w:tc>
        <w:tc>
          <w:tcPr>
            <w:tcW w:w="1340" w:type="dxa"/>
            <w:vAlign w:val="bottom"/>
          </w:tcPr>
          <w:p>
            <w:pPr>
              <w:jc w:val="right"/>
              <w:ind w:right="535"/>
              <w:spacing w:after="0"/>
              <w:rPr>
                <w:sz w:val="20"/>
                <w:szCs w:val="20"/>
                <w:color w:val="auto"/>
              </w:rPr>
            </w:pPr>
            <w:r>
              <w:rPr>
                <w:rFonts w:ascii="Arial" w:cs="Arial" w:eastAsia="Arial" w:hAnsi="Arial"/>
                <w:sz w:val="14"/>
                <w:szCs w:val="14"/>
                <w:b w:val="1"/>
                <w:bCs w:val="1"/>
                <w:color w:val="auto"/>
              </w:rPr>
              <w:t>Total</w:t>
            </w:r>
          </w:p>
        </w:tc>
      </w:tr>
      <w:tr>
        <w:trPr>
          <w:trHeight w:val="26"/>
        </w:trPr>
        <w:tc>
          <w:tcPr>
            <w:tcW w:w="63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1"/>
        </w:trPr>
        <w:tc>
          <w:tcPr>
            <w:tcW w:w="6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880" w:type="dxa"/>
            <w:vAlign w:val="bottom"/>
          </w:tcPr>
          <w:p>
            <w:pPr>
              <w:jc w:val="center"/>
              <w:ind w:right="280"/>
              <w:spacing w:after="0"/>
              <w:rPr>
                <w:sz w:val="20"/>
                <w:szCs w:val="20"/>
                <w:color w:val="auto"/>
              </w:rPr>
            </w:pPr>
            <w:r>
              <w:rPr>
                <w:rFonts w:ascii="Arial" w:cs="Arial" w:eastAsia="Arial" w:hAnsi="Arial"/>
                <w:sz w:val="14"/>
                <w:szCs w:val="14"/>
                <w:i w:val="1"/>
                <w:iCs w:val="1"/>
                <w:color w:val="auto"/>
                <w:w w:val="99"/>
              </w:rPr>
              <w:t>(millions of dollars)</w:t>
            </w:r>
          </w:p>
        </w:tc>
        <w:tc>
          <w:tcPr>
            <w:tcW w:w="1340" w:type="dxa"/>
            <w:vAlign w:val="bottom"/>
          </w:tcPr>
          <w:p>
            <w:pPr>
              <w:spacing w:after="0"/>
              <w:rPr>
                <w:sz w:val="18"/>
                <w:szCs w:val="18"/>
                <w:color w:val="auto"/>
              </w:rPr>
            </w:pPr>
          </w:p>
        </w:tc>
      </w:tr>
      <w:tr>
        <w:trPr>
          <w:trHeight w:val="241"/>
        </w:trPr>
        <w:tc>
          <w:tcPr>
            <w:tcW w:w="6320" w:type="dxa"/>
            <w:vAlign w:val="bottom"/>
          </w:tcPr>
          <w:p>
            <w:pPr>
              <w:jc w:val="right"/>
              <w:ind w:right="5390"/>
              <w:spacing w:after="0"/>
              <w:rPr>
                <w:sz w:val="20"/>
                <w:szCs w:val="20"/>
                <w:color w:val="auto"/>
              </w:rPr>
            </w:pPr>
            <w:r>
              <w:rPr>
                <w:rFonts w:ascii="Arial" w:cs="Arial" w:eastAsia="Arial" w:hAnsi="Arial"/>
                <w:sz w:val="18"/>
                <w:szCs w:val="18"/>
                <w:color w:val="auto"/>
                <w:w w:val="87"/>
              </w:rPr>
              <w:t>Guarantees</w:t>
            </w:r>
          </w:p>
        </w:tc>
        <w:tc>
          <w:tcPr>
            <w:tcW w:w="17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30"/>
        </w:trPr>
        <w:tc>
          <w:tcPr>
            <w:tcW w:w="6320" w:type="dxa"/>
            <w:vAlign w:val="bottom"/>
          </w:tcPr>
          <w:p>
            <w:pPr>
              <w:ind w:left="220"/>
              <w:spacing w:after="0"/>
              <w:rPr>
                <w:sz w:val="20"/>
                <w:szCs w:val="20"/>
                <w:color w:val="auto"/>
              </w:rPr>
            </w:pPr>
            <w:r>
              <w:rPr>
                <w:rFonts w:ascii="Arial" w:cs="Arial" w:eastAsia="Arial" w:hAnsi="Arial"/>
                <w:sz w:val="18"/>
                <w:szCs w:val="18"/>
                <w:color w:val="auto"/>
              </w:rPr>
              <w:t>Debt-related</w:t>
            </w:r>
          </w:p>
        </w:tc>
        <w:tc>
          <w:tcPr>
            <w:tcW w:w="1700" w:type="dxa"/>
            <w:vAlign w:val="bottom"/>
          </w:tcPr>
          <w:p>
            <w:pPr>
              <w:jc w:val="right"/>
              <w:ind w:right="117"/>
              <w:spacing w:after="0"/>
              <w:rPr>
                <w:sz w:val="20"/>
                <w:szCs w:val="20"/>
                <w:color w:val="auto"/>
              </w:rPr>
            </w:pPr>
            <w:r>
              <w:rPr>
                <w:rFonts w:ascii="Arial" w:cs="Arial" w:eastAsia="Arial" w:hAnsi="Arial"/>
                <w:sz w:val="18"/>
                <w:szCs w:val="18"/>
                <w:color w:val="auto"/>
              </w:rPr>
              <w:t>1,109</w:t>
            </w:r>
          </w:p>
        </w:tc>
        <w:tc>
          <w:tcPr>
            <w:tcW w:w="1880" w:type="dxa"/>
            <w:vAlign w:val="bottom"/>
          </w:tcPr>
          <w:p>
            <w:pPr>
              <w:jc w:val="right"/>
              <w:ind w:right="320"/>
              <w:spacing w:after="0"/>
              <w:rPr>
                <w:sz w:val="20"/>
                <w:szCs w:val="20"/>
                <w:color w:val="auto"/>
              </w:rPr>
            </w:pPr>
            <w:r>
              <w:rPr>
                <w:rFonts w:ascii="Arial" w:cs="Arial" w:eastAsia="Arial" w:hAnsi="Arial"/>
                <w:sz w:val="18"/>
                <w:szCs w:val="18"/>
                <w:color w:val="auto"/>
              </w:rPr>
              <w:t>140</w:t>
            </w:r>
          </w:p>
        </w:tc>
        <w:tc>
          <w:tcPr>
            <w:tcW w:w="1340" w:type="dxa"/>
            <w:vAlign w:val="bottom"/>
          </w:tcPr>
          <w:p>
            <w:pPr>
              <w:jc w:val="right"/>
              <w:spacing w:after="0"/>
              <w:rPr>
                <w:sz w:val="20"/>
                <w:szCs w:val="20"/>
                <w:color w:val="auto"/>
              </w:rPr>
            </w:pPr>
            <w:r>
              <w:rPr>
                <w:rFonts w:ascii="Arial" w:cs="Arial" w:eastAsia="Arial" w:hAnsi="Arial"/>
                <w:sz w:val="18"/>
                <w:szCs w:val="18"/>
                <w:color w:val="auto"/>
              </w:rPr>
              <w:t>1,249</w:t>
            </w:r>
          </w:p>
        </w:tc>
      </w:tr>
      <w:tr>
        <w:trPr>
          <w:trHeight w:val="230"/>
        </w:trPr>
        <w:tc>
          <w:tcPr>
            <w:tcW w:w="6320" w:type="dxa"/>
            <w:vAlign w:val="bottom"/>
          </w:tcPr>
          <w:p>
            <w:pPr>
              <w:ind w:left="220"/>
              <w:spacing w:after="0"/>
              <w:rPr>
                <w:sz w:val="20"/>
                <w:szCs w:val="20"/>
                <w:color w:val="auto"/>
              </w:rPr>
            </w:pPr>
            <w:r>
              <w:rPr>
                <w:rFonts w:ascii="Arial" w:cs="Arial" w:eastAsia="Arial" w:hAnsi="Arial"/>
                <w:sz w:val="18"/>
                <w:szCs w:val="18"/>
                <w:color w:val="auto"/>
              </w:rPr>
              <w:t>Other</w:t>
            </w:r>
          </w:p>
        </w:tc>
        <w:tc>
          <w:tcPr>
            <w:tcW w:w="1700" w:type="dxa"/>
            <w:vAlign w:val="bottom"/>
            <w:tcBorders>
              <w:bottom w:val="single" w:sz="8" w:color="auto"/>
            </w:tcBorders>
          </w:tcPr>
          <w:p>
            <w:pPr>
              <w:jc w:val="right"/>
              <w:ind w:right="117"/>
              <w:spacing w:after="0"/>
              <w:rPr>
                <w:sz w:val="20"/>
                <w:szCs w:val="20"/>
                <w:color w:val="auto"/>
              </w:rPr>
            </w:pPr>
            <w:r>
              <w:rPr>
                <w:rFonts w:ascii="Arial" w:cs="Arial" w:eastAsia="Arial" w:hAnsi="Arial"/>
                <w:sz w:val="18"/>
                <w:szCs w:val="18"/>
                <w:color w:val="auto"/>
              </w:rPr>
              <w:t>775</w:t>
            </w:r>
          </w:p>
        </w:tc>
        <w:tc>
          <w:tcPr>
            <w:tcW w:w="1880" w:type="dxa"/>
            <w:vAlign w:val="bottom"/>
            <w:tcBorders>
              <w:bottom w:val="single" w:sz="8" w:color="auto"/>
            </w:tcBorders>
          </w:tcPr>
          <w:p>
            <w:pPr>
              <w:jc w:val="right"/>
              <w:ind w:right="320"/>
              <w:spacing w:after="0"/>
              <w:rPr>
                <w:sz w:val="20"/>
                <w:szCs w:val="20"/>
                <w:color w:val="auto"/>
              </w:rPr>
            </w:pPr>
            <w:r>
              <w:rPr>
                <w:rFonts w:ascii="Arial" w:cs="Arial" w:eastAsia="Arial" w:hAnsi="Arial"/>
                <w:sz w:val="18"/>
                <w:szCs w:val="18"/>
                <w:color w:val="auto"/>
              </w:rPr>
              <w:t>6,498</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7,273</w:t>
            </w:r>
          </w:p>
        </w:tc>
      </w:tr>
      <w:tr>
        <w:trPr>
          <w:trHeight w:val="223"/>
        </w:trPr>
        <w:tc>
          <w:tcPr>
            <w:tcW w:w="6320" w:type="dxa"/>
            <w:vAlign w:val="bottom"/>
          </w:tcPr>
          <w:p>
            <w:pPr>
              <w:jc w:val="right"/>
              <w:ind w:right="5390"/>
              <w:spacing w:after="0"/>
              <w:rPr>
                <w:sz w:val="20"/>
                <w:szCs w:val="20"/>
                <w:color w:val="auto"/>
              </w:rPr>
            </w:pPr>
            <w:r>
              <w:rPr>
                <w:rFonts w:ascii="Arial" w:cs="Arial" w:eastAsia="Arial" w:hAnsi="Arial"/>
                <w:sz w:val="18"/>
                <w:szCs w:val="18"/>
                <w:color w:val="auto"/>
              </w:rPr>
              <w:t>Total</w:t>
            </w:r>
          </w:p>
        </w:tc>
        <w:tc>
          <w:tcPr>
            <w:tcW w:w="1700" w:type="dxa"/>
            <w:vAlign w:val="bottom"/>
            <w:tcBorders>
              <w:bottom w:val="single" w:sz="8" w:color="auto"/>
            </w:tcBorders>
          </w:tcPr>
          <w:p>
            <w:pPr>
              <w:jc w:val="right"/>
              <w:ind w:right="117"/>
              <w:spacing w:after="0"/>
              <w:rPr>
                <w:sz w:val="20"/>
                <w:szCs w:val="20"/>
                <w:color w:val="auto"/>
              </w:rPr>
            </w:pPr>
            <w:r>
              <w:rPr>
                <w:rFonts w:ascii="Arial" w:cs="Arial" w:eastAsia="Arial" w:hAnsi="Arial"/>
                <w:sz w:val="18"/>
                <w:szCs w:val="18"/>
                <w:color w:val="auto"/>
              </w:rPr>
              <w:t>1,884</w:t>
            </w:r>
          </w:p>
        </w:tc>
        <w:tc>
          <w:tcPr>
            <w:tcW w:w="1880" w:type="dxa"/>
            <w:vAlign w:val="bottom"/>
            <w:tcBorders>
              <w:bottom w:val="single" w:sz="8" w:color="auto"/>
            </w:tcBorders>
          </w:tcPr>
          <w:p>
            <w:pPr>
              <w:jc w:val="right"/>
              <w:ind w:right="320"/>
              <w:spacing w:after="0"/>
              <w:rPr>
                <w:sz w:val="20"/>
                <w:szCs w:val="20"/>
                <w:color w:val="auto"/>
              </w:rPr>
            </w:pPr>
            <w:r>
              <w:rPr>
                <w:rFonts w:ascii="Arial" w:cs="Arial" w:eastAsia="Arial" w:hAnsi="Arial"/>
                <w:sz w:val="18"/>
                <w:szCs w:val="18"/>
                <w:color w:val="auto"/>
              </w:rPr>
              <w:t>6,638</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8,522</w:t>
            </w: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 ExxonMobil share.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Additionally, the Corporation and its affiliates have numerous long-term sales and purchase commitments in their various business activities, all of which are expected to be fulfilled with no adverse consequences material to the Corporation’s operations or financial condition.</w:t>
      </w:r>
    </w:p>
    <w:p>
      <w:pPr>
        <w:spacing w:after="0" w:line="4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Corporation has previously provided disclosure regarding (i) claims being pursued by the Corporation against the Venezuelan National Oil Company in connection with a 2007 Venezuelan nationalization decree, and (ii) claims being pursued by the Corporation against the Nigerian National Petroleum Corporation in connection with a dispute involving crude oil lifting entitlements which was originally subject to arbitration in 2011. Both matters remain ongoing but, as previously disclosed, the Corporation does not expect the ultimate resolution of either matter to have a material effect upon the Corporation’s operations or financial condition. In the interest of disclosure simplification, the Corporation will no longer include specific disclosure of these matters in its annual or quarterly reports unless future developments alter the foregoing conclusions.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Pension and Other Postretirement Benefits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benefit obligations and plan assets associated with the Corporation’s principal benefit plans are measured on December 31.</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180" w:type="dxa"/>
            <w:vAlign w:val="bottom"/>
            <w:gridSpan w:val="3"/>
          </w:tcPr>
          <w:p>
            <w:pPr>
              <w:jc w:val="right"/>
              <w:ind w:right="795"/>
              <w:spacing w:after="0"/>
              <w:rPr>
                <w:sz w:val="20"/>
                <w:szCs w:val="20"/>
                <w:color w:val="auto"/>
              </w:rPr>
            </w:pPr>
            <w:r>
              <w:rPr>
                <w:rFonts w:ascii="Arial" w:cs="Arial" w:eastAsia="Arial" w:hAnsi="Arial"/>
                <w:sz w:val="14"/>
                <w:szCs w:val="14"/>
                <w:b w:val="1"/>
                <w:bCs w:val="1"/>
                <w:color w:val="auto"/>
              </w:rPr>
              <w:t>Pension Benefits</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80" w:type="dxa"/>
            <w:vAlign w:val="bottom"/>
            <w:gridSpan w:val="2"/>
          </w:tcPr>
          <w:p>
            <w:pPr>
              <w:jc w:val="right"/>
              <w:ind w:right="252"/>
              <w:spacing w:after="0"/>
              <w:rPr>
                <w:sz w:val="20"/>
                <w:szCs w:val="20"/>
                <w:color w:val="auto"/>
              </w:rPr>
            </w:pPr>
            <w:r>
              <w:rPr>
                <w:rFonts w:ascii="Arial" w:cs="Arial" w:eastAsia="Arial" w:hAnsi="Arial"/>
                <w:sz w:val="14"/>
                <w:szCs w:val="14"/>
                <w:b w:val="1"/>
                <w:bCs w:val="1"/>
                <w:color w:val="auto"/>
              </w:rPr>
              <w:t>Other Postretirement</w:t>
            </w:r>
          </w:p>
        </w:tc>
        <w:tc>
          <w:tcPr>
            <w:tcW w:w="0" w:type="dxa"/>
            <w:vAlign w:val="bottom"/>
          </w:tcPr>
          <w:p>
            <w:pPr>
              <w:spacing w:after="0"/>
              <w:rPr>
                <w:sz w:val="1"/>
                <w:szCs w:val="1"/>
                <w:color w:val="auto"/>
              </w:rPr>
            </w:pPr>
          </w:p>
        </w:tc>
      </w:tr>
      <w:tr>
        <w:trPr>
          <w:trHeight w:val="39"/>
        </w:trPr>
        <w:tc>
          <w:tcPr>
            <w:tcW w:w="5060" w:type="dxa"/>
            <w:vAlign w:val="bottom"/>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3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Benefits</w:t>
            </w:r>
          </w:p>
        </w:tc>
        <w:tc>
          <w:tcPr>
            <w:tcW w:w="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5060" w:type="dxa"/>
            <w:vAlign w:val="bottom"/>
          </w:tcPr>
          <w:p>
            <w:pPr>
              <w:spacing w:after="0"/>
              <w:rPr>
                <w:sz w:val="16"/>
                <w:szCs w:val="16"/>
                <w:color w:val="auto"/>
              </w:rPr>
            </w:pPr>
          </w:p>
        </w:tc>
        <w:tc>
          <w:tcPr>
            <w:tcW w:w="1240" w:type="dxa"/>
            <w:vAlign w:val="bottom"/>
          </w:tcPr>
          <w:p>
            <w:pPr>
              <w:jc w:val="right"/>
              <w:ind w:right="33"/>
              <w:spacing w:after="0"/>
              <w:rPr>
                <w:sz w:val="20"/>
                <w:szCs w:val="20"/>
                <w:color w:val="auto"/>
              </w:rPr>
            </w:pPr>
            <w:r>
              <w:rPr>
                <w:rFonts w:ascii="Arial" w:cs="Arial" w:eastAsia="Arial" w:hAnsi="Arial"/>
                <w:sz w:val="14"/>
                <w:szCs w:val="14"/>
                <w:b w:val="1"/>
                <w:bCs w:val="1"/>
                <w:color w:val="auto"/>
              </w:rPr>
              <w:t>U.S.</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center"/>
              <w:ind w:left="575"/>
              <w:spacing w:after="0"/>
              <w:rPr>
                <w:sz w:val="20"/>
                <w:szCs w:val="20"/>
                <w:color w:val="auto"/>
              </w:rPr>
            </w:pPr>
            <w:r>
              <w:rPr>
                <w:rFonts w:ascii="Arial" w:cs="Arial" w:eastAsia="Arial" w:hAnsi="Arial"/>
                <w:sz w:val="14"/>
                <w:szCs w:val="14"/>
                <w:b w:val="1"/>
                <w:bCs w:val="1"/>
                <w:color w:val="auto"/>
                <w:w w:val="94"/>
              </w:rPr>
              <w:t>Non-U.S.</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06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50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7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2021</w:t>
            </w:r>
          </w:p>
        </w:tc>
        <w:tc>
          <w:tcPr>
            <w:tcW w:w="68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0"/>
        </w:trPr>
        <w:tc>
          <w:tcPr>
            <w:tcW w:w="50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center"/>
              <w:ind w:left="575"/>
              <w:spacing w:after="0"/>
              <w:rPr>
                <w:sz w:val="20"/>
                <w:szCs w:val="20"/>
                <w:color w:val="auto"/>
              </w:rPr>
            </w:pPr>
            <w:r>
              <w:rPr>
                <w:rFonts w:ascii="Arial" w:cs="Arial" w:eastAsia="Arial" w:hAnsi="Arial"/>
                <w:sz w:val="14"/>
                <w:szCs w:val="14"/>
                <w:i w:val="1"/>
                <w:iCs w:val="1"/>
                <w:color w:val="auto"/>
                <w:w w:val="92"/>
              </w:rPr>
              <w:t>(percent)</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060" w:type="dxa"/>
            <w:vAlign w:val="bottom"/>
          </w:tcPr>
          <w:p>
            <w:pPr>
              <w:ind w:left="20"/>
              <w:spacing w:after="0"/>
              <w:rPr>
                <w:sz w:val="20"/>
                <w:szCs w:val="20"/>
                <w:color w:val="auto"/>
              </w:rPr>
            </w:pPr>
            <w:r>
              <w:rPr>
                <w:rFonts w:ascii="Arial" w:cs="Arial" w:eastAsia="Arial" w:hAnsi="Arial"/>
                <w:sz w:val="18"/>
                <w:szCs w:val="18"/>
                <w:color w:val="auto"/>
                <w:w w:val="90"/>
              </w:rPr>
              <w:t>Weighted-average assumptions used to determine benefit obligations</w:t>
            </w:r>
          </w:p>
        </w:tc>
        <w:tc>
          <w:tcPr>
            <w:tcW w:w="1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60" w:type="dxa"/>
            <w:vAlign w:val="bottom"/>
          </w:tcPr>
          <w:p>
            <w:pPr>
              <w:ind w:left="360"/>
              <w:spacing w:after="0"/>
              <w:rPr>
                <w:sz w:val="20"/>
                <w:szCs w:val="20"/>
                <w:color w:val="auto"/>
              </w:rPr>
            </w:pPr>
            <w:r>
              <w:rPr>
                <w:rFonts w:ascii="Arial" w:cs="Arial" w:eastAsia="Arial" w:hAnsi="Arial"/>
                <w:sz w:val="18"/>
                <w:szCs w:val="18"/>
                <w:color w:val="auto"/>
              </w:rPr>
              <w:t>at December 31</w:t>
            </w:r>
          </w:p>
        </w:tc>
        <w:tc>
          <w:tcPr>
            <w:tcW w:w="1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tcPr>
          <w:p>
            <w:pPr>
              <w:ind w:left="220"/>
              <w:spacing w:after="0"/>
              <w:rPr>
                <w:sz w:val="20"/>
                <w:szCs w:val="20"/>
                <w:color w:val="auto"/>
              </w:rPr>
            </w:pPr>
            <w:r>
              <w:rPr>
                <w:rFonts w:ascii="Arial" w:cs="Arial" w:eastAsia="Arial" w:hAnsi="Arial"/>
                <w:sz w:val="18"/>
                <w:szCs w:val="18"/>
                <w:color w:val="auto"/>
              </w:rPr>
              <w:t>Discount rate</w:t>
            </w:r>
          </w:p>
        </w:tc>
        <w:tc>
          <w:tcPr>
            <w:tcW w:w="1240" w:type="dxa"/>
            <w:vAlign w:val="bottom"/>
          </w:tcPr>
          <w:p>
            <w:pPr>
              <w:jc w:val="right"/>
              <w:ind w:right="293"/>
              <w:spacing w:after="0"/>
              <w:rPr>
                <w:sz w:val="20"/>
                <w:szCs w:val="20"/>
                <w:color w:val="auto"/>
              </w:rPr>
            </w:pPr>
            <w:r>
              <w:rPr>
                <w:rFonts w:ascii="Arial" w:cs="Arial" w:eastAsia="Arial" w:hAnsi="Arial"/>
                <w:sz w:val="18"/>
                <w:szCs w:val="18"/>
                <w:color w:val="auto"/>
              </w:rPr>
              <w:t>3.00</w:t>
            </w:r>
          </w:p>
        </w:tc>
        <w:tc>
          <w:tcPr>
            <w:tcW w:w="740" w:type="dxa"/>
            <w:vAlign w:val="bottom"/>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19"/>
                <w:szCs w:val="19"/>
                <w:color w:val="auto"/>
              </w:rPr>
            </w:pPr>
          </w:p>
        </w:tc>
        <w:tc>
          <w:tcPr>
            <w:tcW w:w="1340" w:type="dxa"/>
            <w:vAlign w:val="bottom"/>
          </w:tcPr>
          <w:p>
            <w:pPr>
              <w:jc w:val="right"/>
              <w:ind w:right="375"/>
              <w:spacing w:after="0"/>
              <w:rPr>
                <w:sz w:val="20"/>
                <w:szCs w:val="20"/>
                <w:color w:val="auto"/>
              </w:rPr>
            </w:pPr>
            <w:r>
              <w:rPr>
                <w:rFonts w:ascii="Arial" w:cs="Arial" w:eastAsia="Arial" w:hAnsi="Arial"/>
                <w:sz w:val="18"/>
                <w:szCs w:val="18"/>
                <w:color w:val="auto"/>
              </w:rPr>
              <w:t>2.20</w:t>
            </w:r>
          </w:p>
        </w:tc>
        <w:tc>
          <w:tcPr>
            <w:tcW w:w="660" w:type="dxa"/>
            <w:vAlign w:val="bottom"/>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19"/>
                <w:szCs w:val="19"/>
                <w:color w:val="auto"/>
              </w:rPr>
            </w:pPr>
          </w:p>
        </w:tc>
        <w:tc>
          <w:tcPr>
            <w:tcW w:w="1300" w:type="dxa"/>
            <w:vAlign w:val="bottom"/>
          </w:tcPr>
          <w:p>
            <w:pPr>
              <w:jc w:val="right"/>
              <w:ind w:right="354"/>
              <w:spacing w:after="0"/>
              <w:rPr>
                <w:sz w:val="20"/>
                <w:szCs w:val="20"/>
                <w:color w:val="auto"/>
              </w:rPr>
            </w:pPr>
            <w:r>
              <w:rPr>
                <w:rFonts w:ascii="Arial" w:cs="Arial" w:eastAsia="Arial" w:hAnsi="Arial"/>
                <w:sz w:val="18"/>
                <w:szCs w:val="18"/>
                <w:color w:val="auto"/>
              </w:rPr>
              <w:t>3.10</w:t>
            </w:r>
          </w:p>
        </w:tc>
        <w:tc>
          <w:tcPr>
            <w:tcW w:w="680" w:type="dxa"/>
            <w:vAlign w:val="bottom"/>
          </w:tcPr>
          <w:p>
            <w:pPr>
              <w:jc w:val="right"/>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30"/>
        </w:trPr>
        <w:tc>
          <w:tcPr>
            <w:tcW w:w="5060" w:type="dxa"/>
            <w:vAlign w:val="bottom"/>
          </w:tcPr>
          <w:p>
            <w:pPr>
              <w:ind w:left="220"/>
              <w:spacing w:after="0"/>
              <w:rPr>
                <w:sz w:val="20"/>
                <w:szCs w:val="20"/>
                <w:color w:val="auto"/>
              </w:rPr>
            </w:pPr>
            <w:r>
              <w:rPr>
                <w:rFonts w:ascii="Arial" w:cs="Arial" w:eastAsia="Arial" w:hAnsi="Arial"/>
                <w:sz w:val="18"/>
                <w:szCs w:val="18"/>
                <w:color w:val="auto"/>
              </w:rPr>
              <w:t>Long-term rate of compensation increase</w:t>
            </w:r>
          </w:p>
        </w:tc>
        <w:tc>
          <w:tcPr>
            <w:tcW w:w="1240" w:type="dxa"/>
            <w:vAlign w:val="bottom"/>
          </w:tcPr>
          <w:p>
            <w:pPr>
              <w:jc w:val="right"/>
              <w:ind w:right="293"/>
              <w:spacing w:after="0"/>
              <w:rPr>
                <w:sz w:val="20"/>
                <w:szCs w:val="20"/>
                <w:color w:val="auto"/>
              </w:rPr>
            </w:pPr>
            <w:r>
              <w:rPr>
                <w:rFonts w:ascii="Arial" w:cs="Arial" w:eastAsia="Arial" w:hAnsi="Arial"/>
                <w:sz w:val="18"/>
                <w:szCs w:val="18"/>
                <w:color w:val="auto"/>
              </w:rPr>
              <w:t>4.50</w:t>
            </w:r>
          </w:p>
        </w:tc>
        <w:tc>
          <w:tcPr>
            <w:tcW w:w="740" w:type="dxa"/>
            <w:vAlign w:val="bottom"/>
          </w:tcPr>
          <w:p>
            <w:pPr>
              <w:jc w:val="right"/>
              <w:spacing w:after="0"/>
              <w:rPr>
                <w:sz w:val="20"/>
                <w:szCs w:val="20"/>
                <w:color w:val="auto"/>
              </w:rPr>
            </w:pPr>
            <w:r>
              <w:rPr>
                <w:rFonts w:ascii="Arial" w:cs="Arial" w:eastAsia="Arial" w:hAnsi="Arial"/>
                <w:sz w:val="18"/>
                <w:szCs w:val="18"/>
                <w:color w:val="auto"/>
              </w:rPr>
              <w:t>5.50</w:t>
            </w:r>
          </w:p>
        </w:tc>
        <w:tc>
          <w:tcPr>
            <w:tcW w:w="100" w:type="dxa"/>
            <w:vAlign w:val="bottom"/>
          </w:tcPr>
          <w:p>
            <w:pPr>
              <w:spacing w:after="0"/>
              <w:rPr>
                <w:sz w:val="20"/>
                <w:szCs w:val="20"/>
                <w:color w:val="auto"/>
              </w:rPr>
            </w:pPr>
          </w:p>
        </w:tc>
        <w:tc>
          <w:tcPr>
            <w:tcW w:w="1340" w:type="dxa"/>
            <w:vAlign w:val="bottom"/>
          </w:tcPr>
          <w:p>
            <w:pPr>
              <w:jc w:val="right"/>
              <w:ind w:right="375"/>
              <w:spacing w:after="0"/>
              <w:rPr>
                <w:sz w:val="20"/>
                <w:szCs w:val="20"/>
                <w:color w:val="auto"/>
              </w:rPr>
            </w:pPr>
            <w:r>
              <w:rPr>
                <w:rFonts w:ascii="Arial" w:cs="Arial" w:eastAsia="Arial" w:hAnsi="Arial"/>
                <w:sz w:val="18"/>
                <w:szCs w:val="18"/>
                <w:color w:val="auto"/>
              </w:rPr>
              <w:t>4.20</w:t>
            </w:r>
          </w:p>
        </w:tc>
        <w:tc>
          <w:tcPr>
            <w:tcW w:w="660" w:type="dxa"/>
            <w:vAlign w:val="bottom"/>
          </w:tcPr>
          <w:p>
            <w:pPr>
              <w:jc w:val="right"/>
              <w:spacing w:after="0"/>
              <w:rPr>
                <w:sz w:val="20"/>
                <w:szCs w:val="20"/>
                <w:color w:val="auto"/>
              </w:rPr>
            </w:pPr>
            <w:r>
              <w:rPr>
                <w:rFonts w:ascii="Arial" w:cs="Arial" w:eastAsia="Arial" w:hAnsi="Arial"/>
                <w:sz w:val="18"/>
                <w:szCs w:val="18"/>
                <w:color w:val="auto"/>
              </w:rPr>
              <w:t>4.20</w:t>
            </w:r>
          </w:p>
        </w:tc>
        <w:tc>
          <w:tcPr>
            <w:tcW w:w="120" w:type="dxa"/>
            <w:vAlign w:val="bottom"/>
          </w:tcPr>
          <w:p>
            <w:pPr>
              <w:spacing w:after="0"/>
              <w:rPr>
                <w:sz w:val="20"/>
                <w:szCs w:val="20"/>
                <w:color w:val="auto"/>
              </w:rPr>
            </w:pPr>
          </w:p>
        </w:tc>
        <w:tc>
          <w:tcPr>
            <w:tcW w:w="1300" w:type="dxa"/>
            <w:vAlign w:val="bottom"/>
          </w:tcPr>
          <w:p>
            <w:pPr>
              <w:jc w:val="right"/>
              <w:ind w:right="354"/>
              <w:spacing w:after="0"/>
              <w:rPr>
                <w:sz w:val="20"/>
                <w:szCs w:val="20"/>
                <w:color w:val="auto"/>
              </w:rPr>
            </w:pPr>
            <w:r>
              <w:rPr>
                <w:rFonts w:ascii="Arial" w:cs="Arial" w:eastAsia="Arial" w:hAnsi="Arial"/>
                <w:sz w:val="18"/>
                <w:szCs w:val="18"/>
                <w:color w:val="auto"/>
              </w:rPr>
              <w:t>4.50</w:t>
            </w:r>
          </w:p>
        </w:tc>
        <w:tc>
          <w:tcPr>
            <w:tcW w:w="680" w:type="dxa"/>
            <w:vAlign w:val="bottom"/>
          </w:tcPr>
          <w:p>
            <w:pPr>
              <w:jc w:val="right"/>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352"/>
        </w:trPr>
        <w:tc>
          <w:tcPr>
            <w:tcW w:w="50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20" w:type="dxa"/>
            <w:vAlign w:val="bottom"/>
            <w:gridSpan w:val="3"/>
          </w:tcPr>
          <w:p>
            <w:pPr>
              <w:jc w:val="center"/>
              <w:ind w:right="100"/>
              <w:spacing w:after="0"/>
              <w:rPr>
                <w:sz w:val="20"/>
                <w:szCs w:val="20"/>
                <w:color w:val="auto"/>
              </w:rPr>
            </w:pPr>
            <w:r>
              <w:rPr>
                <w:rFonts w:ascii="Arial" w:cs="Arial" w:eastAsia="Arial" w:hAnsi="Arial"/>
                <w:sz w:val="14"/>
                <w:szCs w:val="14"/>
                <w:i w:val="1"/>
                <w:iCs w:val="1"/>
                <w:color w:val="auto"/>
                <w:w w:val="97"/>
              </w:rPr>
              <w:t>(millions of dollars)</w:t>
            </w:r>
          </w:p>
        </w:tc>
        <w:tc>
          <w:tcPr>
            <w:tcW w:w="1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5060" w:type="dxa"/>
            <w:vAlign w:val="bottom"/>
          </w:tcPr>
          <w:p>
            <w:pPr>
              <w:ind w:left="20"/>
              <w:spacing w:after="0"/>
              <w:rPr>
                <w:sz w:val="20"/>
                <w:szCs w:val="20"/>
                <w:color w:val="auto"/>
              </w:rPr>
            </w:pPr>
            <w:r>
              <w:rPr>
                <w:rFonts w:ascii="Arial" w:cs="Arial" w:eastAsia="Arial" w:hAnsi="Arial"/>
                <w:sz w:val="18"/>
                <w:szCs w:val="18"/>
                <w:color w:val="auto"/>
              </w:rPr>
              <w:t>Change in benefit obligation</w:t>
            </w:r>
          </w:p>
        </w:tc>
        <w:tc>
          <w:tcPr>
            <w:tcW w:w="12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060" w:type="dxa"/>
            <w:vAlign w:val="bottom"/>
          </w:tcPr>
          <w:p>
            <w:pPr>
              <w:ind w:left="220"/>
              <w:spacing w:after="0"/>
              <w:rPr>
                <w:sz w:val="20"/>
                <w:szCs w:val="20"/>
                <w:color w:val="auto"/>
              </w:rPr>
            </w:pPr>
            <w:r>
              <w:rPr>
                <w:rFonts w:ascii="Arial" w:cs="Arial" w:eastAsia="Arial" w:hAnsi="Arial"/>
                <w:sz w:val="18"/>
                <w:szCs w:val="18"/>
                <w:color w:val="auto"/>
              </w:rPr>
              <w:t>Benefit obligation at January 1</w:t>
            </w:r>
          </w:p>
        </w:tc>
        <w:tc>
          <w:tcPr>
            <w:tcW w:w="1240" w:type="dxa"/>
            <w:vAlign w:val="bottom"/>
          </w:tcPr>
          <w:p>
            <w:pPr>
              <w:jc w:val="right"/>
              <w:ind w:right="293"/>
              <w:spacing w:after="0"/>
              <w:rPr>
                <w:sz w:val="20"/>
                <w:szCs w:val="20"/>
                <w:color w:val="auto"/>
              </w:rPr>
            </w:pPr>
            <w:r>
              <w:rPr>
                <w:rFonts w:ascii="Arial" w:cs="Arial" w:eastAsia="Arial" w:hAnsi="Arial"/>
                <w:sz w:val="18"/>
                <w:szCs w:val="18"/>
                <w:color w:val="auto"/>
              </w:rPr>
              <w:t>21,662</w:t>
            </w:r>
          </w:p>
        </w:tc>
        <w:tc>
          <w:tcPr>
            <w:tcW w:w="740" w:type="dxa"/>
            <w:vAlign w:val="bottom"/>
          </w:tcPr>
          <w:p>
            <w:pPr>
              <w:jc w:val="right"/>
              <w:spacing w:after="0"/>
              <w:rPr>
                <w:sz w:val="20"/>
                <w:szCs w:val="20"/>
                <w:color w:val="auto"/>
              </w:rPr>
            </w:pPr>
            <w:r>
              <w:rPr>
                <w:rFonts w:ascii="Arial" w:cs="Arial" w:eastAsia="Arial" w:hAnsi="Arial"/>
                <w:sz w:val="18"/>
                <w:szCs w:val="18"/>
                <w:color w:val="auto"/>
              </w:rPr>
              <w:t>20,959</w:t>
            </w:r>
          </w:p>
        </w:tc>
        <w:tc>
          <w:tcPr>
            <w:tcW w:w="100" w:type="dxa"/>
            <w:vAlign w:val="bottom"/>
          </w:tcPr>
          <w:p>
            <w:pPr>
              <w:spacing w:after="0"/>
              <w:rPr>
                <w:sz w:val="19"/>
                <w:szCs w:val="19"/>
                <w:color w:val="auto"/>
              </w:rPr>
            </w:pPr>
          </w:p>
        </w:tc>
        <w:tc>
          <w:tcPr>
            <w:tcW w:w="1340" w:type="dxa"/>
            <w:vAlign w:val="bottom"/>
          </w:tcPr>
          <w:p>
            <w:pPr>
              <w:jc w:val="right"/>
              <w:ind w:right="375"/>
              <w:spacing w:after="0"/>
              <w:rPr>
                <w:sz w:val="20"/>
                <w:szCs w:val="20"/>
                <w:color w:val="auto"/>
              </w:rPr>
            </w:pPr>
            <w:r>
              <w:rPr>
                <w:rFonts w:ascii="Arial" w:cs="Arial" w:eastAsia="Arial" w:hAnsi="Arial"/>
                <w:sz w:val="18"/>
                <w:szCs w:val="18"/>
                <w:color w:val="auto"/>
              </w:rPr>
              <w:t>33,626</w:t>
            </w:r>
          </w:p>
        </w:tc>
        <w:tc>
          <w:tcPr>
            <w:tcW w:w="660" w:type="dxa"/>
            <w:vAlign w:val="bottom"/>
          </w:tcPr>
          <w:p>
            <w:pPr>
              <w:jc w:val="right"/>
              <w:spacing w:after="0"/>
              <w:rPr>
                <w:sz w:val="20"/>
                <w:szCs w:val="20"/>
                <w:color w:val="auto"/>
              </w:rPr>
            </w:pPr>
            <w:r>
              <w:rPr>
                <w:rFonts w:ascii="Arial" w:cs="Arial" w:eastAsia="Arial" w:hAnsi="Arial"/>
                <w:sz w:val="18"/>
                <w:szCs w:val="18"/>
                <w:color w:val="auto"/>
              </w:rPr>
              <w:t>29,918</w:t>
            </w:r>
          </w:p>
        </w:tc>
        <w:tc>
          <w:tcPr>
            <w:tcW w:w="120" w:type="dxa"/>
            <w:vAlign w:val="bottom"/>
          </w:tcPr>
          <w:p>
            <w:pPr>
              <w:spacing w:after="0"/>
              <w:rPr>
                <w:sz w:val="19"/>
                <w:szCs w:val="19"/>
                <w:color w:val="auto"/>
              </w:rPr>
            </w:pPr>
          </w:p>
        </w:tc>
        <w:tc>
          <w:tcPr>
            <w:tcW w:w="1300" w:type="dxa"/>
            <w:vAlign w:val="bottom"/>
          </w:tcPr>
          <w:p>
            <w:pPr>
              <w:jc w:val="right"/>
              <w:ind w:right="354"/>
              <w:spacing w:after="0"/>
              <w:rPr>
                <w:sz w:val="20"/>
                <w:szCs w:val="20"/>
                <w:color w:val="auto"/>
              </w:rPr>
            </w:pPr>
            <w:r>
              <w:rPr>
                <w:rFonts w:ascii="Arial" w:cs="Arial" w:eastAsia="Arial" w:hAnsi="Arial"/>
                <w:sz w:val="18"/>
                <w:szCs w:val="18"/>
                <w:color w:val="auto"/>
              </w:rPr>
              <w:t>8,135</w:t>
            </w:r>
          </w:p>
        </w:tc>
        <w:tc>
          <w:tcPr>
            <w:tcW w:w="680" w:type="dxa"/>
            <w:vAlign w:val="bottom"/>
          </w:tcPr>
          <w:p>
            <w:pPr>
              <w:jc w:val="right"/>
              <w:spacing w:after="0"/>
              <w:rPr>
                <w:sz w:val="20"/>
                <w:szCs w:val="20"/>
                <w:color w:val="auto"/>
              </w:rPr>
            </w:pPr>
            <w:r>
              <w:rPr>
                <w:rFonts w:ascii="Arial" w:cs="Arial" w:eastAsia="Arial" w:hAnsi="Arial"/>
                <w:sz w:val="18"/>
                <w:szCs w:val="18"/>
                <w:color w:val="auto"/>
              </w:rPr>
              <w:t>8,113</w:t>
            </w:r>
          </w:p>
        </w:tc>
        <w:tc>
          <w:tcPr>
            <w:tcW w:w="0" w:type="dxa"/>
            <w:vAlign w:val="bottom"/>
          </w:tcPr>
          <w:p>
            <w:pPr>
              <w:spacing w:after="0"/>
              <w:rPr>
                <w:sz w:val="1"/>
                <w:szCs w:val="1"/>
                <w:color w:val="auto"/>
              </w:rPr>
            </w:pPr>
          </w:p>
        </w:tc>
      </w:tr>
      <w:tr>
        <w:trPr>
          <w:trHeight w:val="229"/>
        </w:trPr>
        <w:tc>
          <w:tcPr>
            <w:tcW w:w="5060" w:type="dxa"/>
            <w:vAlign w:val="bottom"/>
          </w:tcPr>
          <w:p>
            <w:pPr>
              <w:ind w:left="220"/>
              <w:spacing w:after="0"/>
              <w:rPr>
                <w:sz w:val="20"/>
                <w:szCs w:val="20"/>
                <w:color w:val="auto"/>
              </w:rPr>
            </w:pPr>
            <w:r>
              <w:rPr>
                <w:rFonts w:ascii="Arial" w:cs="Arial" w:eastAsia="Arial" w:hAnsi="Arial"/>
                <w:sz w:val="18"/>
                <w:szCs w:val="18"/>
                <w:color w:val="auto"/>
              </w:rPr>
              <w:t>Service cost</w:t>
            </w:r>
          </w:p>
        </w:tc>
        <w:tc>
          <w:tcPr>
            <w:tcW w:w="1240" w:type="dxa"/>
            <w:vAlign w:val="bottom"/>
          </w:tcPr>
          <w:p>
            <w:pPr>
              <w:jc w:val="right"/>
              <w:ind w:right="293"/>
              <w:spacing w:after="0"/>
              <w:rPr>
                <w:sz w:val="20"/>
                <w:szCs w:val="20"/>
                <w:color w:val="auto"/>
              </w:rPr>
            </w:pPr>
            <w:r>
              <w:rPr>
                <w:rFonts w:ascii="Arial" w:cs="Arial" w:eastAsia="Arial" w:hAnsi="Arial"/>
                <w:sz w:val="18"/>
                <w:szCs w:val="18"/>
                <w:color w:val="auto"/>
              </w:rPr>
              <w:t>919</w:t>
            </w:r>
          </w:p>
        </w:tc>
        <w:tc>
          <w:tcPr>
            <w:tcW w:w="740" w:type="dxa"/>
            <w:vAlign w:val="bottom"/>
          </w:tcPr>
          <w:p>
            <w:pPr>
              <w:jc w:val="right"/>
              <w:spacing w:after="0"/>
              <w:rPr>
                <w:sz w:val="20"/>
                <w:szCs w:val="20"/>
                <w:color w:val="auto"/>
              </w:rPr>
            </w:pPr>
            <w:r>
              <w:rPr>
                <w:rFonts w:ascii="Arial" w:cs="Arial" w:eastAsia="Arial" w:hAnsi="Arial"/>
                <w:sz w:val="18"/>
                <w:szCs w:val="18"/>
                <w:color w:val="auto"/>
              </w:rPr>
              <w:t>965</w:t>
            </w:r>
          </w:p>
        </w:tc>
        <w:tc>
          <w:tcPr>
            <w:tcW w:w="100" w:type="dxa"/>
            <w:vAlign w:val="bottom"/>
          </w:tcPr>
          <w:p>
            <w:pPr>
              <w:spacing w:after="0"/>
              <w:rPr>
                <w:sz w:val="19"/>
                <w:szCs w:val="19"/>
                <w:color w:val="auto"/>
              </w:rPr>
            </w:pPr>
          </w:p>
        </w:tc>
        <w:tc>
          <w:tcPr>
            <w:tcW w:w="1340" w:type="dxa"/>
            <w:vAlign w:val="bottom"/>
          </w:tcPr>
          <w:p>
            <w:pPr>
              <w:jc w:val="right"/>
              <w:ind w:right="375"/>
              <w:spacing w:after="0"/>
              <w:rPr>
                <w:sz w:val="20"/>
                <w:szCs w:val="20"/>
                <w:color w:val="auto"/>
              </w:rPr>
            </w:pPr>
            <w:r>
              <w:rPr>
                <w:rFonts w:ascii="Arial" w:cs="Arial" w:eastAsia="Arial" w:hAnsi="Arial"/>
                <w:sz w:val="18"/>
                <w:szCs w:val="18"/>
                <w:color w:val="auto"/>
              </w:rPr>
              <w:t>774</w:t>
            </w:r>
          </w:p>
        </w:tc>
        <w:tc>
          <w:tcPr>
            <w:tcW w:w="660" w:type="dxa"/>
            <w:vAlign w:val="bottom"/>
          </w:tcPr>
          <w:p>
            <w:pPr>
              <w:jc w:val="right"/>
              <w:spacing w:after="0"/>
              <w:rPr>
                <w:sz w:val="20"/>
                <w:szCs w:val="20"/>
                <w:color w:val="auto"/>
              </w:rPr>
            </w:pPr>
            <w:r>
              <w:rPr>
                <w:rFonts w:ascii="Arial" w:cs="Arial" w:eastAsia="Arial" w:hAnsi="Arial"/>
                <w:sz w:val="18"/>
                <w:szCs w:val="18"/>
                <w:color w:val="auto"/>
              </w:rPr>
              <w:t>707</w:t>
            </w:r>
          </w:p>
        </w:tc>
        <w:tc>
          <w:tcPr>
            <w:tcW w:w="120" w:type="dxa"/>
            <w:vAlign w:val="bottom"/>
          </w:tcPr>
          <w:p>
            <w:pPr>
              <w:spacing w:after="0"/>
              <w:rPr>
                <w:sz w:val="19"/>
                <w:szCs w:val="19"/>
                <w:color w:val="auto"/>
              </w:rPr>
            </w:pPr>
          </w:p>
        </w:tc>
        <w:tc>
          <w:tcPr>
            <w:tcW w:w="1300" w:type="dxa"/>
            <w:vAlign w:val="bottom"/>
          </w:tcPr>
          <w:p>
            <w:pPr>
              <w:jc w:val="right"/>
              <w:ind w:right="354"/>
              <w:spacing w:after="0"/>
              <w:rPr>
                <w:sz w:val="20"/>
                <w:szCs w:val="20"/>
                <w:color w:val="auto"/>
              </w:rPr>
            </w:pPr>
            <w:r>
              <w:rPr>
                <w:rFonts w:ascii="Arial" w:cs="Arial" w:eastAsia="Arial" w:hAnsi="Arial"/>
                <w:sz w:val="18"/>
                <w:szCs w:val="18"/>
                <w:color w:val="auto"/>
              </w:rPr>
              <w:t>188</w:t>
            </w:r>
          </w:p>
        </w:tc>
        <w:tc>
          <w:tcPr>
            <w:tcW w:w="680" w:type="dxa"/>
            <w:vAlign w:val="bottom"/>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30"/>
        </w:trPr>
        <w:tc>
          <w:tcPr>
            <w:tcW w:w="5060" w:type="dxa"/>
            <w:vAlign w:val="bottom"/>
          </w:tcPr>
          <w:p>
            <w:pPr>
              <w:ind w:left="220"/>
              <w:spacing w:after="0"/>
              <w:rPr>
                <w:sz w:val="20"/>
                <w:szCs w:val="20"/>
                <w:color w:val="auto"/>
              </w:rPr>
            </w:pPr>
            <w:r>
              <w:rPr>
                <w:rFonts w:ascii="Arial" w:cs="Arial" w:eastAsia="Arial" w:hAnsi="Arial"/>
                <w:sz w:val="18"/>
                <w:szCs w:val="18"/>
                <w:color w:val="auto"/>
              </w:rPr>
              <w:t>Interest cost</w:t>
            </w:r>
          </w:p>
        </w:tc>
        <w:tc>
          <w:tcPr>
            <w:tcW w:w="1240" w:type="dxa"/>
            <w:vAlign w:val="bottom"/>
          </w:tcPr>
          <w:p>
            <w:pPr>
              <w:jc w:val="right"/>
              <w:ind w:right="293"/>
              <w:spacing w:after="0"/>
              <w:rPr>
                <w:sz w:val="20"/>
                <w:szCs w:val="20"/>
                <w:color w:val="auto"/>
              </w:rPr>
            </w:pPr>
            <w:r>
              <w:rPr>
                <w:rFonts w:ascii="Arial" w:cs="Arial" w:eastAsia="Arial" w:hAnsi="Arial"/>
                <w:sz w:val="18"/>
                <w:szCs w:val="18"/>
                <w:color w:val="auto"/>
              </w:rPr>
              <w:t>558</w:t>
            </w:r>
          </w:p>
        </w:tc>
        <w:tc>
          <w:tcPr>
            <w:tcW w:w="740" w:type="dxa"/>
            <w:vAlign w:val="bottom"/>
          </w:tcPr>
          <w:p>
            <w:pPr>
              <w:jc w:val="right"/>
              <w:spacing w:after="0"/>
              <w:rPr>
                <w:sz w:val="20"/>
                <w:szCs w:val="20"/>
                <w:color w:val="auto"/>
              </w:rPr>
            </w:pPr>
            <w:r>
              <w:rPr>
                <w:rFonts w:ascii="Arial" w:cs="Arial" w:eastAsia="Arial" w:hAnsi="Arial"/>
                <w:sz w:val="18"/>
                <w:szCs w:val="18"/>
                <w:color w:val="auto"/>
              </w:rPr>
              <w:t>708</w:t>
            </w:r>
          </w:p>
        </w:tc>
        <w:tc>
          <w:tcPr>
            <w:tcW w:w="100" w:type="dxa"/>
            <w:vAlign w:val="bottom"/>
          </w:tcPr>
          <w:p>
            <w:pPr>
              <w:spacing w:after="0"/>
              <w:rPr>
                <w:sz w:val="19"/>
                <w:szCs w:val="19"/>
                <w:color w:val="auto"/>
              </w:rPr>
            </w:pPr>
          </w:p>
        </w:tc>
        <w:tc>
          <w:tcPr>
            <w:tcW w:w="1340" w:type="dxa"/>
            <w:vAlign w:val="bottom"/>
          </w:tcPr>
          <w:p>
            <w:pPr>
              <w:jc w:val="right"/>
              <w:ind w:right="375"/>
              <w:spacing w:after="0"/>
              <w:rPr>
                <w:sz w:val="20"/>
                <w:szCs w:val="20"/>
                <w:color w:val="auto"/>
              </w:rPr>
            </w:pPr>
            <w:r>
              <w:rPr>
                <w:rFonts w:ascii="Arial" w:cs="Arial" w:eastAsia="Arial" w:hAnsi="Arial"/>
                <w:sz w:val="18"/>
                <w:szCs w:val="18"/>
                <w:color w:val="auto"/>
              </w:rPr>
              <w:t>526</w:t>
            </w:r>
          </w:p>
        </w:tc>
        <w:tc>
          <w:tcPr>
            <w:tcW w:w="660" w:type="dxa"/>
            <w:vAlign w:val="bottom"/>
          </w:tcPr>
          <w:p>
            <w:pPr>
              <w:jc w:val="right"/>
              <w:spacing w:after="0"/>
              <w:rPr>
                <w:sz w:val="20"/>
                <w:szCs w:val="20"/>
                <w:color w:val="auto"/>
              </w:rPr>
            </w:pPr>
            <w:r>
              <w:rPr>
                <w:rFonts w:ascii="Arial" w:cs="Arial" w:eastAsia="Arial" w:hAnsi="Arial"/>
                <w:sz w:val="18"/>
                <w:szCs w:val="18"/>
                <w:color w:val="auto"/>
              </w:rPr>
              <w:t>657</w:t>
            </w:r>
          </w:p>
        </w:tc>
        <w:tc>
          <w:tcPr>
            <w:tcW w:w="120" w:type="dxa"/>
            <w:vAlign w:val="bottom"/>
          </w:tcPr>
          <w:p>
            <w:pPr>
              <w:spacing w:after="0"/>
              <w:rPr>
                <w:sz w:val="19"/>
                <w:szCs w:val="19"/>
                <w:color w:val="auto"/>
              </w:rPr>
            </w:pPr>
          </w:p>
        </w:tc>
        <w:tc>
          <w:tcPr>
            <w:tcW w:w="1300" w:type="dxa"/>
            <w:vAlign w:val="bottom"/>
          </w:tcPr>
          <w:p>
            <w:pPr>
              <w:jc w:val="right"/>
              <w:ind w:right="354"/>
              <w:spacing w:after="0"/>
              <w:rPr>
                <w:sz w:val="20"/>
                <w:szCs w:val="20"/>
                <w:color w:val="auto"/>
              </w:rPr>
            </w:pPr>
            <w:r>
              <w:rPr>
                <w:rFonts w:ascii="Arial" w:cs="Arial" w:eastAsia="Arial" w:hAnsi="Arial"/>
                <w:sz w:val="18"/>
                <w:szCs w:val="18"/>
                <w:color w:val="auto"/>
              </w:rPr>
              <w:t>221</w:t>
            </w:r>
          </w:p>
        </w:tc>
        <w:tc>
          <w:tcPr>
            <w:tcW w:w="680" w:type="dxa"/>
            <w:vAlign w:val="bottom"/>
          </w:tcPr>
          <w:p>
            <w:pPr>
              <w:jc w:val="right"/>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29"/>
        </w:trPr>
        <w:tc>
          <w:tcPr>
            <w:tcW w:w="5060" w:type="dxa"/>
            <w:vAlign w:val="bottom"/>
          </w:tcPr>
          <w:p>
            <w:pPr>
              <w:ind w:left="220"/>
              <w:spacing w:after="0"/>
              <w:rPr>
                <w:sz w:val="20"/>
                <w:szCs w:val="20"/>
                <w:color w:val="auto"/>
              </w:rPr>
            </w:pPr>
            <w:r>
              <w:rPr>
                <w:rFonts w:ascii="Arial" w:cs="Arial" w:eastAsia="Arial" w:hAnsi="Arial"/>
                <w:sz w:val="18"/>
                <w:szCs w:val="18"/>
                <w:color w:val="auto"/>
              </w:rPr>
              <w:t xml:space="preserve">Actuarial loss/(gain) </w:t>
            </w:r>
            <w:r>
              <w:rPr>
                <w:rFonts w:ascii="Arial" w:cs="Arial" w:eastAsia="Arial" w:hAnsi="Arial"/>
                <w:sz w:val="14"/>
                <w:szCs w:val="14"/>
                <w:i w:val="1"/>
                <w:iCs w:val="1"/>
                <w:color w:val="auto"/>
              </w:rPr>
              <w:t>(1)</w:t>
            </w:r>
          </w:p>
        </w:tc>
        <w:tc>
          <w:tcPr>
            <w:tcW w:w="1240" w:type="dxa"/>
            <w:vAlign w:val="bottom"/>
          </w:tcPr>
          <w:p>
            <w:pPr>
              <w:jc w:val="right"/>
              <w:ind w:right="253"/>
              <w:spacing w:after="0"/>
              <w:rPr>
                <w:sz w:val="20"/>
                <w:szCs w:val="20"/>
                <w:color w:val="auto"/>
              </w:rPr>
            </w:pPr>
            <w:r>
              <w:rPr>
                <w:rFonts w:ascii="Arial" w:cs="Arial" w:eastAsia="Arial" w:hAnsi="Arial"/>
                <w:sz w:val="18"/>
                <w:szCs w:val="18"/>
                <w:color w:val="auto"/>
              </w:rPr>
              <w:t>(747)</w:t>
            </w:r>
          </w:p>
        </w:tc>
        <w:tc>
          <w:tcPr>
            <w:tcW w:w="740" w:type="dxa"/>
            <w:vAlign w:val="bottom"/>
          </w:tcPr>
          <w:p>
            <w:pPr>
              <w:jc w:val="right"/>
              <w:spacing w:after="0"/>
              <w:rPr>
                <w:sz w:val="20"/>
                <w:szCs w:val="20"/>
                <w:color w:val="auto"/>
              </w:rPr>
            </w:pPr>
            <w:r>
              <w:rPr>
                <w:rFonts w:ascii="Arial" w:cs="Arial" w:eastAsia="Arial" w:hAnsi="Arial"/>
                <w:sz w:val="18"/>
                <w:szCs w:val="18"/>
                <w:color w:val="auto"/>
              </w:rPr>
              <w:t>1,287</w:t>
            </w:r>
          </w:p>
        </w:tc>
        <w:tc>
          <w:tcPr>
            <w:tcW w:w="100" w:type="dxa"/>
            <w:vAlign w:val="bottom"/>
          </w:tcPr>
          <w:p>
            <w:pPr>
              <w:spacing w:after="0"/>
              <w:rPr>
                <w:sz w:val="19"/>
                <w:szCs w:val="19"/>
                <w:color w:val="auto"/>
              </w:rPr>
            </w:pPr>
          </w:p>
        </w:tc>
        <w:tc>
          <w:tcPr>
            <w:tcW w:w="1340" w:type="dxa"/>
            <w:vAlign w:val="bottom"/>
          </w:tcPr>
          <w:p>
            <w:pPr>
              <w:jc w:val="right"/>
              <w:ind w:right="335"/>
              <w:spacing w:after="0"/>
              <w:rPr>
                <w:sz w:val="20"/>
                <w:szCs w:val="20"/>
                <w:color w:val="auto"/>
              </w:rPr>
            </w:pPr>
            <w:r>
              <w:rPr>
                <w:rFonts w:ascii="Arial" w:cs="Arial" w:eastAsia="Arial" w:hAnsi="Arial"/>
                <w:sz w:val="18"/>
                <w:szCs w:val="18"/>
                <w:color w:val="auto"/>
              </w:rPr>
              <w:t>(2,803)</w:t>
            </w:r>
          </w:p>
        </w:tc>
        <w:tc>
          <w:tcPr>
            <w:tcW w:w="660" w:type="dxa"/>
            <w:vAlign w:val="bottom"/>
          </w:tcPr>
          <w:p>
            <w:pPr>
              <w:jc w:val="right"/>
              <w:spacing w:after="0"/>
              <w:rPr>
                <w:sz w:val="20"/>
                <w:szCs w:val="20"/>
                <w:color w:val="auto"/>
              </w:rPr>
            </w:pPr>
            <w:r>
              <w:rPr>
                <w:rFonts w:ascii="Arial" w:cs="Arial" w:eastAsia="Arial" w:hAnsi="Arial"/>
                <w:sz w:val="18"/>
                <w:szCs w:val="18"/>
                <w:color w:val="auto"/>
              </w:rPr>
              <w:t>2,344</w:t>
            </w:r>
          </w:p>
        </w:tc>
        <w:tc>
          <w:tcPr>
            <w:tcW w:w="120" w:type="dxa"/>
            <w:vAlign w:val="bottom"/>
          </w:tcPr>
          <w:p>
            <w:pPr>
              <w:spacing w:after="0"/>
              <w:rPr>
                <w:sz w:val="19"/>
                <w:szCs w:val="19"/>
                <w:color w:val="auto"/>
              </w:rPr>
            </w:pPr>
          </w:p>
        </w:tc>
        <w:tc>
          <w:tcPr>
            <w:tcW w:w="1300" w:type="dxa"/>
            <w:vAlign w:val="bottom"/>
          </w:tcPr>
          <w:p>
            <w:pPr>
              <w:jc w:val="right"/>
              <w:ind w:right="314"/>
              <w:spacing w:after="0"/>
              <w:rPr>
                <w:sz w:val="20"/>
                <w:szCs w:val="20"/>
                <w:color w:val="auto"/>
              </w:rPr>
            </w:pPr>
            <w:r>
              <w:rPr>
                <w:rFonts w:ascii="Arial" w:cs="Arial" w:eastAsia="Arial" w:hAnsi="Arial"/>
                <w:sz w:val="18"/>
                <w:szCs w:val="18"/>
                <w:color w:val="auto"/>
              </w:rPr>
              <w:t>(881)</w:t>
            </w:r>
          </w:p>
        </w:tc>
        <w:tc>
          <w:tcPr>
            <w:tcW w:w="68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30"/>
        </w:trPr>
        <w:tc>
          <w:tcPr>
            <w:tcW w:w="5060" w:type="dxa"/>
            <w:vAlign w:val="bottom"/>
          </w:tcPr>
          <w:p>
            <w:pPr>
              <w:ind w:left="220"/>
              <w:spacing w:after="0"/>
              <w:rPr>
                <w:sz w:val="20"/>
                <w:szCs w:val="20"/>
                <w:color w:val="auto"/>
              </w:rPr>
            </w:pPr>
            <w:r>
              <w:rPr>
                <w:rFonts w:ascii="Arial" w:cs="Arial" w:eastAsia="Arial" w:hAnsi="Arial"/>
                <w:sz w:val="18"/>
                <w:szCs w:val="18"/>
                <w:color w:val="auto"/>
              </w:rPr>
              <w:t xml:space="preserve">Benefits paid </w:t>
            </w:r>
            <w:r>
              <w:rPr>
                <w:rFonts w:ascii="Arial" w:cs="Arial" w:eastAsia="Arial" w:hAnsi="Arial"/>
                <w:sz w:val="14"/>
                <w:szCs w:val="14"/>
                <w:i w:val="1"/>
                <w:iCs w:val="1"/>
                <w:color w:val="auto"/>
              </w:rPr>
              <w:t>(2) (3)</w:t>
            </w:r>
          </w:p>
        </w:tc>
        <w:tc>
          <w:tcPr>
            <w:tcW w:w="1240" w:type="dxa"/>
            <w:vAlign w:val="bottom"/>
          </w:tcPr>
          <w:p>
            <w:pPr>
              <w:jc w:val="right"/>
              <w:ind w:right="253"/>
              <w:spacing w:after="0"/>
              <w:rPr>
                <w:sz w:val="20"/>
                <w:szCs w:val="20"/>
                <w:color w:val="auto"/>
              </w:rPr>
            </w:pPr>
            <w:r>
              <w:rPr>
                <w:rFonts w:ascii="Arial" w:cs="Arial" w:eastAsia="Arial" w:hAnsi="Arial"/>
                <w:sz w:val="18"/>
                <w:szCs w:val="18"/>
                <w:color w:val="auto"/>
              </w:rPr>
              <w:t>(3,810)</w:t>
            </w:r>
          </w:p>
        </w:tc>
        <w:tc>
          <w:tcPr>
            <w:tcW w:w="740" w:type="dxa"/>
            <w:vAlign w:val="bottom"/>
          </w:tcPr>
          <w:p>
            <w:pPr>
              <w:jc w:val="right"/>
              <w:spacing w:after="0"/>
              <w:rPr>
                <w:sz w:val="20"/>
                <w:szCs w:val="20"/>
                <w:color w:val="auto"/>
              </w:rPr>
            </w:pPr>
            <w:r>
              <w:rPr>
                <w:rFonts w:ascii="Arial" w:cs="Arial" w:eastAsia="Arial" w:hAnsi="Arial"/>
                <w:sz w:val="18"/>
                <w:szCs w:val="18"/>
                <w:color w:val="auto"/>
              </w:rPr>
              <w:t>(1,987)</w:t>
            </w:r>
          </w:p>
        </w:tc>
        <w:tc>
          <w:tcPr>
            <w:tcW w:w="100" w:type="dxa"/>
            <w:vAlign w:val="bottom"/>
          </w:tcPr>
          <w:p>
            <w:pPr>
              <w:spacing w:after="0"/>
              <w:rPr>
                <w:sz w:val="19"/>
                <w:szCs w:val="19"/>
                <w:color w:val="auto"/>
              </w:rPr>
            </w:pPr>
          </w:p>
        </w:tc>
        <w:tc>
          <w:tcPr>
            <w:tcW w:w="1340" w:type="dxa"/>
            <w:vAlign w:val="bottom"/>
          </w:tcPr>
          <w:p>
            <w:pPr>
              <w:jc w:val="right"/>
              <w:ind w:right="335"/>
              <w:spacing w:after="0"/>
              <w:rPr>
                <w:sz w:val="20"/>
                <w:szCs w:val="20"/>
                <w:color w:val="auto"/>
              </w:rPr>
            </w:pPr>
            <w:r>
              <w:rPr>
                <w:rFonts w:ascii="Arial" w:cs="Arial" w:eastAsia="Arial" w:hAnsi="Arial"/>
                <w:sz w:val="18"/>
                <w:szCs w:val="18"/>
                <w:color w:val="auto"/>
              </w:rPr>
              <w:t>(1,550)</w:t>
            </w:r>
          </w:p>
        </w:tc>
        <w:tc>
          <w:tcPr>
            <w:tcW w:w="660" w:type="dxa"/>
            <w:vAlign w:val="bottom"/>
          </w:tcPr>
          <w:p>
            <w:pPr>
              <w:jc w:val="right"/>
              <w:spacing w:after="0"/>
              <w:rPr>
                <w:sz w:val="20"/>
                <w:szCs w:val="20"/>
                <w:color w:val="auto"/>
              </w:rPr>
            </w:pPr>
            <w:r>
              <w:rPr>
                <w:rFonts w:ascii="Arial" w:cs="Arial" w:eastAsia="Arial" w:hAnsi="Arial"/>
                <w:sz w:val="18"/>
                <w:szCs w:val="18"/>
                <w:color w:val="auto"/>
              </w:rPr>
              <w:t>(1,317)</w:t>
            </w:r>
          </w:p>
        </w:tc>
        <w:tc>
          <w:tcPr>
            <w:tcW w:w="120" w:type="dxa"/>
            <w:vAlign w:val="bottom"/>
          </w:tcPr>
          <w:p>
            <w:pPr>
              <w:spacing w:after="0"/>
              <w:rPr>
                <w:sz w:val="19"/>
                <w:szCs w:val="19"/>
                <w:color w:val="auto"/>
              </w:rPr>
            </w:pPr>
          </w:p>
        </w:tc>
        <w:tc>
          <w:tcPr>
            <w:tcW w:w="1300" w:type="dxa"/>
            <w:vAlign w:val="bottom"/>
          </w:tcPr>
          <w:p>
            <w:pPr>
              <w:jc w:val="right"/>
              <w:ind w:right="314"/>
              <w:spacing w:after="0"/>
              <w:rPr>
                <w:sz w:val="20"/>
                <w:szCs w:val="20"/>
                <w:color w:val="auto"/>
              </w:rPr>
            </w:pPr>
            <w:r>
              <w:rPr>
                <w:rFonts w:ascii="Arial" w:cs="Arial" w:eastAsia="Arial" w:hAnsi="Arial"/>
                <w:sz w:val="18"/>
                <w:szCs w:val="18"/>
                <w:color w:val="auto"/>
              </w:rPr>
              <w:t>(517)</w:t>
            </w:r>
          </w:p>
        </w:tc>
        <w:tc>
          <w:tcPr>
            <w:tcW w:w="680" w:type="dxa"/>
            <w:vAlign w:val="bottom"/>
          </w:tcPr>
          <w:p>
            <w:pPr>
              <w:jc w:val="right"/>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29"/>
        </w:trPr>
        <w:tc>
          <w:tcPr>
            <w:tcW w:w="5060" w:type="dxa"/>
            <w:vAlign w:val="bottom"/>
          </w:tcPr>
          <w:p>
            <w:pPr>
              <w:ind w:left="220"/>
              <w:spacing w:after="0"/>
              <w:rPr>
                <w:sz w:val="20"/>
                <w:szCs w:val="20"/>
                <w:color w:val="auto"/>
              </w:rPr>
            </w:pPr>
            <w:r>
              <w:rPr>
                <w:rFonts w:ascii="Arial" w:cs="Arial" w:eastAsia="Arial" w:hAnsi="Arial"/>
                <w:sz w:val="18"/>
                <w:szCs w:val="18"/>
                <w:color w:val="auto"/>
              </w:rPr>
              <w:t>Foreign exchange rate changes</w:t>
            </w:r>
          </w:p>
        </w:tc>
        <w:tc>
          <w:tcPr>
            <w:tcW w:w="1240" w:type="dxa"/>
            <w:vAlign w:val="bottom"/>
          </w:tcPr>
          <w:p>
            <w:pPr>
              <w:jc w:val="right"/>
              <w:ind w:right="293"/>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35"/>
              <w:spacing w:after="0"/>
              <w:rPr>
                <w:sz w:val="20"/>
                <w:szCs w:val="20"/>
                <w:color w:val="auto"/>
              </w:rPr>
            </w:pPr>
            <w:r>
              <w:rPr>
                <w:rFonts w:ascii="Arial" w:cs="Arial" w:eastAsia="Arial" w:hAnsi="Arial"/>
                <w:sz w:val="18"/>
                <w:szCs w:val="18"/>
                <w:color w:val="auto"/>
              </w:rPr>
              <w:t>(1,162)</w:t>
            </w:r>
          </w:p>
        </w:tc>
        <w:tc>
          <w:tcPr>
            <w:tcW w:w="660" w:type="dxa"/>
            <w:vAlign w:val="bottom"/>
          </w:tcPr>
          <w:p>
            <w:pPr>
              <w:jc w:val="right"/>
              <w:spacing w:after="0"/>
              <w:rPr>
                <w:sz w:val="20"/>
                <w:szCs w:val="20"/>
                <w:color w:val="auto"/>
              </w:rPr>
            </w:pPr>
            <w:r>
              <w:rPr>
                <w:rFonts w:ascii="Arial" w:cs="Arial" w:eastAsia="Arial" w:hAnsi="Arial"/>
                <w:sz w:val="18"/>
                <w:szCs w:val="18"/>
                <w:color w:val="auto"/>
              </w:rPr>
              <w:t>1,375</w:t>
            </w:r>
          </w:p>
        </w:tc>
        <w:tc>
          <w:tcPr>
            <w:tcW w:w="120" w:type="dxa"/>
            <w:vAlign w:val="bottom"/>
          </w:tcPr>
          <w:p>
            <w:pPr>
              <w:spacing w:after="0"/>
              <w:rPr>
                <w:sz w:val="19"/>
                <w:szCs w:val="19"/>
                <w:color w:val="auto"/>
              </w:rPr>
            </w:pPr>
          </w:p>
        </w:tc>
        <w:tc>
          <w:tcPr>
            <w:tcW w:w="1300" w:type="dxa"/>
            <w:vAlign w:val="bottom"/>
          </w:tcPr>
          <w:p>
            <w:pPr>
              <w:jc w:val="right"/>
              <w:ind w:right="354"/>
              <w:spacing w:after="0"/>
              <w:rPr>
                <w:sz w:val="20"/>
                <w:szCs w:val="20"/>
                <w:color w:val="auto"/>
              </w:rPr>
            </w:pPr>
            <w:r>
              <w:rPr>
                <w:rFonts w:ascii="Arial" w:cs="Arial" w:eastAsia="Arial" w:hAnsi="Arial"/>
                <w:sz w:val="18"/>
                <w:szCs w:val="18"/>
                <w:color w:val="auto"/>
              </w:rPr>
              <w:t>3</w:t>
            </w:r>
          </w:p>
        </w:tc>
        <w:tc>
          <w:tcPr>
            <w:tcW w:w="68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5060" w:type="dxa"/>
            <w:vAlign w:val="bottom"/>
          </w:tcPr>
          <w:p>
            <w:pPr>
              <w:ind w:left="220"/>
              <w:spacing w:after="0"/>
              <w:rPr>
                <w:sz w:val="20"/>
                <w:szCs w:val="20"/>
                <w:color w:val="auto"/>
              </w:rPr>
            </w:pPr>
            <w:r>
              <w:rPr>
                <w:rFonts w:ascii="Arial" w:cs="Arial" w:eastAsia="Arial" w:hAnsi="Arial"/>
                <w:sz w:val="18"/>
                <w:szCs w:val="18"/>
                <w:color w:val="auto"/>
              </w:rPr>
              <w:t>Amendments, divestments and other</w:t>
            </w:r>
          </w:p>
        </w:tc>
        <w:tc>
          <w:tcPr>
            <w:tcW w:w="1240" w:type="dxa"/>
            <w:vAlign w:val="bottom"/>
            <w:tcBorders>
              <w:bottom w:val="single" w:sz="8" w:color="auto"/>
            </w:tcBorders>
          </w:tcPr>
          <w:p>
            <w:pPr>
              <w:jc w:val="right"/>
              <w:ind w:right="253"/>
              <w:spacing w:after="0"/>
              <w:rPr>
                <w:sz w:val="20"/>
                <w:szCs w:val="20"/>
                <w:color w:val="auto"/>
              </w:rPr>
            </w:pPr>
            <w:r>
              <w:rPr>
                <w:rFonts w:ascii="Arial" w:cs="Arial" w:eastAsia="Arial" w:hAnsi="Arial"/>
                <w:sz w:val="18"/>
                <w:szCs w:val="18"/>
                <w:color w:val="auto"/>
              </w:rPr>
              <w:t>(71)</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75"/>
              <w:spacing w:after="0"/>
              <w:rPr>
                <w:sz w:val="20"/>
                <w:szCs w:val="20"/>
                <w:color w:val="auto"/>
              </w:rPr>
            </w:pPr>
            <w:r>
              <w:rPr>
                <w:rFonts w:ascii="Arial" w:cs="Arial" w:eastAsia="Arial" w:hAnsi="Arial"/>
                <w:sz w:val="18"/>
                <w:szCs w:val="18"/>
                <w:color w:val="auto"/>
              </w:rPr>
              <w:t>81</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54"/>
              <w:spacing w:after="0"/>
              <w:rPr>
                <w:sz w:val="20"/>
                <w:szCs w:val="20"/>
                <w:color w:val="auto"/>
              </w:rPr>
            </w:pPr>
            <w:r>
              <w:rPr>
                <w:rFonts w:ascii="Arial" w:cs="Arial" w:eastAsia="Arial" w:hAnsi="Arial"/>
                <w:sz w:val="18"/>
                <w:szCs w:val="18"/>
                <w:color w:val="auto"/>
              </w:rPr>
              <w:t>116</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23"/>
        </w:trPr>
        <w:tc>
          <w:tcPr>
            <w:tcW w:w="5060" w:type="dxa"/>
            <w:vAlign w:val="bottom"/>
          </w:tcPr>
          <w:p>
            <w:pPr>
              <w:ind w:left="20"/>
              <w:spacing w:after="0"/>
              <w:rPr>
                <w:sz w:val="20"/>
                <w:szCs w:val="20"/>
                <w:color w:val="auto"/>
              </w:rPr>
            </w:pPr>
            <w:r>
              <w:rPr>
                <w:rFonts w:ascii="Arial" w:cs="Arial" w:eastAsia="Arial" w:hAnsi="Arial"/>
                <w:sz w:val="18"/>
                <w:szCs w:val="18"/>
                <w:color w:val="auto"/>
              </w:rPr>
              <w:t>Benefit obligation at December 31</w:t>
            </w:r>
          </w:p>
        </w:tc>
        <w:tc>
          <w:tcPr>
            <w:tcW w:w="1240" w:type="dxa"/>
            <w:vAlign w:val="bottom"/>
            <w:tcBorders>
              <w:bottom w:val="single" w:sz="8" w:color="auto"/>
            </w:tcBorders>
          </w:tcPr>
          <w:p>
            <w:pPr>
              <w:jc w:val="right"/>
              <w:ind w:right="293"/>
              <w:spacing w:after="0"/>
              <w:rPr>
                <w:sz w:val="20"/>
                <w:szCs w:val="20"/>
                <w:color w:val="auto"/>
              </w:rPr>
            </w:pPr>
            <w:r>
              <w:rPr>
                <w:rFonts w:ascii="Arial" w:cs="Arial" w:eastAsia="Arial" w:hAnsi="Arial"/>
                <w:sz w:val="18"/>
                <w:szCs w:val="18"/>
                <w:color w:val="auto"/>
              </w:rPr>
              <w:t>18,511</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21,662</w:t>
            </w: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75"/>
              <w:spacing w:after="0"/>
              <w:rPr>
                <w:sz w:val="20"/>
                <w:szCs w:val="20"/>
                <w:color w:val="auto"/>
              </w:rPr>
            </w:pPr>
            <w:r>
              <w:rPr>
                <w:rFonts w:ascii="Arial" w:cs="Arial" w:eastAsia="Arial" w:hAnsi="Arial"/>
                <w:sz w:val="18"/>
                <w:szCs w:val="18"/>
                <w:color w:val="auto"/>
              </w:rPr>
              <w:t>29,492</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33,626</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54"/>
              <w:spacing w:after="0"/>
              <w:rPr>
                <w:sz w:val="20"/>
                <w:szCs w:val="20"/>
                <w:color w:val="auto"/>
              </w:rPr>
            </w:pPr>
            <w:r>
              <w:rPr>
                <w:rFonts w:ascii="Arial" w:cs="Arial" w:eastAsia="Arial" w:hAnsi="Arial"/>
                <w:sz w:val="18"/>
                <w:szCs w:val="18"/>
                <w:color w:val="auto"/>
              </w:rPr>
              <w:t>7,265</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8,135</w:t>
            </w:r>
          </w:p>
        </w:tc>
        <w:tc>
          <w:tcPr>
            <w:tcW w:w="0" w:type="dxa"/>
            <w:vAlign w:val="bottom"/>
          </w:tcPr>
          <w:p>
            <w:pPr>
              <w:spacing w:after="0"/>
              <w:rPr>
                <w:sz w:val="1"/>
                <w:szCs w:val="1"/>
                <w:color w:val="auto"/>
              </w:rPr>
            </w:pPr>
          </w:p>
        </w:tc>
      </w:tr>
      <w:tr>
        <w:trPr>
          <w:trHeight w:val="224"/>
        </w:trPr>
        <w:tc>
          <w:tcPr>
            <w:tcW w:w="5060" w:type="dxa"/>
            <w:vAlign w:val="bottom"/>
          </w:tcPr>
          <w:p>
            <w:pPr>
              <w:ind w:left="20"/>
              <w:spacing w:after="0"/>
              <w:rPr>
                <w:sz w:val="20"/>
                <w:szCs w:val="20"/>
                <w:color w:val="auto"/>
              </w:rPr>
            </w:pPr>
            <w:r>
              <w:rPr>
                <w:rFonts w:ascii="Arial" w:cs="Arial" w:eastAsia="Arial" w:hAnsi="Arial"/>
                <w:sz w:val="18"/>
                <w:szCs w:val="18"/>
                <w:color w:val="auto"/>
              </w:rPr>
              <w:t>Accumulated benefit obligation at December 31</w:t>
            </w:r>
          </w:p>
        </w:tc>
        <w:tc>
          <w:tcPr>
            <w:tcW w:w="1240" w:type="dxa"/>
            <w:vAlign w:val="bottom"/>
          </w:tcPr>
          <w:p>
            <w:pPr>
              <w:jc w:val="right"/>
              <w:ind w:right="293"/>
              <w:spacing w:after="0"/>
              <w:rPr>
                <w:sz w:val="20"/>
                <w:szCs w:val="20"/>
                <w:color w:val="auto"/>
              </w:rPr>
            </w:pPr>
            <w:r>
              <w:rPr>
                <w:rFonts w:ascii="Arial" w:cs="Arial" w:eastAsia="Arial" w:hAnsi="Arial"/>
                <w:sz w:val="18"/>
                <w:szCs w:val="18"/>
                <w:color w:val="auto"/>
              </w:rPr>
              <w:t>15,781</w:t>
            </w:r>
          </w:p>
        </w:tc>
        <w:tc>
          <w:tcPr>
            <w:tcW w:w="740" w:type="dxa"/>
            <w:vAlign w:val="bottom"/>
          </w:tcPr>
          <w:p>
            <w:pPr>
              <w:jc w:val="right"/>
              <w:spacing w:after="0"/>
              <w:rPr>
                <w:sz w:val="20"/>
                <w:szCs w:val="20"/>
                <w:color w:val="auto"/>
              </w:rPr>
            </w:pPr>
            <w:r>
              <w:rPr>
                <w:rFonts w:ascii="Arial" w:cs="Arial" w:eastAsia="Arial" w:hAnsi="Arial"/>
                <w:sz w:val="18"/>
                <w:szCs w:val="18"/>
                <w:color w:val="auto"/>
              </w:rPr>
              <w:t>17,502</w:t>
            </w:r>
          </w:p>
        </w:tc>
        <w:tc>
          <w:tcPr>
            <w:tcW w:w="100" w:type="dxa"/>
            <w:vAlign w:val="bottom"/>
          </w:tcPr>
          <w:p>
            <w:pPr>
              <w:spacing w:after="0"/>
              <w:rPr>
                <w:sz w:val="19"/>
                <w:szCs w:val="19"/>
                <w:color w:val="auto"/>
              </w:rPr>
            </w:pPr>
          </w:p>
        </w:tc>
        <w:tc>
          <w:tcPr>
            <w:tcW w:w="1340" w:type="dxa"/>
            <w:vAlign w:val="bottom"/>
          </w:tcPr>
          <w:p>
            <w:pPr>
              <w:jc w:val="right"/>
              <w:ind w:right="375"/>
              <w:spacing w:after="0"/>
              <w:rPr>
                <w:sz w:val="20"/>
                <w:szCs w:val="20"/>
                <w:color w:val="auto"/>
              </w:rPr>
            </w:pPr>
            <w:r>
              <w:rPr>
                <w:rFonts w:ascii="Arial" w:cs="Arial" w:eastAsia="Arial" w:hAnsi="Arial"/>
                <w:sz w:val="18"/>
                <w:szCs w:val="18"/>
                <w:color w:val="auto"/>
              </w:rPr>
              <w:t>27,373</w:t>
            </w:r>
          </w:p>
        </w:tc>
        <w:tc>
          <w:tcPr>
            <w:tcW w:w="660" w:type="dxa"/>
            <w:vAlign w:val="bottom"/>
          </w:tcPr>
          <w:p>
            <w:pPr>
              <w:jc w:val="right"/>
              <w:spacing w:after="0"/>
              <w:rPr>
                <w:sz w:val="20"/>
                <w:szCs w:val="20"/>
                <w:color w:val="auto"/>
              </w:rPr>
            </w:pPr>
            <w:r>
              <w:rPr>
                <w:rFonts w:ascii="Arial" w:cs="Arial" w:eastAsia="Arial" w:hAnsi="Arial"/>
                <w:sz w:val="18"/>
                <w:szCs w:val="18"/>
                <w:color w:val="auto"/>
              </w:rPr>
              <w:t>30,952</w:t>
            </w:r>
          </w:p>
        </w:tc>
        <w:tc>
          <w:tcPr>
            <w:tcW w:w="120" w:type="dxa"/>
            <w:vAlign w:val="bottom"/>
          </w:tcPr>
          <w:p>
            <w:pPr>
              <w:spacing w:after="0"/>
              <w:rPr>
                <w:sz w:val="19"/>
                <w:szCs w:val="19"/>
                <w:color w:val="auto"/>
              </w:rPr>
            </w:pPr>
          </w:p>
        </w:tc>
        <w:tc>
          <w:tcPr>
            <w:tcW w:w="1300" w:type="dxa"/>
            <w:vAlign w:val="bottom"/>
          </w:tcPr>
          <w:p>
            <w:pPr>
              <w:jc w:val="right"/>
              <w:ind w:right="354"/>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3" w:lineRule="exact"/>
        <w:rPr>
          <w:sz w:val="20"/>
          <w:szCs w:val="20"/>
          <w:color w:val="auto"/>
        </w:rPr>
      </w:pPr>
    </w:p>
    <w:p>
      <w:pPr>
        <w:ind w:left="320" w:hanging="312"/>
        <w:spacing w:after="0"/>
        <w:tabs>
          <w:tab w:leader="none" w:pos="320" w:val="left"/>
        </w:tabs>
        <w:numPr>
          <w:ilvl w:val="0"/>
          <w:numId w:val="25"/>
        </w:numPr>
        <w:rPr>
          <w:rFonts w:ascii="Arial" w:cs="Arial" w:eastAsia="Arial" w:hAnsi="Arial"/>
          <w:sz w:val="17"/>
          <w:szCs w:val="17"/>
          <w:i w:val="1"/>
          <w:iCs w:val="1"/>
          <w:color w:val="auto"/>
        </w:rPr>
      </w:pPr>
      <w:r>
        <w:rPr>
          <w:rFonts w:ascii="Arial" w:cs="Arial" w:eastAsia="Arial" w:hAnsi="Arial"/>
          <w:sz w:val="17"/>
          <w:szCs w:val="17"/>
          <w:i w:val="1"/>
          <w:iCs w:val="1"/>
          <w:color w:val="auto"/>
        </w:rPr>
        <w:t>Actuarial loss/(gain) primarily reflects changes in discount rates, lower long-term rates of compensation and a lower health care cost trend rate.</w:t>
      </w:r>
    </w:p>
    <w:p>
      <w:pPr>
        <w:spacing w:after="0" w:line="74" w:lineRule="exact"/>
        <w:rPr>
          <w:rFonts w:ascii="Arial" w:cs="Arial" w:eastAsia="Arial" w:hAnsi="Arial"/>
          <w:sz w:val="17"/>
          <w:szCs w:val="17"/>
          <w:i w:val="1"/>
          <w:iCs w:val="1"/>
          <w:color w:val="auto"/>
        </w:rPr>
      </w:pPr>
    </w:p>
    <w:p>
      <w:pPr>
        <w:ind w:left="320" w:hanging="312"/>
        <w:spacing w:after="0"/>
        <w:tabs>
          <w:tab w:leader="none" w:pos="320" w:val="left"/>
        </w:tabs>
        <w:numPr>
          <w:ilvl w:val="0"/>
          <w:numId w:val="25"/>
        </w:numPr>
        <w:rPr>
          <w:rFonts w:ascii="Arial" w:cs="Arial" w:eastAsia="Arial" w:hAnsi="Arial"/>
          <w:sz w:val="18"/>
          <w:szCs w:val="18"/>
          <w:i w:val="1"/>
          <w:iCs w:val="1"/>
          <w:color w:val="auto"/>
        </w:rPr>
      </w:pPr>
      <w:r>
        <w:rPr>
          <w:rFonts w:ascii="Arial" w:cs="Arial" w:eastAsia="Arial" w:hAnsi="Arial"/>
          <w:sz w:val="18"/>
          <w:szCs w:val="18"/>
          <w:i w:val="1"/>
          <w:iCs w:val="1"/>
          <w:color w:val="auto"/>
        </w:rPr>
        <w:t>Benefit payments for funded and unfunded plans.</w:t>
      </w:r>
    </w:p>
    <w:p>
      <w:pPr>
        <w:spacing w:after="0" w:line="63" w:lineRule="exact"/>
        <w:rPr>
          <w:rFonts w:ascii="Arial" w:cs="Arial" w:eastAsia="Arial" w:hAnsi="Arial"/>
          <w:sz w:val="18"/>
          <w:szCs w:val="18"/>
          <w:i w:val="1"/>
          <w:iCs w:val="1"/>
          <w:color w:val="auto"/>
        </w:rPr>
      </w:pPr>
    </w:p>
    <w:p>
      <w:pPr>
        <w:ind w:left="320" w:hanging="312"/>
        <w:spacing w:after="0"/>
        <w:tabs>
          <w:tab w:leader="none" w:pos="320" w:val="left"/>
        </w:tabs>
        <w:numPr>
          <w:ilvl w:val="0"/>
          <w:numId w:val="25"/>
        </w:numPr>
        <w:rPr>
          <w:rFonts w:ascii="Arial" w:cs="Arial" w:eastAsia="Arial" w:hAnsi="Arial"/>
          <w:sz w:val="18"/>
          <w:szCs w:val="18"/>
          <w:i w:val="1"/>
          <w:iCs w:val="1"/>
          <w:color w:val="auto"/>
        </w:rPr>
      </w:pPr>
      <w:r>
        <w:rPr>
          <w:rFonts w:ascii="Arial" w:cs="Arial" w:eastAsia="Arial" w:hAnsi="Arial"/>
          <w:sz w:val="18"/>
          <w:szCs w:val="18"/>
          <w:i w:val="1"/>
          <w:iCs w:val="1"/>
          <w:color w:val="auto"/>
        </w:rPr>
        <w:t>For 2021 and 2020, other postretirement benefits paid are net of $9 million and $16 million of Medicare subsidy receipts, respectively.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selection of the discount rate for U.S. plans, several sources of information are considered, including interest rate market indicators and the effective discount rate determined by use of a yield curve based on high-quality, noncallable bonds applied to the estimated cash outflows for benefit payments. For major non-U.S. plans, the discount rate is determined by using a spot yield curve of high-quality, local-currency-denominated bonds at an average maturity approximating that of the liabilities.</w:t>
      </w:r>
    </w:p>
    <w:p>
      <w:pPr>
        <w:spacing w:after="0" w:line="52" w:lineRule="exact"/>
        <w:rPr>
          <w:sz w:val="20"/>
          <w:szCs w:val="20"/>
          <w:color w:val="auto"/>
        </w:rPr>
      </w:pPr>
    </w:p>
    <w:p>
      <w:pPr>
        <w:spacing w:after="0"/>
        <w:rPr>
          <w:sz w:val="20"/>
          <w:szCs w:val="20"/>
          <w:color w:val="auto"/>
        </w:rPr>
      </w:pPr>
      <w:r>
        <w:rPr>
          <w:rFonts w:ascii="Arial" w:cs="Arial" w:eastAsia="Arial" w:hAnsi="Arial"/>
          <w:sz w:val="16"/>
          <w:szCs w:val="16"/>
          <w:color w:val="auto"/>
        </w:rPr>
        <w:t>The measurement of the accumulated postretirement benefit obligation assumes a health care cost trend rate of 4.0 percent in 2023 and subsequent years.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180" w:type="dxa"/>
            <w:vAlign w:val="bottom"/>
            <w:gridSpan w:val="3"/>
          </w:tcPr>
          <w:p>
            <w:pPr>
              <w:jc w:val="right"/>
              <w:ind w:right="795"/>
              <w:spacing w:after="0"/>
              <w:rPr>
                <w:sz w:val="20"/>
                <w:szCs w:val="20"/>
                <w:color w:val="auto"/>
              </w:rPr>
            </w:pPr>
            <w:r>
              <w:rPr>
                <w:rFonts w:ascii="Arial" w:cs="Arial" w:eastAsia="Arial" w:hAnsi="Arial"/>
                <w:sz w:val="14"/>
                <w:szCs w:val="14"/>
                <w:b w:val="1"/>
                <w:bCs w:val="1"/>
                <w:color w:val="auto"/>
              </w:rPr>
              <w:t>Pension Benefits</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80" w:type="dxa"/>
            <w:vAlign w:val="bottom"/>
            <w:gridSpan w:val="2"/>
          </w:tcPr>
          <w:p>
            <w:pPr>
              <w:jc w:val="right"/>
              <w:ind w:right="252"/>
              <w:spacing w:after="0"/>
              <w:rPr>
                <w:sz w:val="20"/>
                <w:szCs w:val="20"/>
                <w:color w:val="auto"/>
              </w:rPr>
            </w:pPr>
            <w:r>
              <w:rPr>
                <w:rFonts w:ascii="Arial" w:cs="Arial" w:eastAsia="Arial" w:hAnsi="Arial"/>
                <w:sz w:val="14"/>
                <w:szCs w:val="14"/>
                <w:b w:val="1"/>
                <w:bCs w:val="1"/>
                <w:color w:val="auto"/>
              </w:rPr>
              <w:t>Other Postretirement</w:t>
            </w:r>
          </w:p>
        </w:tc>
        <w:tc>
          <w:tcPr>
            <w:tcW w:w="0" w:type="dxa"/>
            <w:vAlign w:val="bottom"/>
          </w:tcPr>
          <w:p>
            <w:pPr>
              <w:spacing w:after="0"/>
              <w:rPr>
                <w:sz w:val="1"/>
                <w:szCs w:val="1"/>
                <w:color w:val="auto"/>
              </w:rPr>
            </w:pPr>
          </w:p>
        </w:tc>
      </w:tr>
      <w:tr>
        <w:trPr>
          <w:trHeight w:val="39"/>
        </w:trPr>
        <w:tc>
          <w:tcPr>
            <w:tcW w:w="5060" w:type="dxa"/>
            <w:vAlign w:val="bottom"/>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3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Benefits</w:t>
            </w:r>
          </w:p>
        </w:tc>
        <w:tc>
          <w:tcPr>
            <w:tcW w:w="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5060" w:type="dxa"/>
            <w:vAlign w:val="bottom"/>
          </w:tcPr>
          <w:p>
            <w:pPr>
              <w:spacing w:after="0"/>
              <w:rPr>
                <w:sz w:val="16"/>
                <w:szCs w:val="16"/>
                <w:color w:val="auto"/>
              </w:rPr>
            </w:pPr>
          </w:p>
        </w:tc>
        <w:tc>
          <w:tcPr>
            <w:tcW w:w="1240" w:type="dxa"/>
            <w:vAlign w:val="bottom"/>
          </w:tcPr>
          <w:p>
            <w:pPr>
              <w:jc w:val="right"/>
              <w:ind w:right="34"/>
              <w:spacing w:after="0"/>
              <w:rPr>
                <w:sz w:val="20"/>
                <w:szCs w:val="20"/>
                <w:color w:val="auto"/>
              </w:rPr>
            </w:pPr>
            <w:r>
              <w:rPr>
                <w:rFonts w:ascii="Arial" w:cs="Arial" w:eastAsia="Arial" w:hAnsi="Arial"/>
                <w:sz w:val="14"/>
                <w:szCs w:val="14"/>
                <w:b w:val="1"/>
                <w:bCs w:val="1"/>
                <w:color w:val="auto"/>
              </w:rPr>
              <w:t>U.S.</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center"/>
              <w:ind w:left="575"/>
              <w:spacing w:after="0"/>
              <w:rPr>
                <w:sz w:val="20"/>
                <w:szCs w:val="20"/>
                <w:color w:val="auto"/>
              </w:rPr>
            </w:pPr>
            <w:r>
              <w:rPr>
                <w:rFonts w:ascii="Arial" w:cs="Arial" w:eastAsia="Arial" w:hAnsi="Arial"/>
                <w:sz w:val="14"/>
                <w:szCs w:val="14"/>
                <w:b w:val="1"/>
                <w:bCs w:val="1"/>
                <w:color w:val="auto"/>
                <w:w w:val="94"/>
              </w:rPr>
              <w:t>Non-U.S.</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06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50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2021</w:t>
            </w:r>
          </w:p>
        </w:tc>
        <w:tc>
          <w:tcPr>
            <w:tcW w:w="7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2021</w:t>
            </w:r>
          </w:p>
        </w:tc>
        <w:tc>
          <w:tcPr>
            <w:tcW w:w="68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0"/>
        </w:trPr>
        <w:tc>
          <w:tcPr>
            <w:tcW w:w="50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20" w:type="dxa"/>
            <w:vAlign w:val="bottom"/>
            <w:gridSpan w:val="3"/>
          </w:tcPr>
          <w:p>
            <w:pPr>
              <w:jc w:val="center"/>
              <w:ind w:right="100"/>
              <w:spacing w:after="0"/>
              <w:rPr>
                <w:sz w:val="20"/>
                <w:szCs w:val="20"/>
                <w:color w:val="auto"/>
              </w:rPr>
            </w:pPr>
            <w:r>
              <w:rPr>
                <w:rFonts w:ascii="Arial" w:cs="Arial" w:eastAsia="Arial" w:hAnsi="Arial"/>
                <w:sz w:val="14"/>
                <w:szCs w:val="14"/>
                <w:i w:val="1"/>
                <w:iCs w:val="1"/>
                <w:color w:val="auto"/>
                <w:w w:val="97"/>
              </w:rPr>
              <w:t>(millions of dollars)</w:t>
            </w:r>
          </w:p>
        </w:tc>
        <w:tc>
          <w:tcPr>
            <w:tcW w:w="1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5060" w:type="dxa"/>
            <w:vAlign w:val="bottom"/>
          </w:tcPr>
          <w:p>
            <w:pPr>
              <w:ind w:left="20"/>
              <w:spacing w:after="0"/>
              <w:rPr>
                <w:sz w:val="20"/>
                <w:szCs w:val="20"/>
                <w:color w:val="auto"/>
              </w:rPr>
            </w:pPr>
            <w:r>
              <w:rPr>
                <w:rFonts w:ascii="Arial" w:cs="Arial" w:eastAsia="Arial" w:hAnsi="Arial"/>
                <w:sz w:val="18"/>
                <w:szCs w:val="18"/>
                <w:color w:val="auto"/>
              </w:rPr>
              <w:t>Change in plan assets</w:t>
            </w:r>
          </w:p>
        </w:tc>
        <w:tc>
          <w:tcPr>
            <w:tcW w:w="12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220"/>
              <w:spacing w:after="0"/>
              <w:rPr>
                <w:sz w:val="20"/>
                <w:szCs w:val="20"/>
                <w:color w:val="auto"/>
              </w:rPr>
            </w:pPr>
            <w:r>
              <w:rPr>
                <w:rFonts w:ascii="Arial" w:cs="Arial" w:eastAsia="Arial" w:hAnsi="Arial"/>
                <w:sz w:val="18"/>
                <w:szCs w:val="18"/>
                <w:color w:val="auto"/>
              </w:rPr>
              <w:t>Fair value at January 1</w:t>
            </w:r>
          </w:p>
        </w:tc>
        <w:tc>
          <w:tcPr>
            <w:tcW w:w="1240" w:type="dxa"/>
            <w:vAlign w:val="bottom"/>
          </w:tcPr>
          <w:p>
            <w:pPr>
              <w:jc w:val="right"/>
              <w:ind w:right="294"/>
              <w:spacing w:after="0"/>
              <w:rPr>
                <w:sz w:val="20"/>
                <w:szCs w:val="20"/>
                <w:color w:val="auto"/>
              </w:rPr>
            </w:pPr>
            <w:r>
              <w:rPr>
                <w:rFonts w:ascii="Arial" w:cs="Arial" w:eastAsia="Arial" w:hAnsi="Arial"/>
                <w:sz w:val="18"/>
                <w:szCs w:val="18"/>
                <w:color w:val="auto"/>
              </w:rPr>
              <w:t>15,300</w:t>
            </w:r>
          </w:p>
        </w:tc>
        <w:tc>
          <w:tcPr>
            <w:tcW w:w="740" w:type="dxa"/>
            <w:vAlign w:val="bottom"/>
          </w:tcPr>
          <w:p>
            <w:pPr>
              <w:jc w:val="right"/>
              <w:spacing w:after="0"/>
              <w:rPr>
                <w:sz w:val="20"/>
                <w:szCs w:val="20"/>
                <w:color w:val="auto"/>
              </w:rPr>
            </w:pPr>
            <w:r>
              <w:rPr>
                <w:rFonts w:ascii="Arial" w:cs="Arial" w:eastAsia="Arial" w:hAnsi="Arial"/>
                <w:sz w:val="18"/>
                <w:szCs w:val="18"/>
                <w:color w:val="auto"/>
              </w:rPr>
              <w:t>13,636</w:t>
            </w:r>
          </w:p>
        </w:tc>
        <w:tc>
          <w:tcPr>
            <w:tcW w:w="100" w:type="dxa"/>
            <w:vAlign w:val="bottom"/>
          </w:tcPr>
          <w:p>
            <w:pPr>
              <w:spacing w:after="0"/>
              <w:rPr>
                <w:sz w:val="19"/>
                <w:szCs w:val="19"/>
                <w:color w:val="auto"/>
              </w:rPr>
            </w:pPr>
          </w:p>
        </w:tc>
        <w:tc>
          <w:tcPr>
            <w:tcW w:w="1340" w:type="dxa"/>
            <w:vAlign w:val="bottom"/>
          </w:tcPr>
          <w:p>
            <w:pPr>
              <w:jc w:val="right"/>
              <w:ind w:right="375"/>
              <w:spacing w:after="0"/>
              <w:rPr>
                <w:sz w:val="20"/>
                <w:szCs w:val="20"/>
                <w:color w:val="auto"/>
              </w:rPr>
            </w:pPr>
            <w:r>
              <w:rPr>
                <w:rFonts w:ascii="Arial" w:cs="Arial" w:eastAsia="Arial" w:hAnsi="Arial"/>
                <w:sz w:val="18"/>
                <w:szCs w:val="18"/>
                <w:color w:val="auto"/>
              </w:rPr>
              <w:t>26,216</w:t>
            </w:r>
          </w:p>
        </w:tc>
        <w:tc>
          <w:tcPr>
            <w:tcW w:w="660" w:type="dxa"/>
            <w:vAlign w:val="bottom"/>
          </w:tcPr>
          <w:p>
            <w:pPr>
              <w:jc w:val="right"/>
              <w:spacing w:after="0"/>
              <w:rPr>
                <w:sz w:val="20"/>
                <w:szCs w:val="20"/>
                <w:color w:val="auto"/>
              </w:rPr>
            </w:pPr>
            <w:r>
              <w:rPr>
                <w:rFonts w:ascii="Arial" w:cs="Arial" w:eastAsia="Arial" w:hAnsi="Arial"/>
                <w:sz w:val="18"/>
                <w:szCs w:val="18"/>
                <w:color w:val="auto"/>
              </w:rPr>
              <w:t>22,916</w:t>
            </w:r>
          </w:p>
        </w:tc>
        <w:tc>
          <w:tcPr>
            <w:tcW w:w="120" w:type="dxa"/>
            <w:vAlign w:val="bottom"/>
          </w:tcPr>
          <w:p>
            <w:pPr>
              <w:spacing w:after="0"/>
              <w:rPr>
                <w:sz w:val="19"/>
                <w:szCs w:val="19"/>
                <w:color w:val="auto"/>
              </w:rPr>
            </w:pPr>
          </w:p>
        </w:tc>
        <w:tc>
          <w:tcPr>
            <w:tcW w:w="1300" w:type="dxa"/>
            <w:vAlign w:val="bottom"/>
          </w:tcPr>
          <w:p>
            <w:pPr>
              <w:jc w:val="right"/>
              <w:ind w:right="355"/>
              <w:spacing w:after="0"/>
              <w:rPr>
                <w:sz w:val="20"/>
                <w:szCs w:val="20"/>
                <w:color w:val="auto"/>
              </w:rPr>
            </w:pPr>
            <w:r>
              <w:rPr>
                <w:rFonts w:ascii="Arial" w:cs="Arial" w:eastAsia="Arial" w:hAnsi="Arial"/>
                <w:sz w:val="18"/>
                <w:szCs w:val="18"/>
                <w:color w:val="auto"/>
              </w:rPr>
              <w:t>446</w:t>
            </w:r>
          </w:p>
        </w:tc>
        <w:tc>
          <w:tcPr>
            <w:tcW w:w="680" w:type="dxa"/>
            <w:vAlign w:val="bottom"/>
          </w:tcPr>
          <w:p>
            <w:pPr>
              <w:jc w:val="right"/>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29"/>
        </w:trPr>
        <w:tc>
          <w:tcPr>
            <w:tcW w:w="5060" w:type="dxa"/>
            <w:vAlign w:val="bottom"/>
          </w:tcPr>
          <w:p>
            <w:pPr>
              <w:ind w:left="220"/>
              <w:spacing w:after="0"/>
              <w:rPr>
                <w:sz w:val="20"/>
                <w:szCs w:val="20"/>
                <w:color w:val="auto"/>
              </w:rPr>
            </w:pPr>
            <w:r>
              <w:rPr>
                <w:rFonts w:ascii="Arial" w:cs="Arial" w:eastAsia="Arial" w:hAnsi="Arial"/>
                <w:sz w:val="18"/>
                <w:szCs w:val="18"/>
                <w:color w:val="auto"/>
              </w:rPr>
              <w:t>Actual return on plan assets</w:t>
            </w:r>
          </w:p>
        </w:tc>
        <w:tc>
          <w:tcPr>
            <w:tcW w:w="1240" w:type="dxa"/>
            <w:vAlign w:val="bottom"/>
          </w:tcPr>
          <w:p>
            <w:pPr>
              <w:jc w:val="right"/>
              <w:ind w:right="294"/>
              <w:spacing w:after="0"/>
              <w:rPr>
                <w:sz w:val="20"/>
                <w:szCs w:val="20"/>
                <w:color w:val="auto"/>
              </w:rPr>
            </w:pPr>
            <w:r>
              <w:rPr>
                <w:rFonts w:ascii="Arial" w:cs="Arial" w:eastAsia="Arial" w:hAnsi="Arial"/>
                <w:sz w:val="18"/>
                <w:szCs w:val="18"/>
                <w:color w:val="auto"/>
              </w:rPr>
              <w:t>479</w:t>
            </w:r>
          </w:p>
        </w:tc>
        <w:tc>
          <w:tcPr>
            <w:tcW w:w="740" w:type="dxa"/>
            <w:vAlign w:val="bottom"/>
          </w:tcPr>
          <w:p>
            <w:pPr>
              <w:jc w:val="right"/>
              <w:spacing w:after="0"/>
              <w:rPr>
                <w:sz w:val="20"/>
                <w:szCs w:val="20"/>
                <w:color w:val="auto"/>
              </w:rPr>
            </w:pPr>
            <w:r>
              <w:rPr>
                <w:rFonts w:ascii="Arial" w:cs="Arial" w:eastAsia="Arial" w:hAnsi="Arial"/>
                <w:sz w:val="18"/>
                <w:szCs w:val="18"/>
                <w:color w:val="auto"/>
              </w:rPr>
              <w:t>2,269</w:t>
            </w:r>
          </w:p>
        </w:tc>
        <w:tc>
          <w:tcPr>
            <w:tcW w:w="100" w:type="dxa"/>
            <w:vAlign w:val="bottom"/>
          </w:tcPr>
          <w:p>
            <w:pPr>
              <w:spacing w:after="0"/>
              <w:rPr>
                <w:sz w:val="19"/>
                <w:szCs w:val="19"/>
                <w:color w:val="auto"/>
              </w:rPr>
            </w:pPr>
          </w:p>
        </w:tc>
        <w:tc>
          <w:tcPr>
            <w:tcW w:w="1340" w:type="dxa"/>
            <w:vAlign w:val="bottom"/>
          </w:tcPr>
          <w:p>
            <w:pPr>
              <w:jc w:val="right"/>
              <w:ind w:right="375"/>
              <w:spacing w:after="0"/>
              <w:rPr>
                <w:sz w:val="20"/>
                <w:szCs w:val="20"/>
                <w:color w:val="auto"/>
              </w:rPr>
            </w:pPr>
            <w:r>
              <w:rPr>
                <w:rFonts w:ascii="Arial" w:cs="Arial" w:eastAsia="Arial" w:hAnsi="Arial"/>
                <w:sz w:val="18"/>
                <w:szCs w:val="18"/>
                <w:color w:val="auto"/>
              </w:rPr>
              <w:t>571</w:t>
            </w:r>
          </w:p>
        </w:tc>
        <w:tc>
          <w:tcPr>
            <w:tcW w:w="660" w:type="dxa"/>
            <w:vAlign w:val="bottom"/>
          </w:tcPr>
          <w:p>
            <w:pPr>
              <w:jc w:val="right"/>
              <w:spacing w:after="0"/>
              <w:rPr>
                <w:sz w:val="20"/>
                <w:szCs w:val="20"/>
                <w:color w:val="auto"/>
              </w:rPr>
            </w:pPr>
            <w:r>
              <w:rPr>
                <w:rFonts w:ascii="Arial" w:cs="Arial" w:eastAsia="Arial" w:hAnsi="Arial"/>
                <w:sz w:val="18"/>
                <w:szCs w:val="18"/>
                <w:color w:val="auto"/>
              </w:rPr>
              <w:t>2,795</w:t>
            </w:r>
          </w:p>
        </w:tc>
        <w:tc>
          <w:tcPr>
            <w:tcW w:w="120" w:type="dxa"/>
            <w:vAlign w:val="bottom"/>
          </w:tcPr>
          <w:p>
            <w:pPr>
              <w:spacing w:after="0"/>
              <w:rPr>
                <w:sz w:val="19"/>
                <w:szCs w:val="19"/>
                <w:color w:val="auto"/>
              </w:rPr>
            </w:pPr>
          </w:p>
        </w:tc>
        <w:tc>
          <w:tcPr>
            <w:tcW w:w="1300" w:type="dxa"/>
            <w:vAlign w:val="bottom"/>
          </w:tcPr>
          <w:p>
            <w:pPr>
              <w:jc w:val="right"/>
              <w:ind w:right="355"/>
              <w:spacing w:after="0"/>
              <w:rPr>
                <w:sz w:val="20"/>
                <w:szCs w:val="20"/>
                <w:color w:val="auto"/>
              </w:rPr>
            </w:pPr>
            <w:r>
              <w:rPr>
                <w:rFonts w:ascii="Arial" w:cs="Arial" w:eastAsia="Arial" w:hAnsi="Arial"/>
                <w:sz w:val="18"/>
                <w:szCs w:val="18"/>
                <w:color w:val="auto"/>
              </w:rPr>
              <w:t>20</w:t>
            </w:r>
          </w:p>
        </w:tc>
        <w:tc>
          <w:tcPr>
            <w:tcW w:w="68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5060" w:type="dxa"/>
            <w:vAlign w:val="bottom"/>
          </w:tcPr>
          <w:p>
            <w:pPr>
              <w:ind w:left="220"/>
              <w:spacing w:after="0"/>
              <w:rPr>
                <w:sz w:val="20"/>
                <w:szCs w:val="20"/>
                <w:color w:val="auto"/>
              </w:rPr>
            </w:pPr>
            <w:r>
              <w:rPr>
                <w:rFonts w:ascii="Arial" w:cs="Arial" w:eastAsia="Arial" w:hAnsi="Arial"/>
                <w:sz w:val="18"/>
                <w:szCs w:val="18"/>
                <w:color w:val="auto"/>
              </w:rPr>
              <w:t>Foreign exchange rate changes</w:t>
            </w:r>
          </w:p>
        </w:tc>
        <w:tc>
          <w:tcPr>
            <w:tcW w:w="1240" w:type="dxa"/>
            <w:vAlign w:val="bottom"/>
          </w:tcPr>
          <w:p>
            <w:pPr>
              <w:jc w:val="right"/>
              <w:ind w:right="294"/>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35"/>
              <w:spacing w:after="0"/>
              <w:rPr>
                <w:sz w:val="20"/>
                <w:szCs w:val="20"/>
                <w:color w:val="auto"/>
              </w:rPr>
            </w:pPr>
            <w:r>
              <w:rPr>
                <w:rFonts w:ascii="Arial" w:cs="Arial" w:eastAsia="Arial" w:hAnsi="Arial"/>
                <w:sz w:val="18"/>
                <w:szCs w:val="18"/>
                <w:color w:val="auto"/>
              </w:rPr>
              <w:t>(605)</w:t>
            </w:r>
          </w:p>
        </w:tc>
        <w:tc>
          <w:tcPr>
            <w:tcW w:w="660" w:type="dxa"/>
            <w:vAlign w:val="bottom"/>
          </w:tcPr>
          <w:p>
            <w:pPr>
              <w:jc w:val="right"/>
              <w:spacing w:after="0"/>
              <w:rPr>
                <w:sz w:val="20"/>
                <w:szCs w:val="20"/>
                <w:color w:val="auto"/>
              </w:rPr>
            </w:pPr>
            <w:r>
              <w:rPr>
                <w:rFonts w:ascii="Arial" w:cs="Arial" w:eastAsia="Arial" w:hAnsi="Arial"/>
                <w:sz w:val="18"/>
                <w:szCs w:val="18"/>
                <w:color w:val="auto"/>
              </w:rPr>
              <w:t>1,011</w:t>
            </w:r>
          </w:p>
        </w:tc>
        <w:tc>
          <w:tcPr>
            <w:tcW w:w="120" w:type="dxa"/>
            <w:vAlign w:val="bottom"/>
          </w:tcPr>
          <w:p>
            <w:pPr>
              <w:spacing w:after="0"/>
              <w:rPr>
                <w:sz w:val="19"/>
                <w:szCs w:val="19"/>
                <w:color w:val="auto"/>
              </w:rPr>
            </w:pPr>
          </w:p>
        </w:tc>
        <w:tc>
          <w:tcPr>
            <w:tcW w:w="1300" w:type="dxa"/>
            <w:vAlign w:val="bottom"/>
          </w:tcPr>
          <w:p>
            <w:pPr>
              <w:jc w:val="right"/>
              <w:ind w:right="355"/>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60" w:type="dxa"/>
            <w:vAlign w:val="bottom"/>
          </w:tcPr>
          <w:p>
            <w:pPr>
              <w:ind w:left="220"/>
              <w:spacing w:after="0"/>
              <w:rPr>
                <w:sz w:val="20"/>
                <w:szCs w:val="20"/>
                <w:color w:val="auto"/>
              </w:rPr>
            </w:pPr>
            <w:r>
              <w:rPr>
                <w:rFonts w:ascii="Arial" w:cs="Arial" w:eastAsia="Arial" w:hAnsi="Arial"/>
                <w:sz w:val="18"/>
                <w:szCs w:val="18"/>
                <w:color w:val="auto"/>
              </w:rPr>
              <w:t>Company contribution</w:t>
            </w:r>
          </w:p>
        </w:tc>
        <w:tc>
          <w:tcPr>
            <w:tcW w:w="1240" w:type="dxa"/>
            <w:vAlign w:val="bottom"/>
          </w:tcPr>
          <w:p>
            <w:pPr>
              <w:jc w:val="right"/>
              <w:ind w:right="294"/>
              <w:spacing w:after="0"/>
              <w:rPr>
                <w:sz w:val="20"/>
                <w:szCs w:val="20"/>
                <w:color w:val="auto"/>
              </w:rPr>
            </w:pPr>
            <w:r>
              <w:rPr>
                <w:rFonts w:ascii="Arial" w:cs="Arial" w:eastAsia="Arial" w:hAnsi="Arial"/>
                <w:sz w:val="18"/>
                <w:szCs w:val="18"/>
                <w:color w:val="auto"/>
              </w:rPr>
              <w:t>794</w:t>
            </w:r>
          </w:p>
        </w:tc>
        <w:tc>
          <w:tcPr>
            <w:tcW w:w="740" w:type="dxa"/>
            <w:vAlign w:val="bottom"/>
          </w:tcPr>
          <w:p>
            <w:pPr>
              <w:jc w:val="right"/>
              <w:spacing w:after="0"/>
              <w:rPr>
                <w:sz w:val="20"/>
                <w:szCs w:val="20"/>
                <w:color w:val="auto"/>
              </w:rPr>
            </w:pPr>
            <w:r>
              <w:rPr>
                <w:rFonts w:ascii="Arial" w:cs="Arial" w:eastAsia="Arial" w:hAnsi="Arial"/>
                <w:sz w:val="18"/>
                <w:szCs w:val="18"/>
                <w:color w:val="auto"/>
              </w:rPr>
              <w:t>1,004</w:t>
            </w:r>
          </w:p>
        </w:tc>
        <w:tc>
          <w:tcPr>
            <w:tcW w:w="100" w:type="dxa"/>
            <w:vAlign w:val="bottom"/>
          </w:tcPr>
          <w:p>
            <w:pPr>
              <w:spacing w:after="0"/>
              <w:rPr>
                <w:sz w:val="19"/>
                <w:szCs w:val="19"/>
                <w:color w:val="auto"/>
              </w:rPr>
            </w:pPr>
          </w:p>
        </w:tc>
        <w:tc>
          <w:tcPr>
            <w:tcW w:w="1340" w:type="dxa"/>
            <w:vAlign w:val="bottom"/>
          </w:tcPr>
          <w:p>
            <w:pPr>
              <w:jc w:val="right"/>
              <w:ind w:right="375"/>
              <w:spacing w:after="0"/>
              <w:rPr>
                <w:sz w:val="20"/>
                <w:szCs w:val="20"/>
                <w:color w:val="auto"/>
              </w:rPr>
            </w:pPr>
            <w:r>
              <w:rPr>
                <w:rFonts w:ascii="Arial" w:cs="Arial" w:eastAsia="Arial" w:hAnsi="Arial"/>
                <w:sz w:val="18"/>
                <w:szCs w:val="18"/>
                <w:color w:val="auto"/>
              </w:rPr>
              <w:t>293</w:t>
            </w:r>
          </w:p>
        </w:tc>
        <w:tc>
          <w:tcPr>
            <w:tcW w:w="660" w:type="dxa"/>
            <w:vAlign w:val="bottom"/>
          </w:tcPr>
          <w:p>
            <w:pPr>
              <w:jc w:val="right"/>
              <w:spacing w:after="0"/>
              <w:rPr>
                <w:sz w:val="20"/>
                <w:szCs w:val="20"/>
                <w:color w:val="auto"/>
              </w:rPr>
            </w:pPr>
            <w:r>
              <w:rPr>
                <w:rFonts w:ascii="Arial" w:cs="Arial" w:eastAsia="Arial" w:hAnsi="Arial"/>
                <w:sz w:val="18"/>
                <w:szCs w:val="18"/>
                <w:color w:val="auto"/>
              </w:rPr>
              <w:t>597</w:t>
            </w:r>
          </w:p>
        </w:tc>
        <w:tc>
          <w:tcPr>
            <w:tcW w:w="120" w:type="dxa"/>
            <w:vAlign w:val="bottom"/>
          </w:tcPr>
          <w:p>
            <w:pPr>
              <w:spacing w:after="0"/>
              <w:rPr>
                <w:sz w:val="19"/>
                <w:szCs w:val="19"/>
                <w:color w:val="auto"/>
              </w:rPr>
            </w:pPr>
          </w:p>
        </w:tc>
        <w:tc>
          <w:tcPr>
            <w:tcW w:w="1300" w:type="dxa"/>
            <w:vAlign w:val="bottom"/>
          </w:tcPr>
          <w:p>
            <w:pPr>
              <w:jc w:val="right"/>
              <w:ind w:right="355"/>
              <w:spacing w:after="0"/>
              <w:rPr>
                <w:sz w:val="20"/>
                <w:szCs w:val="20"/>
                <w:color w:val="auto"/>
              </w:rPr>
            </w:pPr>
            <w:r>
              <w:rPr>
                <w:rFonts w:ascii="Arial" w:cs="Arial" w:eastAsia="Arial" w:hAnsi="Arial"/>
                <w:sz w:val="18"/>
                <w:szCs w:val="18"/>
                <w:color w:val="auto"/>
              </w:rPr>
              <w:t>28</w:t>
            </w:r>
          </w:p>
        </w:tc>
        <w:tc>
          <w:tcPr>
            <w:tcW w:w="6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5060" w:type="dxa"/>
            <w:vAlign w:val="bottom"/>
          </w:tcPr>
          <w:p>
            <w:pPr>
              <w:ind w:left="220"/>
              <w:spacing w:after="0"/>
              <w:rPr>
                <w:sz w:val="20"/>
                <w:szCs w:val="20"/>
                <w:color w:val="auto"/>
              </w:rPr>
            </w:pPr>
            <w:r>
              <w:rPr>
                <w:rFonts w:ascii="Arial" w:cs="Arial" w:eastAsia="Arial" w:hAnsi="Arial"/>
                <w:sz w:val="18"/>
                <w:szCs w:val="18"/>
                <w:color w:val="auto"/>
              </w:rPr>
              <w:t xml:space="preserve">Benefits paid </w:t>
            </w:r>
            <w:r>
              <w:rPr>
                <w:rFonts w:ascii="Arial" w:cs="Arial" w:eastAsia="Arial" w:hAnsi="Arial"/>
                <w:sz w:val="14"/>
                <w:szCs w:val="14"/>
                <w:i w:val="1"/>
                <w:iCs w:val="1"/>
                <w:color w:val="auto"/>
              </w:rPr>
              <w:t>(1)</w:t>
            </w:r>
          </w:p>
        </w:tc>
        <w:tc>
          <w:tcPr>
            <w:tcW w:w="1240" w:type="dxa"/>
            <w:vAlign w:val="bottom"/>
          </w:tcPr>
          <w:p>
            <w:pPr>
              <w:jc w:val="right"/>
              <w:ind w:right="254"/>
              <w:spacing w:after="0"/>
              <w:rPr>
                <w:sz w:val="20"/>
                <w:szCs w:val="20"/>
                <w:color w:val="auto"/>
              </w:rPr>
            </w:pPr>
            <w:r>
              <w:rPr>
                <w:rFonts w:ascii="Arial" w:cs="Arial" w:eastAsia="Arial" w:hAnsi="Arial"/>
                <w:sz w:val="18"/>
                <w:szCs w:val="18"/>
                <w:color w:val="auto"/>
              </w:rPr>
              <w:t>(3,307)</w:t>
            </w:r>
          </w:p>
        </w:tc>
        <w:tc>
          <w:tcPr>
            <w:tcW w:w="740" w:type="dxa"/>
            <w:vAlign w:val="bottom"/>
          </w:tcPr>
          <w:p>
            <w:pPr>
              <w:jc w:val="right"/>
              <w:spacing w:after="0"/>
              <w:rPr>
                <w:sz w:val="20"/>
                <w:szCs w:val="20"/>
                <w:color w:val="auto"/>
              </w:rPr>
            </w:pPr>
            <w:r>
              <w:rPr>
                <w:rFonts w:ascii="Arial" w:cs="Arial" w:eastAsia="Arial" w:hAnsi="Arial"/>
                <w:sz w:val="18"/>
                <w:szCs w:val="18"/>
                <w:color w:val="auto"/>
              </w:rPr>
              <w:t>(1,609)</w:t>
            </w:r>
          </w:p>
        </w:tc>
        <w:tc>
          <w:tcPr>
            <w:tcW w:w="100" w:type="dxa"/>
            <w:vAlign w:val="bottom"/>
          </w:tcPr>
          <w:p>
            <w:pPr>
              <w:spacing w:after="0"/>
              <w:rPr>
                <w:sz w:val="19"/>
                <w:szCs w:val="19"/>
                <w:color w:val="auto"/>
              </w:rPr>
            </w:pPr>
          </w:p>
        </w:tc>
        <w:tc>
          <w:tcPr>
            <w:tcW w:w="1340" w:type="dxa"/>
            <w:vAlign w:val="bottom"/>
          </w:tcPr>
          <w:p>
            <w:pPr>
              <w:jc w:val="right"/>
              <w:ind w:right="335"/>
              <w:spacing w:after="0"/>
              <w:rPr>
                <w:sz w:val="20"/>
                <w:szCs w:val="20"/>
                <w:color w:val="auto"/>
              </w:rPr>
            </w:pPr>
            <w:r>
              <w:rPr>
                <w:rFonts w:ascii="Arial" w:cs="Arial" w:eastAsia="Arial" w:hAnsi="Arial"/>
                <w:sz w:val="18"/>
                <w:szCs w:val="18"/>
                <w:color w:val="auto"/>
              </w:rPr>
              <w:t>(1,167)</w:t>
            </w:r>
          </w:p>
        </w:tc>
        <w:tc>
          <w:tcPr>
            <w:tcW w:w="660" w:type="dxa"/>
            <w:vAlign w:val="bottom"/>
          </w:tcPr>
          <w:p>
            <w:pPr>
              <w:jc w:val="right"/>
              <w:spacing w:after="0"/>
              <w:rPr>
                <w:sz w:val="20"/>
                <w:szCs w:val="20"/>
                <w:color w:val="auto"/>
              </w:rPr>
            </w:pPr>
            <w:r>
              <w:rPr>
                <w:rFonts w:ascii="Arial" w:cs="Arial" w:eastAsia="Arial" w:hAnsi="Arial"/>
                <w:sz w:val="18"/>
                <w:szCs w:val="18"/>
                <w:color w:val="auto"/>
              </w:rPr>
              <w:t>(992)</w:t>
            </w:r>
          </w:p>
        </w:tc>
        <w:tc>
          <w:tcPr>
            <w:tcW w:w="120" w:type="dxa"/>
            <w:vAlign w:val="bottom"/>
          </w:tcPr>
          <w:p>
            <w:pPr>
              <w:spacing w:after="0"/>
              <w:rPr>
                <w:sz w:val="19"/>
                <w:szCs w:val="19"/>
                <w:color w:val="auto"/>
              </w:rPr>
            </w:pPr>
          </w:p>
        </w:tc>
        <w:tc>
          <w:tcPr>
            <w:tcW w:w="1300" w:type="dxa"/>
            <w:vAlign w:val="bottom"/>
          </w:tcPr>
          <w:p>
            <w:pPr>
              <w:jc w:val="right"/>
              <w:ind w:right="315"/>
              <w:spacing w:after="0"/>
              <w:rPr>
                <w:sz w:val="20"/>
                <w:szCs w:val="20"/>
                <w:color w:val="auto"/>
              </w:rPr>
            </w:pPr>
            <w:r>
              <w:rPr>
                <w:rFonts w:ascii="Arial" w:cs="Arial" w:eastAsia="Arial" w:hAnsi="Arial"/>
                <w:sz w:val="18"/>
                <w:szCs w:val="18"/>
                <w:color w:val="auto"/>
              </w:rPr>
              <w:t>(54)</w:t>
            </w:r>
          </w:p>
        </w:tc>
        <w:tc>
          <w:tcPr>
            <w:tcW w:w="68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30"/>
        </w:trPr>
        <w:tc>
          <w:tcPr>
            <w:tcW w:w="5060" w:type="dxa"/>
            <w:vAlign w:val="bottom"/>
          </w:tcPr>
          <w:p>
            <w:pPr>
              <w:ind w:left="220"/>
              <w:spacing w:after="0"/>
              <w:rPr>
                <w:sz w:val="20"/>
                <w:szCs w:val="20"/>
                <w:color w:val="auto"/>
              </w:rPr>
            </w:pPr>
            <w:r>
              <w:rPr>
                <w:rFonts w:ascii="Arial" w:cs="Arial" w:eastAsia="Arial" w:hAnsi="Arial"/>
                <w:sz w:val="18"/>
                <w:szCs w:val="18"/>
                <w:color w:val="auto"/>
              </w:rPr>
              <w:t>Other</w:t>
            </w:r>
          </w:p>
        </w:tc>
        <w:tc>
          <w:tcPr>
            <w:tcW w:w="1240" w:type="dxa"/>
            <w:vAlign w:val="bottom"/>
            <w:tcBorders>
              <w:bottom w:val="single" w:sz="8" w:color="auto"/>
            </w:tcBorders>
          </w:tcPr>
          <w:p>
            <w:pPr>
              <w:jc w:val="right"/>
              <w:ind w:right="294"/>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335"/>
              <w:spacing w:after="0"/>
              <w:rPr>
                <w:sz w:val="20"/>
                <w:szCs w:val="20"/>
                <w:color w:val="auto"/>
              </w:rPr>
            </w:pPr>
            <w:r>
              <w:rPr>
                <w:rFonts w:ascii="Arial" w:cs="Arial" w:eastAsia="Arial" w:hAnsi="Arial"/>
                <w:sz w:val="18"/>
                <w:szCs w:val="18"/>
                <w:color w:val="auto"/>
              </w:rPr>
              <w:t>(428)</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55"/>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060" w:type="dxa"/>
            <w:vAlign w:val="bottom"/>
          </w:tcPr>
          <w:p>
            <w:pPr>
              <w:ind w:left="20"/>
              <w:spacing w:after="0"/>
              <w:rPr>
                <w:sz w:val="20"/>
                <w:szCs w:val="20"/>
                <w:color w:val="auto"/>
              </w:rPr>
            </w:pPr>
            <w:r>
              <w:rPr>
                <w:rFonts w:ascii="Arial" w:cs="Arial" w:eastAsia="Arial" w:hAnsi="Arial"/>
                <w:sz w:val="18"/>
                <w:szCs w:val="18"/>
                <w:color w:val="auto"/>
              </w:rPr>
              <w:t>Fair value at December 31</w:t>
            </w:r>
          </w:p>
        </w:tc>
        <w:tc>
          <w:tcPr>
            <w:tcW w:w="1240" w:type="dxa"/>
            <w:vAlign w:val="bottom"/>
            <w:tcBorders>
              <w:bottom w:val="single" w:sz="8" w:color="auto"/>
            </w:tcBorders>
          </w:tcPr>
          <w:p>
            <w:pPr>
              <w:jc w:val="right"/>
              <w:ind w:right="294"/>
              <w:spacing w:after="0"/>
              <w:rPr>
                <w:sz w:val="20"/>
                <w:szCs w:val="20"/>
                <w:color w:val="auto"/>
              </w:rPr>
            </w:pPr>
            <w:r>
              <w:rPr>
                <w:rFonts w:ascii="Arial" w:cs="Arial" w:eastAsia="Arial" w:hAnsi="Arial"/>
                <w:sz w:val="18"/>
                <w:szCs w:val="18"/>
                <w:color w:val="auto"/>
              </w:rPr>
              <w:t>13,266</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15,300</w:t>
            </w: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75"/>
              <w:spacing w:after="0"/>
              <w:rPr>
                <w:sz w:val="20"/>
                <w:szCs w:val="20"/>
                <w:color w:val="auto"/>
              </w:rPr>
            </w:pPr>
            <w:r>
              <w:rPr>
                <w:rFonts w:ascii="Arial" w:cs="Arial" w:eastAsia="Arial" w:hAnsi="Arial"/>
                <w:sz w:val="18"/>
                <w:szCs w:val="18"/>
                <w:color w:val="auto"/>
              </w:rPr>
              <w:t>24,880</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26,216</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55"/>
              <w:spacing w:after="0"/>
              <w:rPr>
                <w:sz w:val="20"/>
                <w:szCs w:val="20"/>
                <w:color w:val="auto"/>
              </w:rPr>
            </w:pPr>
            <w:r>
              <w:rPr>
                <w:rFonts w:ascii="Arial" w:cs="Arial" w:eastAsia="Arial" w:hAnsi="Arial"/>
                <w:sz w:val="18"/>
                <w:szCs w:val="18"/>
                <w:color w:val="auto"/>
              </w:rPr>
              <w:t>440</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i w:val="1"/>
          <w:iCs w:val="1"/>
          <w:color w:val="auto"/>
        </w:rPr>
        <w:t>(1)</w:t>
      </w:r>
      <w:r>
        <w:rPr>
          <w:sz w:val="20"/>
          <w:szCs w:val="20"/>
          <w:color w:val="auto"/>
        </w:rPr>
        <w:tab/>
      </w:r>
      <w:r>
        <w:rPr>
          <w:rFonts w:ascii="Arial" w:cs="Arial" w:eastAsia="Arial" w:hAnsi="Arial"/>
          <w:sz w:val="16"/>
          <w:szCs w:val="16"/>
          <w:i w:val="1"/>
          <w:iCs w:val="1"/>
          <w:color w:val="auto"/>
        </w:rPr>
        <w:t>Benefit payments for funded plans.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9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funding levels of all qualified pension plans are in compliance with standards set by applicable law or regulation. As shown in the table below, certain smaller U.S. pension plans and a number of non-U.S. pension plans are not funded because local applicable tax rules and regulatory practices do not encourage funding of these plans. All defined benefit pension obligations, regardless of the funding status of the underlying plans, are fully supported by the financial strength of the Corporation or the respective sponsoring affiliate.</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180" w:type="dxa"/>
            <w:vAlign w:val="bottom"/>
            <w:gridSpan w:val="3"/>
          </w:tcPr>
          <w:p>
            <w:pPr>
              <w:jc w:val="right"/>
              <w:ind w:right="797"/>
              <w:spacing w:after="0"/>
              <w:rPr>
                <w:sz w:val="20"/>
                <w:szCs w:val="20"/>
                <w:color w:val="auto"/>
              </w:rPr>
            </w:pPr>
            <w:r>
              <w:rPr>
                <w:rFonts w:ascii="Arial" w:cs="Arial" w:eastAsia="Arial" w:hAnsi="Arial"/>
                <w:sz w:val="14"/>
                <w:szCs w:val="14"/>
                <w:b w:val="1"/>
                <w:bCs w:val="1"/>
                <w:color w:val="auto"/>
              </w:rPr>
              <w:t>Pension Benefits</w:t>
            </w:r>
          </w:p>
        </w:tc>
        <w:tc>
          <w:tcPr>
            <w:tcW w:w="660" w:type="dxa"/>
            <w:vAlign w:val="bottom"/>
          </w:tcPr>
          <w:p>
            <w:pPr>
              <w:spacing w:after="0"/>
              <w:rPr>
                <w:sz w:val="16"/>
                <w:szCs w:val="16"/>
                <w:color w:val="auto"/>
              </w:rPr>
            </w:pPr>
          </w:p>
        </w:tc>
      </w:tr>
      <w:tr>
        <w:trPr>
          <w:trHeight w:val="39"/>
        </w:trPr>
        <w:tc>
          <w:tcPr>
            <w:tcW w:w="7140" w:type="dxa"/>
            <w:vAlign w:val="bottom"/>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r>
      <w:tr>
        <w:trPr>
          <w:trHeight w:val="184"/>
        </w:trPr>
        <w:tc>
          <w:tcPr>
            <w:tcW w:w="7140" w:type="dxa"/>
            <w:vAlign w:val="bottom"/>
          </w:tcPr>
          <w:p>
            <w:pPr>
              <w:spacing w:after="0"/>
              <w:rPr>
                <w:sz w:val="16"/>
                <w:szCs w:val="16"/>
                <w:color w:val="auto"/>
              </w:rPr>
            </w:pPr>
          </w:p>
        </w:tc>
        <w:tc>
          <w:tcPr>
            <w:tcW w:w="1260" w:type="dxa"/>
            <w:vAlign w:val="bottom"/>
          </w:tcPr>
          <w:p>
            <w:pPr>
              <w:jc w:val="right"/>
              <w:ind w:right="57"/>
              <w:spacing w:after="0"/>
              <w:rPr>
                <w:sz w:val="20"/>
                <w:szCs w:val="20"/>
                <w:color w:val="auto"/>
              </w:rPr>
            </w:pPr>
            <w:r>
              <w:rPr>
                <w:rFonts w:ascii="Arial" w:cs="Arial" w:eastAsia="Arial" w:hAnsi="Arial"/>
                <w:sz w:val="14"/>
                <w:szCs w:val="14"/>
                <w:b w:val="1"/>
                <w:bCs w:val="1"/>
                <w:color w:val="auto"/>
              </w:rPr>
              <w:t>U.S.</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Non-U.S.</w:t>
            </w:r>
          </w:p>
        </w:tc>
        <w:tc>
          <w:tcPr>
            <w:tcW w:w="660" w:type="dxa"/>
            <w:vAlign w:val="bottom"/>
          </w:tcPr>
          <w:p>
            <w:pPr>
              <w:spacing w:after="0"/>
              <w:rPr>
                <w:sz w:val="16"/>
                <w:szCs w:val="16"/>
                <w:color w:val="auto"/>
              </w:rPr>
            </w:pPr>
          </w:p>
        </w:tc>
      </w:tr>
      <w:tr>
        <w:trPr>
          <w:trHeight w:val="26"/>
        </w:trPr>
        <w:tc>
          <w:tcPr>
            <w:tcW w:w="714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84"/>
        </w:trPr>
        <w:tc>
          <w:tcPr>
            <w:tcW w:w="7140" w:type="dxa"/>
            <w:vAlign w:val="bottom"/>
          </w:tcPr>
          <w:p>
            <w:pPr>
              <w:spacing w:after="0"/>
              <w:rPr>
                <w:sz w:val="16"/>
                <w:szCs w:val="16"/>
                <w:color w:val="auto"/>
              </w:rPr>
            </w:pPr>
          </w:p>
        </w:tc>
        <w:tc>
          <w:tcPr>
            <w:tcW w:w="1260" w:type="dxa"/>
            <w:vAlign w:val="bottom"/>
          </w:tcPr>
          <w:p>
            <w:pPr>
              <w:jc w:val="right"/>
              <w:ind w:right="557"/>
              <w:spacing w:after="0"/>
              <w:rPr>
                <w:sz w:val="20"/>
                <w:szCs w:val="20"/>
                <w:color w:val="auto"/>
              </w:rPr>
            </w:pPr>
            <w:r>
              <w:rPr>
                <w:rFonts w:ascii="Arial" w:cs="Arial" w:eastAsia="Arial" w:hAnsi="Arial"/>
                <w:sz w:val="14"/>
                <w:szCs w:val="14"/>
                <w:b w:val="1"/>
                <w:bCs w:val="1"/>
                <w:color w:val="auto"/>
              </w:rPr>
              <w:t>2021</w:t>
            </w:r>
          </w:p>
        </w:tc>
        <w:tc>
          <w:tcPr>
            <w:tcW w:w="740" w:type="dxa"/>
            <w:vAlign w:val="bottom"/>
          </w:tcPr>
          <w:p>
            <w:pPr>
              <w:jc w:val="right"/>
              <w:ind w:right="259"/>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340" w:type="dxa"/>
            <w:vAlign w:val="bottom"/>
          </w:tcPr>
          <w:p>
            <w:pPr>
              <w:jc w:val="right"/>
              <w:ind w:right="637"/>
              <w:spacing w:after="0"/>
              <w:rPr>
                <w:sz w:val="20"/>
                <w:szCs w:val="20"/>
                <w:color w:val="auto"/>
              </w:rPr>
            </w:pPr>
            <w:r>
              <w:rPr>
                <w:rFonts w:ascii="Arial" w:cs="Arial" w:eastAsia="Arial" w:hAnsi="Arial"/>
                <w:sz w:val="14"/>
                <w:szCs w:val="14"/>
                <w:b w:val="1"/>
                <w:bCs w:val="1"/>
                <w:color w:val="auto"/>
              </w:rPr>
              <w:t>2021</w:t>
            </w:r>
          </w:p>
        </w:tc>
        <w:tc>
          <w:tcPr>
            <w:tcW w:w="660" w:type="dxa"/>
            <w:vAlign w:val="bottom"/>
          </w:tcPr>
          <w:p>
            <w:pPr>
              <w:jc w:val="right"/>
              <w:ind w:right="235"/>
              <w:spacing w:after="0"/>
              <w:rPr>
                <w:sz w:val="20"/>
                <w:szCs w:val="20"/>
                <w:color w:val="auto"/>
              </w:rPr>
            </w:pPr>
            <w:r>
              <w:rPr>
                <w:rFonts w:ascii="Arial" w:cs="Arial" w:eastAsia="Arial" w:hAnsi="Arial"/>
                <w:sz w:val="14"/>
                <w:szCs w:val="14"/>
                <w:b w:val="1"/>
                <w:bCs w:val="1"/>
                <w:color w:val="auto"/>
              </w:rPr>
              <w:t>2020</w:t>
            </w:r>
          </w:p>
        </w:tc>
      </w:tr>
      <w:tr>
        <w:trPr>
          <w:trHeight w:val="26"/>
        </w:trPr>
        <w:tc>
          <w:tcPr>
            <w:tcW w:w="7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84"/>
        </w:trPr>
        <w:tc>
          <w:tcPr>
            <w:tcW w:w="7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180" w:type="dxa"/>
            <w:vAlign w:val="bottom"/>
            <w:gridSpan w:val="3"/>
          </w:tcPr>
          <w:p>
            <w:pPr>
              <w:jc w:val="right"/>
              <w:ind w:right="737"/>
              <w:spacing w:after="0"/>
              <w:rPr>
                <w:sz w:val="20"/>
                <w:szCs w:val="20"/>
                <w:color w:val="auto"/>
              </w:rPr>
            </w:pPr>
            <w:r>
              <w:rPr>
                <w:rFonts w:ascii="Arial" w:cs="Arial" w:eastAsia="Arial" w:hAnsi="Arial"/>
                <w:sz w:val="14"/>
                <w:szCs w:val="14"/>
                <w:i w:val="1"/>
                <w:iCs w:val="1"/>
                <w:color w:val="auto"/>
              </w:rPr>
              <w:t>(millions of dollars)</w:t>
            </w:r>
          </w:p>
        </w:tc>
        <w:tc>
          <w:tcPr>
            <w:tcW w:w="660" w:type="dxa"/>
            <w:vAlign w:val="bottom"/>
          </w:tcPr>
          <w:p>
            <w:pPr>
              <w:spacing w:after="0"/>
              <w:rPr>
                <w:sz w:val="16"/>
                <w:szCs w:val="16"/>
                <w:color w:val="auto"/>
              </w:rPr>
            </w:pPr>
          </w:p>
        </w:tc>
      </w:tr>
      <w:tr>
        <w:trPr>
          <w:trHeight w:val="268"/>
        </w:trPr>
        <w:tc>
          <w:tcPr>
            <w:tcW w:w="7140" w:type="dxa"/>
            <w:vAlign w:val="bottom"/>
          </w:tcPr>
          <w:p>
            <w:pPr>
              <w:ind w:left="20"/>
              <w:spacing w:after="0"/>
              <w:rPr>
                <w:sz w:val="20"/>
                <w:szCs w:val="20"/>
                <w:color w:val="auto"/>
              </w:rPr>
            </w:pPr>
            <w:r>
              <w:rPr>
                <w:rFonts w:ascii="Arial" w:cs="Arial" w:eastAsia="Arial" w:hAnsi="Arial"/>
                <w:sz w:val="18"/>
                <w:szCs w:val="18"/>
                <w:color w:val="auto"/>
              </w:rPr>
              <w:t>Assets in excess of/(less than) benefit obligation</w:t>
            </w:r>
          </w:p>
        </w:tc>
        <w:tc>
          <w:tcPr>
            <w:tcW w:w="12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660" w:type="dxa"/>
            <w:vAlign w:val="bottom"/>
          </w:tcPr>
          <w:p>
            <w:pPr>
              <w:spacing w:after="0"/>
              <w:rPr>
                <w:sz w:val="23"/>
                <w:szCs w:val="23"/>
                <w:color w:val="auto"/>
              </w:rPr>
            </w:pPr>
          </w:p>
        </w:tc>
      </w:tr>
      <w:tr>
        <w:trPr>
          <w:trHeight w:val="230"/>
        </w:trPr>
        <w:tc>
          <w:tcPr>
            <w:tcW w:w="7140" w:type="dxa"/>
            <w:vAlign w:val="bottom"/>
          </w:tcPr>
          <w:p>
            <w:pPr>
              <w:ind w:left="220"/>
              <w:spacing w:after="0"/>
              <w:rPr>
                <w:sz w:val="20"/>
                <w:szCs w:val="20"/>
                <w:color w:val="auto"/>
              </w:rPr>
            </w:pPr>
            <w:r>
              <w:rPr>
                <w:rFonts w:ascii="Arial" w:cs="Arial" w:eastAsia="Arial" w:hAnsi="Arial"/>
                <w:sz w:val="18"/>
                <w:szCs w:val="18"/>
                <w:color w:val="auto"/>
              </w:rPr>
              <w:t>Balance at December 31</w:t>
            </w:r>
          </w:p>
        </w:tc>
        <w:tc>
          <w:tcPr>
            <w:tcW w:w="1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29"/>
        </w:trPr>
        <w:tc>
          <w:tcPr>
            <w:tcW w:w="7140" w:type="dxa"/>
            <w:vAlign w:val="bottom"/>
          </w:tcPr>
          <w:p>
            <w:pPr>
              <w:ind w:left="220"/>
              <w:spacing w:after="0"/>
              <w:rPr>
                <w:sz w:val="20"/>
                <w:szCs w:val="20"/>
                <w:color w:val="auto"/>
              </w:rPr>
            </w:pPr>
            <w:r>
              <w:rPr>
                <w:rFonts w:ascii="Arial" w:cs="Arial" w:eastAsia="Arial" w:hAnsi="Arial"/>
                <w:sz w:val="18"/>
                <w:szCs w:val="18"/>
                <w:color w:val="auto"/>
              </w:rPr>
              <w:t>Funded plans</w:t>
            </w:r>
          </w:p>
        </w:tc>
        <w:tc>
          <w:tcPr>
            <w:tcW w:w="1260" w:type="dxa"/>
            <w:vAlign w:val="bottom"/>
          </w:tcPr>
          <w:p>
            <w:pPr>
              <w:jc w:val="right"/>
              <w:ind w:right="257"/>
              <w:spacing w:after="0"/>
              <w:rPr>
                <w:sz w:val="20"/>
                <w:szCs w:val="20"/>
                <w:color w:val="auto"/>
              </w:rPr>
            </w:pPr>
            <w:r>
              <w:rPr>
                <w:rFonts w:ascii="Arial" w:cs="Arial" w:eastAsia="Arial" w:hAnsi="Arial"/>
                <w:sz w:val="18"/>
                <w:szCs w:val="18"/>
                <w:color w:val="auto"/>
              </w:rPr>
              <w:t>(3,570)</w:t>
            </w:r>
          </w:p>
        </w:tc>
        <w:tc>
          <w:tcPr>
            <w:tcW w:w="740" w:type="dxa"/>
            <w:vAlign w:val="bottom"/>
          </w:tcPr>
          <w:p>
            <w:pPr>
              <w:jc w:val="right"/>
              <w:spacing w:after="0"/>
              <w:rPr>
                <w:sz w:val="20"/>
                <w:szCs w:val="20"/>
                <w:color w:val="auto"/>
              </w:rPr>
            </w:pPr>
            <w:r>
              <w:rPr>
                <w:rFonts w:ascii="Arial" w:cs="Arial" w:eastAsia="Arial" w:hAnsi="Arial"/>
                <w:sz w:val="18"/>
                <w:szCs w:val="18"/>
                <w:color w:val="auto"/>
              </w:rPr>
              <w:t>(4,156)</w:t>
            </w:r>
          </w:p>
        </w:tc>
        <w:tc>
          <w:tcPr>
            <w:tcW w:w="100" w:type="dxa"/>
            <w:vAlign w:val="bottom"/>
          </w:tcPr>
          <w:p>
            <w:pPr>
              <w:spacing w:after="0"/>
              <w:rPr>
                <w:sz w:val="19"/>
                <w:szCs w:val="19"/>
                <w:color w:val="auto"/>
              </w:rPr>
            </w:pPr>
          </w:p>
        </w:tc>
        <w:tc>
          <w:tcPr>
            <w:tcW w:w="1340" w:type="dxa"/>
            <w:vAlign w:val="bottom"/>
          </w:tcPr>
          <w:p>
            <w:pPr>
              <w:jc w:val="right"/>
              <w:ind w:right="377"/>
              <w:spacing w:after="0"/>
              <w:rPr>
                <w:sz w:val="20"/>
                <w:szCs w:val="20"/>
                <w:color w:val="auto"/>
              </w:rPr>
            </w:pPr>
            <w:r>
              <w:rPr>
                <w:rFonts w:ascii="Arial" w:cs="Arial" w:eastAsia="Arial" w:hAnsi="Arial"/>
                <w:sz w:val="18"/>
                <w:szCs w:val="18"/>
                <w:color w:val="auto"/>
              </w:rPr>
              <w:t>554</w:t>
            </w:r>
          </w:p>
        </w:tc>
        <w:tc>
          <w:tcPr>
            <w:tcW w:w="660" w:type="dxa"/>
            <w:vAlign w:val="bottom"/>
          </w:tcPr>
          <w:p>
            <w:pPr>
              <w:jc w:val="right"/>
              <w:spacing w:after="0"/>
              <w:rPr>
                <w:sz w:val="20"/>
                <w:szCs w:val="20"/>
                <w:color w:val="auto"/>
              </w:rPr>
            </w:pPr>
            <w:r>
              <w:rPr>
                <w:rFonts w:ascii="Arial" w:cs="Arial" w:eastAsia="Arial" w:hAnsi="Arial"/>
                <w:sz w:val="18"/>
                <w:szCs w:val="18"/>
                <w:color w:val="auto"/>
              </w:rPr>
              <w:t>(1,223)</w:t>
            </w:r>
          </w:p>
        </w:tc>
      </w:tr>
      <w:tr>
        <w:trPr>
          <w:trHeight w:val="230"/>
        </w:trPr>
        <w:tc>
          <w:tcPr>
            <w:tcW w:w="7140" w:type="dxa"/>
            <w:vAlign w:val="bottom"/>
          </w:tcPr>
          <w:p>
            <w:pPr>
              <w:ind w:left="220"/>
              <w:spacing w:after="0"/>
              <w:rPr>
                <w:sz w:val="20"/>
                <w:szCs w:val="20"/>
                <w:color w:val="auto"/>
              </w:rPr>
            </w:pPr>
            <w:r>
              <w:rPr>
                <w:rFonts w:ascii="Arial" w:cs="Arial" w:eastAsia="Arial" w:hAnsi="Arial"/>
                <w:sz w:val="18"/>
                <w:szCs w:val="18"/>
                <w:color w:val="auto"/>
              </w:rPr>
              <w:t>Unfunded plans</w:t>
            </w:r>
          </w:p>
        </w:tc>
        <w:tc>
          <w:tcPr>
            <w:tcW w:w="1260" w:type="dxa"/>
            <w:vAlign w:val="bottom"/>
            <w:tcBorders>
              <w:bottom w:val="single" w:sz="8" w:color="auto"/>
            </w:tcBorders>
          </w:tcPr>
          <w:p>
            <w:pPr>
              <w:jc w:val="right"/>
              <w:ind w:right="257"/>
              <w:spacing w:after="0"/>
              <w:rPr>
                <w:sz w:val="20"/>
                <w:szCs w:val="20"/>
                <w:color w:val="auto"/>
              </w:rPr>
            </w:pPr>
            <w:r>
              <w:rPr>
                <w:rFonts w:ascii="Arial" w:cs="Arial" w:eastAsia="Arial" w:hAnsi="Arial"/>
                <w:sz w:val="18"/>
                <w:szCs w:val="18"/>
                <w:color w:val="auto"/>
              </w:rPr>
              <w:t>(1,675)</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(2,206)</w:t>
            </w: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37"/>
              <w:spacing w:after="0"/>
              <w:rPr>
                <w:sz w:val="20"/>
                <w:szCs w:val="20"/>
                <w:color w:val="auto"/>
              </w:rPr>
            </w:pPr>
            <w:r>
              <w:rPr>
                <w:rFonts w:ascii="Arial" w:cs="Arial" w:eastAsia="Arial" w:hAnsi="Arial"/>
                <w:sz w:val="18"/>
                <w:szCs w:val="18"/>
                <w:color w:val="auto"/>
              </w:rPr>
              <w:t>(5,166)</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(6,187)</w:t>
            </w:r>
          </w:p>
        </w:tc>
      </w:tr>
      <w:tr>
        <w:trPr>
          <w:trHeight w:val="223"/>
        </w:trPr>
        <w:tc>
          <w:tcPr>
            <w:tcW w:w="7140" w:type="dxa"/>
            <w:vAlign w:val="bottom"/>
          </w:tcPr>
          <w:p>
            <w:pPr>
              <w:ind w:left="20"/>
              <w:spacing w:after="0"/>
              <w:rPr>
                <w:sz w:val="20"/>
                <w:szCs w:val="20"/>
                <w:color w:val="auto"/>
              </w:rPr>
            </w:pPr>
            <w:r>
              <w:rPr>
                <w:rFonts w:ascii="Arial" w:cs="Arial" w:eastAsia="Arial" w:hAnsi="Arial"/>
                <w:sz w:val="18"/>
                <w:szCs w:val="18"/>
                <w:color w:val="auto"/>
              </w:rPr>
              <w:t>Total</w:t>
            </w:r>
          </w:p>
        </w:tc>
        <w:tc>
          <w:tcPr>
            <w:tcW w:w="1260" w:type="dxa"/>
            <w:vAlign w:val="bottom"/>
            <w:tcBorders>
              <w:bottom w:val="single" w:sz="8" w:color="auto"/>
            </w:tcBorders>
          </w:tcPr>
          <w:p>
            <w:pPr>
              <w:jc w:val="right"/>
              <w:ind w:right="257"/>
              <w:spacing w:after="0"/>
              <w:rPr>
                <w:sz w:val="20"/>
                <w:szCs w:val="20"/>
                <w:color w:val="auto"/>
              </w:rPr>
            </w:pPr>
            <w:r>
              <w:rPr>
                <w:rFonts w:ascii="Arial" w:cs="Arial" w:eastAsia="Arial" w:hAnsi="Arial"/>
                <w:sz w:val="18"/>
                <w:szCs w:val="18"/>
                <w:color w:val="auto"/>
              </w:rPr>
              <w:t>(5,245)</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(6,362)</w:t>
            </w: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37"/>
              <w:spacing w:after="0"/>
              <w:rPr>
                <w:sz w:val="20"/>
                <w:szCs w:val="20"/>
                <w:color w:val="auto"/>
              </w:rPr>
            </w:pPr>
            <w:r>
              <w:rPr>
                <w:rFonts w:ascii="Arial" w:cs="Arial" w:eastAsia="Arial" w:hAnsi="Arial"/>
                <w:sz w:val="18"/>
                <w:szCs w:val="18"/>
                <w:color w:val="auto"/>
              </w:rPr>
              <w:t>(4,612)</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(7,410)</w:t>
            </w:r>
          </w:p>
        </w:tc>
      </w:tr>
    </w:tbl>
    <w:p>
      <w:pPr>
        <w:spacing w:after="0" w:line="2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authoritative guidance for defined benefit pension and other postretirement plans requires an employer to recognize the overfunded or underfunded status of a defined benefit postretirement plan as an asset or liability in its statement of financial position and to recognize changes in that funded status in the year in which the changes occur through other comprehensive income.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160" w:type="dxa"/>
            <w:vAlign w:val="bottom"/>
            <w:gridSpan w:val="3"/>
          </w:tcPr>
          <w:p>
            <w:pPr>
              <w:jc w:val="right"/>
              <w:ind w:right="775"/>
              <w:spacing w:after="0"/>
              <w:rPr>
                <w:sz w:val="20"/>
                <w:szCs w:val="20"/>
                <w:color w:val="auto"/>
              </w:rPr>
            </w:pPr>
            <w:r>
              <w:rPr>
                <w:rFonts w:ascii="Arial" w:cs="Arial" w:eastAsia="Arial" w:hAnsi="Arial"/>
                <w:sz w:val="14"/>
                <w:szCs w:val="14"/>
                <w:b w:val="1"/>
                <w:bCs w:val="1"/>
                <w:color w:val="auto"/>
              </w:rPr>
              <w:t>Pension Benefits</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5060" w:type="dxa"/>
            <w:vAlign w:val="bottom"/>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060" w:type="dxa"/>
            <w:vAlign w:val="bottom"/>
          </w:tcPr>
          <w:p>
            <w:pPr>
              <w:spacing w:after="0"/>
              <w:rPr>
                <w:sz w:val="20"/>
                <w:szCs w:val="20"/>
                <w:color w:val="auto"/>
              </w:rPr>
            </w:pPr>
          </w:p>
        </w:tc>
        <w:tc>
          <w:tcPr>
            <w:tcW w:w="124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U.S.</w:t>
            </w:r>
          </w:p>
        </w:tc>
        <w:tc>
          <w:tcPr>
            <w:tcW w:w="7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Non-U.S.</w:t>
            </w:r>
          </w:p>
        </w:tc>
        <w:tc>
          <w:tcPr>
            <w:tcW w:w="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Other Postretirement Benefits</w:t>
            </w:r>
          </w:p>
        </w:tc>
        <w:tc>
          <w:tcPr>
            <w:tcW w:w="0" w:type="dxa"/>
            <w:vAlign w:val="bottom"/>
          </w:tcPr>
          <w:p>
            <w:pPr>
              <w:spacing w:after="0"/>
              <w:rPr>
                <w:sz w:val="1"/>
                <w:szCs w:val="1"/>
                <w:color w:val="auto"/>
              </w:rPr>
            </w:pPr>
          </w:p>
        </w:tc>
      </w:tr>
      <w:tr>
        <w:trPr>
          <w:trHeight w:val="209"/>
        </w:trPr>
        <w:tc>
          <w:tcPr>
            <w:tcW w:w="50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2021</w:t>
            </w:r>
          </w:p>
        </w:tc>
        <w:tc>
          <w:tcPr>
            <w:tcW w:w="7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2021</w:t>
            </w:r>
          </w:p>
        </w:tc>
        <w:tc>
          <w:tcPr>
            <w:tcW w:w="68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2020</w:t>
            </w:r>
          </w:p>
        </w:tc>
        <w:tc>
          <w:tcPr>
            <w:tcW w:w="1260" w:type="dxa"/>
            <w:vAlign w:val="bottom"/>
            <w:tcBorders>
              <w:bottom w:val="single" w:sz="8" w:color="auto"/>
            </w:tcBorders>
            <w:gridSpan w:val="2"/>
          </w:tcPr>
          <w:p>
            <w:pPr>
              <w:jc w:val="right"/>
              <w:ind w:right="459"/>
              <w:spacing w:after="0"/>
              <w:rPr>
                <w:sz w:val="20"/>
                <w:szCs w:val="20"/>
                <w:color w:val="auto"/>
              </w:rPr>
            </w:pPr>
            <w:r>
              <w:rPr>
                <w:rFonts w:ascii="Arial" w:cs="Arial" w:eastAsia="Arial" w:hAnsi="Arial"/>
                <w:sz w:val="14"/>
                <w:szCs w:val="14"/>
                <w:b w:val="1"/>
                <w:bCs w:val="1"/>
                <w:color w:val="auto"/>
              </w:rPr>
              <w:t>2021</w:t>
            </w:r>
          </w:p>
        </w:tc>
        <w:tc>
          <w:tcPr>
            <w:tcW w:w="8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0"/>
        </w:trPr>
        <w:tc>
          <w:tcPr>
            <w:tcW w:w="50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gridSpan w:val="2"/>
          </w:tcPr>
          <w:p>
            <w:pPr>
              <w:jc w:val="right"/>
              <w:ind w:right="332"/>
              <w:spacing w:after="0"/>
              <w:rPr>
                <w:sz w:val="20"/>
                <w:szCs w:val="20"/>
                <w:color w:val="auto"/>
              </w:rPr>
            </w:pPr>
            <w:r>
              <w:rPr>
                <w:rFonts w:ascii="Arial" w:cs="Arial" w:eastAsia="Arial" w:hAnsi="Arial"/>
                <w:sz w:val="14"/>
                <w:szCs w:val="14"/>
                <w:i w:val="1"/>
                <w:iCs w:val="1"/>
                <w:color w:val="auto"/>
              </w:rPr>
              <w:t>(millions of dollars)</w:t>
            </w: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5060" w:type="dxa"/>
            <w:vAlign w:val="bottom"/>
          </w:tcPr>
          <w:p>
            <w:pPr>
              <w:ind w:left="20"/>
              <w:spacing w:after="0"/>
              <w:rPr>
                <w:sz w:val="20"/>
                <w:szCs w:val="20"/>
                <w:color w:val="auto"/>
              </w:rPr>
            </w:pPr>
            <w:r>
              <w:rPr>
                <w:rFonts w:ascii="Arial" w:cs="Arial" w:eastAsia="Arial" w:hAnsi="Arial"/>
                <w:sz w:val="18"/>
                <w:szCs w:val="18"/>
                <w:color w:val="auto"/>
              </w:rPr>
              <w:t>Assets in excess of/(less than) benefit obligation</w:t>
            </w:r>
          </w:p>
        </w:tc>
        <w:tc>
          <w:tcPr>
            <w:tcW w:w="1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220"/>
              <w:spacing w:after="0"/>
              <w:rPr>
                <w:sz w:val="20"/>
                <w:szCs w:val="20"/>
                <w:color w:val="auto"/>
              </w:rPr>
            </w:pPr>
            <w:r>
              <w:rPr>
                <w:rFonts w:ascii="Arial" w:cs="Arial" w:eastAsia="Arial" w:hAnsi="Arial"/>
                <w:sz w:val="18"/>
                <w:szCs w:val="18"/>
                <w:color w:val="auto"/>
              </w:rPr>
              <w:t xml:space="preserve">Balance at December 31 </w:t>
            </w:r>
            <w:r>
              <w:rPr>
                <w:rFonts w:ascii="Arial" w:cs="Arial" w:eastAsia="Arial" w:hAnsi="Arial"/>
                <w:sz w:val="14"/>
                <w:szCs w:val="14"/>
                <w:i w:val="1"/>
                <w:iCs w:val="1"/>
                <w:color w:val="auto"/>
              </w:rPr>
              <w:t>(1)</w:t>
            </w:r>
          </w:p>
        </w:tc>
        <w:tc>
          <w:tcPr>
            <w:tcW w:w="1240" w:type="dxa"/>
            <w:vAlign w:val="bottom"/>
            <w:tcBorders>
              <w:bottom w:val="single" w:sz="8" w:color="auto"/>
            </w:tcBorders>
          </w:tcPr>
          <w:p>
            <w:pPr>
              <w:jc w:val="right"/>
              <w:ind w:right="254"/>
              <w:spacing w:after="0"/>
              <w:rPr>
                <w:sz w:val="20"/>
                <w:szCs w:val="20"/>
                <w:color w:val="auto"/>
              </w:rPr>
            </w:pPr>
            <w:r>
              <w:rPr>
                <w:rFonts w:ascii="Arial" w:cs="Arial" w:eastAsia="Arial" w:hAnsi="Arial"/>
                <w:sz w:val="18"/>
                <w:szCs w:val="18"/>
                <w:color w:val="auto"/>
              </w:rPr>
              <w:t>(5,245)</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(6,362)</w:t>
            </w: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15"/>
              <w:spacing w:after="0"/>
              <w:rPr>
                <w:sz w:val="20"/>
                <w:szCs w:val="20"/>
                <w:color w:val="auto"/>
              </w:rPr>
            </w:pPr>
            <w:r>
              <w:rPr>
                <w:rFonts w:ascii="Arial" w:cs="Arial" w:eastAsia="Arial" w:hAnsi="Arial"/>
                <w:sz w:val="18"/>
                <w:szCs w:val="18"/>
                <w:color w:val="auto"/>
              </w:rPr>
              <w:t>(4,612)</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(7,410)</w:t>
            </w:r>
          </w:p>
        </w:tc>
        <w:tc>
          <w:tcPr>
            <w:tcW w:w="1260" w:type="dxa"/>
            <w:vAlign w:val="bottom"/>
            <w:tcBorders>
              <w:bottom w:val="single" w:sz="8" w:color="auto"/>
            </w:tcBorders>
            <w:gridSpan w:val="2"/>
          </w:tcPr>
          <w:p>
            <w:pPr>
              <w:jc w:val="right"/>
              <w:ind w:right="159"/>
              <w:spacing w:after="0"/>
              <w:rPr>
                <w:sz w:val="20"/>
                <w:szCs w:val="20"/>
                <w:color w:val="auto"/>
              </w:rPr>
            </w:pPr>
            <w:r>
              <w:rPr>
                <w:rFonts w:ascii="Arial" w:cs="Arial" w:eastAsia="Arial" w:hAnsi="Arial"/>
                <w:sz w:val="18"/>
                <w:szCs w:val="18"/>
                <w:color w:val="auto"/>
              </w:rPr>
              <w:t>(6,825)</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(7,689)</w:t>
            </w:r>
          </w:p>
        </w:tc>
        <w:tc>
          <w:tcPr>
            <w:tcW w:w="0" w:type="dxa"/>
            <w:vAlign w:val="bottom"/>
          </w:tcPr>
          <w:p>
            <w:pPr>
              <w:spacing w:after="0"/>
              <w:rPr>
                <w:sz w:val="1"/>
                <w:szCs w:val="1"/>
                <w:color w:val="auto"/>
              </w:rPr>
            </w:pPr>
          </w:p>
        </w:tc>
      </w:tr>
      <w:tr>
        <w:trPr>
          <w:trHeight w:val="318"/>
        </w:trPr>
        <w:tc>
          <w:tcPr>
            <w:tcW w:w="5060" w:type="dxa"/>
            <w:vAlign w:val="bottom"/>
          </w:tcPr>
          <w:p>
            <w:pPr>
              <w:ind w:left="20"/>
              <w:spacing w:after="0"/>
              <w:rPr>
                <w:sz w:val="20"/>
                <w:szCs w:val="20"/>
                <w:color w:val="auto"/>
              </w:rPr>
            </w:pPr>
            <w:r>
              <w:rPr>
                <w:rFonts w:ascii="Arial" w:cs="Arial" w:eastAsia="Arial" w:hAnsi="Arial"/>
                <w:sz w:val="18"/>
                <w:szCs w:val="18"/>
                <w:color w:val="auto"/>
              </w:rPr>
              <w:t>Amounts recorded in the consolidated</w:t>
            </w:r>
          </w:p>
        </w:tc>
        <w:tc>
          <w:tcPr>
            <w:tcW w:w="1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060" w:type="dxa"/>
            <w:vAlign w:val="bottom"/>
          </w:tcPr>
          <w:p>
            <w:pPr>
              <w:ind w:left="180"/>
              <w:spacing w:after="0"/>
              <w:rPr>
                <w:sz w:val="20"/>
                <w:szCs w:val="20"/>
                <w:color w:val="auto"/>
              </w:rPr>
            </w:pPr>
            <w:r>
              <w:rPr>
                <w:rFonts w:ascii="Arial" w:cs="Arial" w:eastAsia="Arial" w:hAnsi="Arial"/>
                <w:sz w:val="18"/>
                <w:szCs w:val="18"/>
                <w:color w:val="auto"/>
              </w:rPr>
              <w:t>balance sheet consist of:</w:t>
            </w:r>
          </w:p>
        </w:tc>
        <w:tc>
          <w:tcPr>
            <w:tcW w:w="1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220"/>
              <w:spacing w:after="0"/>
              <w:rPr>
                <w:sz w:val="20"/>
                <w:szCs w:val="20"/>
                <w:color w:val="auto"/>
              </w:rPr>
            </w:pPr>
            <w:r>
              <w:rPr>
                <w:rFonts w:ascii="Arial" w:cs="Arial" w:eastAsia="Arial" w:hAnsi="Arial"/>
                <w:sz w:val="18"/>
                <w:szCs w:val="18"/>
                <w:color w:val="auto"/>
              </w:rPr>
              <w:t>Other assets</w:t>
            </w:r>
          </w:p>
        </w:tc>
        <w:tc>
          <w:tcPr>
            <w:tcW w:w="1240" w:type="dxa"/>
            <w:vAlign w:val="bottom"/>
          </w:tcPr>
          <w:p>
            <w:pPr>
              <w:jc w:val="right"/>
              <w:ind w:right="294"/>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75"/>
              <w:spacing w:after="0"/>
              <w:rPr>
                <w:sz w:val="20"/>
                <w:szCs w:val="20"/>
                <w:color w:val="auto"/>
              </w:rPr>
            </w:pPr>
            <w:r>
              <w:rPr>
                <w:rFonts w:ascii="Arial" w:cs="Arial" w:eastAsia="Arial" w:hAnsi="Arial"/>
                <w:sz w:val="18"/>
                <w:szCs w:val="18"/>
                <w:color w:val="auto"/>
              </w:rPr>
              <w:t>2,544</w:t>
            </w:r>
          </w:p>
        </w:tc>
        <w:tc>
          <w:tcPr>
            <w:tcW w:w="680" w:type="dxa"/>
            <w:vAlign w:val="bottom"/>
          </w:tcPr>
          <w:p>
            <w:pPr>
              <w:jc w:val="right"/>
              <w:spacing w:after="0"/>
              <w:rPr>
                <w:sz w:val="20"/>
                <w:szCs w:val="20"/>
                <w:color w:val="auto"/>
              </w:rPr>
            </w:pPr>
            <w:r>
              <w:rPr>
                <w:rFonts w:ascii="Arial" w:cs="Arial" w:eastAsia="Arial" w:hAnsi="Arial"/>
                <w:sz w:val="18"/>
                <w:szCs w:val="18"/>
                <w:color w:val="auto"/>
              </w:rPr>
              <w:t>1,931</w:t>
            </w:r>
          </w:p>
        </w:tc>
        <w:tc>
          <w:tcPr>
            <w:tcW w:w="100" w:type="dxa"/>
            <w:vAlign w:val="bottom"/>
          </w:tcPr>
          <w:p>
            <w:pPr>
              <w:spacing w:after="0"/>
              <w:rPr>
                <w:sz w:val="19"/>
                <w:szCs w:val="19"/>
                <w:color w:val="auto"/>
              </w:rPr>
            </w:pPr>
          </w:p>
        </w:tc>
        <w:tc>
          <w:tcPr>
            <w:tcW w:w="1160" w:type="dxa"/>
            <w:vAlign w:val="bottom"/>
          </w:tcPr>
          <w:p>
            <w:pPr>
              <w:jc w:val="right"/>
              <w:ind w:right="199"/>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60" w:type="dxa"/>
            <w:vAlign w:val="bottom"/>
          </w:tcPr>
          <w:p>
            <w:pPr>
              <w:ind w:left="220"/>
              <w:spacing w:after="0"/>
              <w:rPr>
                <w:sz w:val="20"/>
                <w:szCs w:val="20"/>
                <w:color w:val="auto"/>
              </w:rPr>
            </w:pPr>
            <w:r>
              <w:rPr>
                <w:rFonts w:ascii="Arial" w:cs="Arial" w:eastAsia="Arial" w:hAnsi="Arial"/>
                <w:sz w:val="18"/>
                <w:szCs w:val="18"/>
                <w:color w:val="auto"/>
              </w:rPr>
              <w:t>Current liabilities</w:t>
            </w:r>
          </w:p>
        </w:tc>
        <w:tc>
          <w:tcPr>
            <w:tcW w:w="1240" w:type="dxa"/>
            <w:vAlign w:val="bottom"/>
          </w:tcPr>
          <w:p>
            <w:pPr>
              <w:jc w:val="right"/>
              <w:ind w:right="254"/>
              <w:spacing w:after="0"/>
              <w:rPr>
                <w:sz w:val="20"/>
                <w:szCs w:val="20"/>
                <w:color w:val="auto"/>
              </w:rPr>
            </w:pPr>
            <w:r>
              <w:rPr>
                <w:rFonts w:ascii="Arial" w:cs="Arial" w:eastAsia="Arial" w:hAnsi="Arial"/>
                <w:sz w:val="18"/>
                <w:szCs w:val="18"/>
                <w:color w:val="auto"/>
              </w:rPr>
              <w:t>(206)</w:t>
            </w:r>
          </w:p>
        </w:tc>
        <w:tc>
          <w:tcPr>
            <w:tcW w:w="720" w:type="dxa"/>
            <w:vAlign w:val="bottom"/>
          </w:tcPr>
          <w:p>
            <w:pPr>
              <w:jc w:val="right"/>
              <w:spacing w:after="0"/>
              <w:rPr>
                <w:sz w:val="20"/>
                <w:szCs w:val="20"/>
                <w:color w:val="auto"/>
              </w:rPr>
            </w:pPr>
            <w:r>
              <w:rPr>
                <w:rFonts w:ascii="Arial" w:cs="Arial" w:eastAsia="Arial" w:hAnsi="Arial"/>
                <w:sz w:val="18"/>
                <w:szCs w:val="18"/>
                <w:color w:val="auto"/>
              </w:rPr>
              <w:t>(377)</w:t>
            </w:r>
          </w:p>
        </w:tc>
        <w:tc>
          <w:tcPr>
            <w:tcW w:w="120" w:type="dxa"/>
            <w:vAlign w:val="bottom"/>
          </w:tcPr>
          <w:p>
            <w:pPr>
              <w:spacing w:after="0"/>
              <w:rPr>
                <w:sz w:val="19"/>
                <w:szCs w:val="19"/>
                <w:color w:val="auto"/>
              </w:rPr>
            </w:pPr>
          </w:p>
        </w:tc>
        <w:tc>
          <w:tcPr>
            <w:tcW w:w="1320" w:type="dxa"/>
            <w:vAlign w:val="bottom"/>
          </w:tcPr>
          <w:p>
            <w:pPr>
              <w:jc w:val="right"/>
              <w:ind w:right="315"/>
              <w:spacing w:after="0"/>
              <w:rPr>
                <w:sz w:val="20"/>
                <w:szCs w:val="20"/>
                <w:color w:val="auto"/>
              </w:rPr>
            </w:pPr>
            <w:r>
              <w:rPr>
                <w:rFonts w:ascii="Arial" w:cs="Arial" w:eastAsia="Arial" w:hAnsi="Arial"/>
                <w:sz w:val="18"/>
                <w:szCs w:val="18"/>
                <w:color w:val="auto"/>
              </w:rPr>
              <w:t>(267)</w:t>
            </w:r>
          </w:p>
        </w:tc>
        <w:tc>
          <w:tcPr>
            <w:tcW w:w="680" w:type="dxa"/>
            <w:vAlign w:val="bottom"/>
          </w:tcPr>
          <w:p>
            <w:pPr>
              <w:jc w:val="right"/>
              <w:spacing w:after="0"/>
              <w:rPr>
                <w:sz w:val="20"/>
                <w:szCs w:val="20"/>
                <w:color w:val="auto"/>
              </w:rPr>
            </w:pPr>
            <w:r>
              <w:rPr>
                <w:rFonts w:ascii="Arial" w:cs="Arial" w:eastAsia="Arial" w:hAnsi="Arial"/>
                <w:sz w:val="18"/>
                <w:szCs w:val="18"/>
                <w:color w:val="auto"/>
              </w:rPr>
              <w:t>(273)</w:t>
            </w:r>
          </w:p>
        </w:tc>
        <w:tc>
          <w:tcPr>
            <w:tcW w:w="1260" w:type="dxa"/>
            <w:vAlign w:val="bottom"/>
            <w:gridSpan w:val="2"/>
          </w:tcPr>
          <w:p>
            <w:pPr>
              <w:jc w:val="right"/>
              <w:ind w:right="159"/>
              <w:spacing w:after="0"/>
              <w:rPr>
                <w:sz w:val="20"/>
                <w:szCs w:val="20"/>
                <w:color w:val="auto"/>
              </w:rPr>
            </w:pPr>
            <w:r>
              <w:rPr>
                <w:rFonts w:ascii="Arial" w:cs="Arial" w:eastAsia="Arial" w:hAnsi="Arial"/>
                <w:sz w:val="18"/>
                <w:szCs w:val="18"/>
                <w:color w:val="auto"/>
              </w:rPr>
              <w:t>(323)</w:t>
            </w:r>
          </w:p>
        </w:tc>
        <w:tc>
          <w:tcPr>
            <w:tcW w:w="840" w:type="dxa"/>
            <w:vAlign w:val="bottom"/>
          </w:tcPr>
          <w:p>
            <w:pPr>
              <w:jc w:val="right"/>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30"/>
        </w:trPr>
        <w:tc>
          <w:tcPr>
            <w:tcW w:w="5060" w:type="dxa"/>
            <w:vAlign w:val="bottom"/>
          </w:tcPr>
          <w:p>
            <w:pPr>
              <w:ind w:left="220"/>
              <w:spacing w:after="0"/>
              <w:rPr>
                <w:sz w:val="20"/>
                <w:szCs w:val="20"/>
                <w:color w:val="auto"/>
              </w:rPr>
            </w:pPr>
            <w:r>
              <w:rPr>
                <w:rFonts w:ascii="Arial" w:cs="Arial" w:eastAsia="Arial" w:hAnsi="Arial"/>
                <w:sz w:val="18"/>
                <w:szCs w:val="18"/>
                <w:color w:val="auto"/>
              </w:rPr>
              <w:t>Postretirement benefits reserves</w:t>
            </w:r>
          </w:p>
        </w:tc>
        <w:tc>
          <w:tcPr>
            <w:tcW w:w="1240" w:type="dxa"/>
            <w:vAlign w:val="bottom"/>
            <w:tcBorders>
              <w:bottom w:val="single" w:sz="8" w:color="auto"/>
            </w:tcBorders>
          </w:tcPr>
          <w:p>
            <w:pPr>
              <w:jc w:val="right"/>
              <w:ind w:right="254"/>
              <w:spacing w:after="0"/>
              <w:rPr>
                <w:sz w:val="20"/>
                <w:szCs w:val="20"/>
                <w:color w:val="auto"/>
              </w:rPr>
            </w:pPr>
            <w:r>
              <w:rPr>
                <w:rFonts w:ascii="Arial" w:cs="Arial" w:eastAsia="Arial" w:hAnsi="Arial"/>
                <w:sz w:val="18"/>
                <w:szCs w:val="18"/>
                <w:color w:val="auto"/>
              </w:rPr>
              <w:t>(5,039)</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(5,985)</w:t>
            </w: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15"/>
              <w:spacing w:after="0"/>
              <w:rPr>
                <w:sz w:val="20"/>
                <w:szCs w:val="20"/>
                <w:color w:val="auto"/>
              </w:rPr>
            </w:pPr>
            <w:r>
              <w:rPr>
                <w:rFonts w:ascii="Arial" w:cs="Arial" w:eastAsia="Arial" w:hAnsi="Arial"/>
                <w:sz w:val="18"/>
                <w:szCs w:val="18"/>
                <w:color w:val="auto"/>
              </w:rPr>
              <w:t>(6,889)</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(9,068)</w:t>
            </w:r>
          </w:p>
        </w:tc>
        <w:tc>
          <w:tcPr>
            <w:tcW w:w="1260" w:type="dxa"/>
            <w:vAlign w:val="bottom"/>
            <w:tcBorders>
              <w:bottom w:val="single" w:sz="8" w:color="auto"/>
            </w:tcBorders>
            <w:gridSpan w:val="2"/>
          </w:tcPr>
          <w:p>
            <w:pPr>
              <w:jc w:val="right"/>
              <w:ind w:right="159"/>
              <w:spacing w:after="0"/>
              <w:rPr>
                <w:sz w:val="20"/>
                <w:szCs w:val="20"/>
                <w:color w:val="auto"/>
              </w:rPr>
            </w:pPr>
            <w:r>
              <w:rPr>
                <w:rFonts w:ascii="Arial" w:cs="Arial" w:eastAsia="Arial" w:hAnsi="Arial"/>
                <w:sz w:val="18"/>
                <w:szCs w:val="18"/>
                <w:color w:val="auto"/>
              </w:rPr>
              <w:t>(6,502)</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(7,362)</w:t>
            </w:r>
          </w:p>
        </w:tc>
        <w:tc>
          <w:tcPr>
            <w:tcW w:w="0" w:type="dxa"/>
            <w:vAlign w:val="bottom"/>
          </w:tcPr>
          <w:p>
            <w:pPr>
              <w:spacing w:after="0"/>
              <w:rPr>
                <w:sz w:val="1"/>
                <w:szCs w:val="1"/>
                <w:color w:val="auto"/>
              </w:rPr>
            </w:pPr>
          </w:p>
        </w:tc>
      </w:tr>
      <w:tr>
        <w:trPr>
          <w:trHeight w:val="223"/>
        </w:trPr>
        <w:tc>
          <w:tcPr>
            <w:tcW w:w="5060" w:type="dxa"/>
            <w:vAlign w:val="bottom"/>
          </w:tcPr>
          <w:p>
            <w:pPr>
              <w:ind w:left="20"/>
              <w:spacing w:after="0"/>
              <w:rPr>
                <w:sz w:val="20"/>
                <w:szCs w:val="20"/>
                <w:color w:val="auto"/>
              </w:rPr>
            </w:pPr>
            <w:r>
              <w:rPr>
                <w:rFonts w:ascii="Arial" w:cs="Arial" w:eastAsia="Arial" w:hAnsi="Arial"/>
                <w:sz w:val="18"/>
                <w:szCs w:val="18"/>
                <w:color w:val="auto"/>
              </w:rPr>
              <w:t>Total recorded</w:t>
            </w:r>
          </w:p>
        </w:tc>
        <w:tc>
          <w:tcPr>
            <w:tcW w:w="1240" w:type="dxa"/>
            <w:vAlign w:val="bottom"/>
            <w:tcBorders>
              <w:bottom w:val="single" w:sz="8" w:color="auto"/>
            </w:tcBorders>
          </w:tcPr>
          <w:p>
            <w:pPr>
              <w:jc w:val="right"/>
              <w:ind w:right="254"/>
              <w:spacing w:after="0"/>
              <w:rPr>
                <w:sz w:val="20"/>
                <w:szCs w:val="20"/>
                <w:color w:val="auto"/>
              </w:rPr>
            </w:pPr>
            <w:r>
              <w:rPr>
                <w:rFonts w:ascii="Arial" w:cs="Arial" w:eastAsia="Arial" w:hAnsi="Arial"/>
                <w:sz w:val="18"/>
                <w:szCs w:val="18"/>
                <w:color w:val="auto"/>
              </w:rPr>
              <w:t>(5,245)</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(6,362)</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15"/>
              <w:spacing w:after="0"/>
              <w:rPr>
                <w:sz w:val="20"/>
                <w:szCs w:val="20"/>
                <w:color w:val="auto"/>
              </w:rPr>
            </w:pPr>
            <w:r>
              <w:rPr>
                <w:rFonts w:ascii="Arial" w:cs="Arial" w:eastAsia="Arial" w:hAnsi="Arial"/>
                <w:sz w:val="18"/>
                <w:szCs w:val="18"/>
                <w:color w:val="auto"/>
              </w:rPr>
              <w:t>(4,612)</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(7,410)</w:t>
            </w:r>
          </w:p>
        </w:tc>
        <w:tc>
          <w:tcPr>
            <w:tcW w:w="1260" w:type="dxa"/>
            <w:vAlign w:val="bottom"/>
            <w:tcBorders>
              <w:bottom w:val="single" w:sz="8" w:color="auto"/>
            </w:tcBorders>
            <w:gridSpan w:val="2"/>
          </w:tcPr>
          <w:p>
            <w:pPr>
              <w:jc w:val="right"/>
              <w:ind w:right="159"/>
              <w:spacing w:after="0"/>
              <w:rPr>
                <w:sz w:val="20"/>
                <w:szCs w:val="20"/>
                <w:color w:val="auto"/>
              </w:rPr>
            </w:pPr>
            <w:r>
              <w:rPr>
                <w:rFonts w:ascii="Arial" w:cs="Arial" w:eastAsia="Arial" w:hAnsi="Arial"/>
                <w:sz w:val="18"/>
                <w:szCs w:val="18"/>
                <w:color w:val="auto"/>
              </w:rPr>
              <w:t>(6,825)</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(7,689)</w:t>
            </w:r>
          </w:p>
        </w:tc>
        <w:tc>
          <w:tcPr>
            <w:tcW w:w="0" w:type="dxa"/>
            <w:vAlign w:val="bottom"/>
          </w:tcPr>
          <w:p>
            <w:pPr>
              <w:spacing w:after="0"/>
              <w:rPr>
                <w:sz w:val="1"/>
                <w:szCs w:val="1"/>
                <w:color w:val="auto"/>
              </w:rPr>
            </w:pPr>
          </w:p>
        </w:tc>
      </w:tr>
      <w:tr>
        <w:trPr>
          <w:trHeight w:val="318"/>
        </w:trPr>
        <w:tc>
          <w:tcPr>
            <w:tcW w:w="5060" w:type="dxa"/>
            <w:vAlign w:val="bottom"/>
          </w:tcPr>
          <w:p>
            <w:pPr>
              <w:ind w:left="20"/>
              <w:spacing w:after="0"/>
              <w:rPr>
                <w:sz w:val="20"/>
                <w:szCs w:val="20"/>
                <w:color w:val="auto"/>
              </w:rPr>
            </w:pPr>
            <w:r>
              <w:rPr>
                <w:rFonts w:ascii="Arial" w:cs="Arial" w:eastAsia="Arial" w:hAnsi="Arial"/>
                <w:sz w:val="18"/>
                <w:szCs w:val="18"/>
                <w:color w:val="auto"/>
              </w:rPr>
              <w:t>Amounts recorded in accumulated other</w:t>
            </w:r>
          </w:p>
        </w:tc>
        <w:tc>
          <w:tcPr>
            <w:tcW w:w="1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060" w:type="dxa"/>
            <w:vAlign w:val="bottom"/>
          </w:tcPr>
          <w:p>
            <w:pPr>
              <w:ind w:left="240"/>
              <w:spacing w:after="0"/>
              <w:rPr>
                <w:sz w:val="20"/>
                <w:szCs w:val="20"/>
                <w:color w:val="auto"/>
              </w:rPr>
            </w:pPr>
            <w:r>
              <w:rPr>
                <w:rFonts w:ascii="Arial" w:cs="Arial" w:eastAsia="Arial" w:hAnsi="Arial"/>
                <w:sz w:val="18"/>
                <w:szCs w:val="18"/>
                <w:color w:val="auto"/>
              </w:rPr>
              <w:t>comprehensive income consist of:</w:t>
            </w:r>
          </w:p>
        </w:tc>
        <w:tc>
          <w:tcPr>
            <w:tcW w:w="1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220"/>
              <w:spacing w:after="0"/>
              <w:rPr>
                <w:sz w:val="20"/>
                <w:szCs w:val="20"/>
                <w:color w:val="auto"/>
              </w:rPr>
            </w:pPr>
            <w:r>
              <w:rPr>
                <w:rFonts w:ascii="Arial" w:cs="Arial" w:eastAsia="Arial" w:hAnsi="Arial"/>
                <w:sz w:val="18"/>
                <w:szCs w:val="18"/>
                <w:color w:val="auto"/>
              </w:rPr>
              <w:t>Net actuarial loss/(gain)</w:t>
            </w:r>
          </w:p>
        </w:tc>
        <w:tc>
          <w:tcPr>
            <w:tcW w:w="1240" w:type="dxa"/>
            <w:vAlign w:val="bottom"/>
          </w:tcPr>
          <w:p>
            <w:pPr>
              <w:jc w:val="right"/>
              <w:ind w:right="294"/>
              <w:spacing w:after="0"/>
              <w:rPr>
                <w:sz w:val="20"/>
                <w:szCs w:val="20"/>
                <w:color w:val="auto"/>
              </w:rPr>
            </w:pPr>
            <w:r>
              <w:rPr>
                <w:rFonts w:ascii="Arial" w:cs="Arial" w:eastAsia="Arial" w:hAnsi="Arial"/>
                <w:sz w:val="18"/>
                <w:szCs w:val="18"/>
                <w:color w:val="auto"/>
              </w:rPr>
              <w:t>1,865</w:t>
            </w:r>
          </w:p>
        </w:tc>
        <w:tc>
          <w:tcPr>
            <w:tcW w:w="720" w:type="dxa"/>
            <w:vAlign w:val="bottom"/>
          </w:tcPr>
          <w:p>
            <w:pPr>
              <w:jc w:val="right"/>
              <w:spacing w:after="0"/>
              <w:rPr>
                <w:sz w:val="20"/>
                <w:szCs w:val="20"/>
                <w:color w:val="auto"/>
              </w:rPr>
            </w:pPr>
            <w:r>
              <w:rPr>
                <w:rFonts w:ascii="Arial" w:cs="Arial" w:eastAsia="Arial" w:hAnsi="Arial"/>
                <w:sz w:val="18"/>
                <w:szCs w:val="18"/>
                <w:color w:val="auto"/>
              </w:rPr>
              <w:t>3,102</w:t>
            </w:r>
          </w:p>
        </w:tc>
        <w:tc>
          <w:tcPr>
            <w:tcW w:w="120" w:type="dxa"/>
            <w:vAlign w:val="bottom"/>
          </w:tcPr>
          <w:p>
            <w:pPr>
              <w:spacing w:after="0"/>
              <w:rPr>
                <w:sz w:val="19"/>
                <w:szCs w:val="19"/>
                <w:color w:val="auto"/>
              </w:rPr>
            </w:pPr>
          </w:p>
        </w:tc>
        <w:tc>
          <w:tcPr>
            <w:tcW w:w="1320" w:type="dxa"/>
            <w:vAlign w:val="bottom"/>
          </w:tcPr>
          <w:p>
            <w:pPr>
              <w:jc w:val="right"/>
              <w:ind w:right="375"/>
              <w:spacing w:after="0"/>
              <w:rPr>
                <w:sz w:val="20"/>
                <w:szCs w:val="20"/>
                <w:color w:val="auto"/>
              </w:rPr>
            </w:pPr>
            <w:r>
              <w:rPr>
                <w:rFonts w:ascii="Arial" w:cs="Arial" w:eastAsia="Arial" w:hAnsi="Arial"/>
                <w:sz w:val="18"/>
                <w:szCs w:val="18"/>
                <w:color w:val="auto"/>
              </w:rPr>
              <w:t>2,841</w:t>
            </w:r>
          </w:p>
        </w:tc>
        <w:tc>
          <w:tcPr>
            <w:tcW w:w="680" w:type="dxa"/>
            <w:vAlign w:val="bottom"/>
          </w:tcPr>
          <w:p>
            <w:pPr>
              <w:jc w:val="right"/>
              <w:spacing w:after="0"/>
              <w:rPr>
                <w:sz w:val="20"/>
                <w:szCs w:val="20"/>
                <w:color w:val="auto"/>
              </w:rPr>
            </w:pPr>
            <w:r>
              <w:rPr>
                <w:rFonts w:ascii="Arial" w:cs="Arial" w:eastAsia="Arial" w:hAnsi="Arial"/>
                <w:sz w:val="18"/>
                <w:szCs w:val="18"/>
                <w:color w:val="auto"/>
              </w:rPr>
              <w:t>5,904</w:t>
            </w:r>
          </w:p>
        </w:tc>
        <w:tc>
          <w:tcPr>
            <w:tcW w:w="1260" w:type="dxa"/>
            <w:vAlign w:val="bottom"/>
            <w:gridSpan w:val="2"/>
          </w:tcPr>
          <w:p>
            <w:pPr>
              <w:jc w:val="right"/>
              <w:ind w:right="199"/>
              <w:spacing w:after="0"/>
              <w:rPr>
                <w:sz w:val="20"/>
                <w:szCs w:val="20"/>
                <w:color w:val="auto"/>
              </w:rPr>
            </w:pPr>
            <w:r>
              <w:rPr>
                <w:rFonts w:ascii="Arial" w:cs="Arial" w:eastAsia="Arial" w:hAnsi="Arial"/>
                <w:sz w:val="18"/>
                <w:szCs w:val="18"/>
                <w:color w:val="auto"/>
              </w:rPr>
              <w:t>197</w:t>
            </w:r>
          </w:p>
        </w:tc>
        <w:tc>
          <w:tcPr>
            <w:tcW w:w="840" w:type="dxa"/>
            <w:vAlign w:val="bottom"/>
          </w:tcPr>
          <w:p>
            <w:pPr>
              <w:jc w:val="right"/>
              <w:spacing w:after="0"/>
              <w:rPr>
                <w:sz w:val="20"/>
                <w:szCs w:val="20"/>
                <w:color w:val="auto"/>
              </w:rPr>
            </w:pPr>
            <w:r>
              <w:rPr>
                <w:rFonts w:ascii="Arial" w:cs="Arial" w:eastAsia="Arial" w:hAnsi="Arial"/>
                <w:sz w:val="18"/>
                <w:szCs w:val="18"/>
                <w:color w:val="auto"/>
              </w:rPr>
              <w:t>1,164</w:t>
            </w:r>
          </w:p>
        </w:tc>
        <w:tc>
          <w:tcPr>
            <w:tcW w:w="0" w:type="dxa"/>
            <w:vAlign w:val="bottom"/>
          </w:tcPr>
          <w:p>
            <w:pPr>
              <w:spacing w:after="0"/>
              <w:rPr>
                <w:sz w:val="1"/>
                <w:szCs w:val="1"/>
                <w:color w:val="auto"/>
              </w:rPr>
            </w:pPr>
          </w:p>
        </w:tc>
      </w:tr>
      <w:tr>
        <w:trPr>
          <w:trHeight w:val="230"/>
        </w:trPr>
        <w:tc>
          <w:tcPr>
            <w:tcW w:w="5060" w:type="dxa"/>
            <w:vAlign w:val="bottom"/>
          </w:tcPr>
          <w:p>
            <w:pPr>
              <w:ind w:left="220"/>
              <w:spacing w:after="0"/>
              <w:rPr>
                <w:sz w:val="20"/>
                <w:szCs w:val="20"/>
                <w:color w:val="auto"/>
              </w:rPr>
            </w:pPr>
            <w:r>
              <w:rPr>
                <w:rFonts w:ascii="Arial" w:cs="Arial" w:eastAsia="Arial" w:hAnsi="Arial"/>
                <w:sz w:val="18"/>
                <w:szCs w:val="18"/>
                <w:color w:val="auto"/>
              </w:rPr>
              <w:t>Prior service cost</w:t>
            </w:r>
          </w:p>
        </w:tc>
        <w:tc>
          <w:tcPr>
            <w:tcW w:w="1240" w:type="dxa"/>
            <w:vAlign w:val="bottom"/>
            <w:tcBorders>
              <w:bottom w:val="single" w:sz="8" w:color="auto"/>
            </w:tcBorders>
          </w:tcPr>
          <w:p>
            <w:pPr>
              <w:jc w:val="right"/>
              <w:ind w:right="254"/>
              <w:spacing w:after="0"/>
              <w:rPr>
                <w:sz w:val="20"/>
                <w:szCs w:val="20"/>
                <w:color w:val="auto"/>
              </w:rPr>
            </w:pPr>
            <w:r>
              <w:rPr>
                <w:rFonts w:ascii="Arial" w:cs="Arial" w:eastAsia="Arial" w:hAnsi="Arial"/>
                <w:sz w:val="18"/>
                <w:szCs w:val="18"/>
                <w:color w:val="auto"/>
              </w:rPr>
              <w:t>(324)</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w:t>
            </w: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75"/>
              <w:spacing w:after="0"/>
              <w:rPr>
                <w:sz w:val="20"/>
                <w:szCs w:val="20"/>
                <w:color w:val="auto"/>
              </w:rPr>
            </w:pPr>
            <w:r>
              <w:rPr>
                <w:rFonts w:ascii="Arial" w:cs="Arial" w:eastAsia="Arial" w:hAnsi="Arial"/>
                <w:sz w:val="18"/>
                <w:szCs w:val="18"/>
                <w:color w:val="auto"/>
              </w:rPr>
              <w:t>262</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1260" w:type="dxa"/>
            <w:vAlign w:val="bottom"/>
            <w:tcBorders>
              <w:bottom w:val="single" w:sz="8" w:color="auto"/>
            </w:tcBorders>
            <w:gridSpan w:val="2"/>
          </w:tcPr>
          <w:p>
            <w:pPr>
              <w:jc w:val="right"/>
              <w:ind w:right="159"/>
              <w:spacing w:after="0"/>
              <w:rPr>
                <w:sz w:val="20"/>
                <w:szCs w:val="20"/>
                <w:color w:val="auto"/>
              </w:rPr>
            </w:pPr>
            <w:r>
              <w:rPr>
                <w:rFonts w:ascii="Arial" w:cs="Arial" w:eastAsia="Arial" w:hAnsi="Arial"/>
                <w:sz w:val="18"/>
                <w:szCs w:val="18"/>
                <w:color w:val="auto"/>
              </w:rPr>
              <w:t>(232)</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155"/>
        </w:trPr>
        <w:tc>
          <w:tcPr>
            <w:tcW w:w="5060" w:type="dxa"/>
            <w:vAlign w:val="bottom"/>
          </w:tcPr>
          <w:p>
            <w:pPr>
              <w:ind w:left="20"/>
              <w:spacing w:after="0" w:line="156" w:lineRule="exact"/>
              <w:rPr>
                <w:sz w:val="20"/>
                <w:szCs w:val="20"/>
                <w:color w:val="auto"/>
              </w:rPr>
            </w:pPr>
            <w:r>
              <w:rPr>
                <w:rFonts w:ascii="Arial" w:cs="Arial" w:eastAsia="Arial" w:hAnsi="Arial"/>
                <w:sz w:val="18"/>
                <w:szCs w:val="18"/>
                <w:color w:val="auto"/>
              </w:rPr>
              <w:t>Total recorded in accumulated other</w:t>
            </w:r>
          </w:p>
        </w:tc>
        <w:tc>
          <w:tcPr>
            <w:tcW w:w="1240" w:type="dxa"/>
            <w:vAlign w:val="bottom"/>
            <w:vMerge w:val="restart"/>
          </w:tcPr>
          <w:p>
            <w:pPr>
              <w:jc w:val="right"/>
              <w:ind w:right="294"/>
              <w:spacing w:after="0"/>
              <w:rPr>
                <w:sz w:val="20"/>
                <w:szCs w:val="20"/>
                <w:color w:val="auto"/>
              </w:rPr>
            </w:pPr>
            <w:r>
              <w:rPr>
                <w:rFonts w:ascii="Arial" w:cs="Arial" w:eastAsia="Arial" w:hAnsi="Arial"/>
                <w:sz w:val="18"/>
                <w:szCs w:val="18"/>
                <w:color w:val="auto"/>
              </w:rPr>
              <w:t>1,541</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2,827</w:t>
            </w:r>
          </w:p>
        </w:tc>
        <w:tc>
          <w:tcPr>
            <w:tcW w:w="120" w:type="dxa"/>
            <w:vAlign w:val="bottom"/>
          </w:tcPr>
          <w:p>
            <w:pPr>
              <w:spacing w:after="0"/>
              <w:rPr>
                <w:sz w:val="13"/>
                <w:szCs w:val="13"/>
                <w:color w:val="auto"/>
              </w:rPr>
            </w:pPr>
          </w:p>
        </w:tc>
        <w:tc>
          <w:tcPr>
            <w:tcW w:w="1320" w:type="dxa"/>
            <w:vAlign w:val="bottom"/>
            <w:vMerge w:val="restart"/>
          </w:tcPr>
          <w:p>
            <w:pPr>
              <w:jc w:val="right"/>
              <w:ind w:right="375"/>
              <w:spacing w:after="0"/>
              <w:rPr>
                <w:sz w:val="20"/>
                <w:szCs w:val="20"/>
                <w:color w:val="auto"/>
              </w:rPr>
            </w:pPr>
            <w:r>
              <w:rPr>
                <w:rFonts w:ascii="Arial" w:cs="Arial" w:eastAsia="Arial" w:hAnsi="Arial"/>
                <w:sz w:val="18"/>
                <w:szCs w:val="18"/>
                <w:color w:val="auto"/>
              </w:rPr>
              <w:t>3,103</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6,112</w:t>
            </w:r>
          </w:p>
        </w:tc>
        <w:tc>
          <w:tcPr>
            <w:tcW w:w="1260" w:type="dxa"/>
            <w:vAlign w:val="bottom"/>
            <w:gridSpan w:val="2"/>
            <w:vMerge w:val="restart"/>
          </w:tcPr>
          <w:p>
            <w:pPr>
              <w:jc w:val="right"/>
              <w:ind w:right="159"/>
              <w:spacing w:after="0"/>
              <w:rPr>
                <w:sz w:val="20"/>
                <w:szCs w:val="20"/>
                <w:color w:val="auto"/>
              </w:rPr>
            </w:pPr>
            <w:r>
              <w:rPr>
                <w:rFonts w:ascii="Arial" w:cs="Arial" w:eastAsia="Arial" w:hAnsi="Arial"/>
                <w:sz w:val="18"/>
                <w:szCs w:val="18"/>
                <w:color w:val="auto"/>
              </w:rPr>
              <w:t>(35)</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890</w:t>
            </w:r>
          </w:p>
        </w:tc>
        <w:tc>
          <w:tcPr>
            <w:tcW w:w="0" w:type="dxa"/>
            <w:vAlign w:val="bottom"/>
          </w:tcPr>
          <w:p>
            <w:pPr>
              <w:spacing w:after="0"/>
              <w:rPr>
                <w:sz w:val="1"/>
                <w:szCs w:val="1"/>
                <w:color w:val="auto"/>
              </w:rPr>
            </w:pPr>
          </w:p>
        </w:tc>
      </w:tr>
      <w:tr>
        <w:trPr>
          <w:trHeight w:val="230"/>
        </w:trPr>
        <w:tc>
          <w:tcPr>
            <w:tcW w:w="5060" w:type="dxa"/>
            <w:vAlign w:val="bottom"/>
          </w:tcPr>
          <w:p>
            <w:pPr>
              <w:ind w:left="240"/>
              <w:spacing w:after="0"/>
              <w:rPr>
                <w:sz w:val="20"/>
                <w:szCs w:val="20"/>
                <w:color w:val="auto"/>
              </w:rPr>
            </w:pPr>
            <w:r>
              <w:rPr>
                <w:rFonts w:ascii="Arial" w:cs="Arial" w:eastAsia="Arial" w:hAnsi="Arial"/>
                <w:sz w:val="18"/>
                <w:szCs w:val="18"/>
                <w:color w:val="auto"/>
              </w:rPr>
              <w:t>comprehensive income</w:t>
            </w:r>
          </w:p>
        </w:tc>
        <w:tc>
          <w:tcPr>
            <w:tcW w:w="1240" w:type="dxa"/>
            <w:vAlign w:val="bottom"/>
            <w:tcBorders>
              <w:bottom w:val="single" w:sz="8" w:color="auto"/>
            </w:tcBorders>
            <w:vMerge w:val="continue"/>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680" w:type="dxa"/>
            <w:vAlign w:val="bottom"/>
            <w:tcBorders>
              <w:bottom w:val="single" w:sz="8" w:color="auto"/>
            </w:tcBorders>
            <w:vMerge w:val="continue"/>
          </w:tcPr>
          <w:p>
            <w:pPr>
              <w:spacing w:after="0"/>
              <w:rPr>
                <w:sz w:val="19"/>
                <w:szCs w:val="19"/>
                <w:color w:val="auto"/>
              </w:rPr>
            </w:pPr>
          </w:p>
        </w:tc>
        <w:tc>
          <w:tcPr>
            <w:tcW w:w="1260" w:type="dxa"/>
            <w:vAlign w:val="bottom"/>
            <w:tcBorders>
              <w:bottom w:val="single" w:sz="8" w:color="auto"/>
            </w:tcBorders>
            <w:gridSpan w:val="2"/>
            <w:vMerge w:val="continue"/>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380" w:hanging="372"/>
        <w:spacing w:after="0"/>
        <w:tabs>
          <w:tab w:leader="none" w:pos="380" w:val="left"/>
        </w:tabs>
        <w:numPr>
          <w:ilvl w:val="0"/>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Fair value of assets less benefit obligation shown on the preceding page.</w:t>
      </w:r>
    </w:p>
    <w:p>
      <w:pPr>
        <w:spacing w:after="0" w:line="200" w:lineRule="exact"/>
        <w:rPr>
          <w:rFonts w:ascii="Arial" w:cs="Arial" w:eastAsia="Arial" w:hAnsi="Arial"/>
          <w:sz w:val="18"/>
          <w:szCs w:val="18"/>
          <w:i w:val="1"/>
          <w:iCs w:val="1"/>
          <w:color w:val="auto"/>
        </w:rPr>
      </w:pPr>
    </w:p>
    <w:p>
      <w:pPr>
        <w:spacing w:after="0" w:line="200" w:lineRule="exact"/>
        <w:rPr>
          <w:rFonts w:ascii="Arial" w:cs="Arial" w:eastAsia="Arial" w:hAnsi="Arial"/>
          <w:sz w:val="18"/>
          <w:szCs w:val="18"/>
          <w:i w:val="1"/>
          <w:iCs w:val="1"/>
          <w:color w:val="auto"/>
        </w:rPr>
      </w:pPr>
    </w:p>
    <w:p>
      <w:pPr>
        <w:spacing w:after="0" w:line="230" w:lineRule="exact"/>
        <w:rPr>
          <w:rFonts w:ascii="Arial" w:cs="Arial" w:eastAsia="Arial" w:hAnsi="Arial"/>
          <w:sz w:val="18"/>
          <w:szCs w:val="18"/>
          <w:i w:val="1"/>
          <w:iCs w:val="1"/>
          <w:color w:val="auto"/>
        </w:rPr>
      </w:pPr>
    </w:p>
    <w:p>
      <w:pPr>
        <w:ind w:left="5540"/>
        <w:spacing w:after="0"/>
        <w:rPr>
          <w:rFonts w:ascii="Arial" w:cs="Arial" w:eastAsia="Arial" w:hAnsi="Arial"/>
          <w:sz w:val="18"/>
          <w:szCs w:val="18"/>
          <w:i w:val="1"/>
          <w:iCs w:val="1"/>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9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long-term expected rate of return on funded assets shown below is established for each benefit plan by developing a forward-looking, long-term return assumption for each asset class, taking into account factors such as the expected real return for the specific asset class and inflation. A single, long-term rate of return is then calculated as the weighted average of the target asset allocation percentages and the long-term return assumption for each asset class.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500" w:type="dxa"/>
            <w:vAlign w:val="bottom"/>
            <w:gridSpan w:val="3"/>
          </w:tcPr>
          <w:p>
            <w:pPr>
              <w:jc w:val="right"/>
              <w:ind w:right="152"/>
              <w:spacing w:after="0"/>
              <w:rPr>
                <w:sz w:val="20"/>
                <w:szCs w:val="20"/>
                <w:color w:val="auto"/>
              </w:rPr>
            </w:pPr>
            <w:r>
              <w:rPr>
                <w:rFonts w:ascii="Arial" w:cs="Arial" w:eastAsia="Arial" w:hAnsi="Arial"/>
                <w:sz w:val="14"/>
                <w:szCs w:val="14"/>
                <w:b w:val="1"/>
                <w:bCs w:val="1"/>
                <w:color w:val="auto"/>
              </w:rPr>
              <w:t>Pension Benefits</w:t>
            </w:r>
          </w:p>
        </w:tc>
        <w:tc>
          <w:tcPr>
            <w:tcW w:w="9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448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40" w:type="dxa"/>
            <w:vAlign w:val="bottom"/>
            <w:gridSpan w:val="3"/>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448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U.S.</w:t>
            </w:r>
          </w:p>
        </w:tc>
        <w:tc>
          <w:tcPr>
            <w:tcW w:w="7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Non-U.S.</w:t>
            </w:r>
          </w:p>
        </w:tc>
        <w:tc>
          <w:tcPr>
            <w:tcW w:w="6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40" w:type="dxa"/>
            <w:vAlign w:val="bottom"/>
            <w:tcBorders>
              <w:bottom w:val="single" w:sz="8" w:color="auto"/>
            </w:tcBorders>
            <w:gridSpan w:val="3"/>
          </w:tcPr>
          <w:p>
            <w:pPr>
              <w:jc w:val="right"/>
              <w:ind w:right="11"/>
              <w:spacing w:after="0"/>
              <w:rPr>
                <w:sz w:val="20"/>
                <w:szCs w:val="20"/>
                <w:color w:val="auto"/>
              </w:rPr>
            </w:pPr>
            <w:r>
              <w:rPr>
                <w:rFonts w:ascii="Arial" w:cs="Arial" w:eastAsia="Arial" w:hAnsi="Arial"/>
                <w:sz w:val="14"/>
                <w:szCs w:val="14"/>
                <w:b w:val="1"/>
                <w:bCs w:val="1"/>
                <w:color w:val="auto"/>
                <w:w w:val="96"/>
              </w:rPr>
              <w:t>Other Postretirement Benefits</w:t>
            </w:r>
          </w:p>
        </w:tc>
        <w:tc>
          <w:tcPr>
            <w:tcW w:w="0" w:type="dxa"/>
            <w:vAlign w:val="bottom"/>
          </w:tcPr>
          <w:p>
            <w:pPr>
              <w:spacing w:after="0"/>
              <w:rPr>
                <w:sz w:val="1"/>
                <w:szCs w:val="1"/>
                <w:color w:val="auto"/>
              </w:rPr>
            </w:pPr>
          </w:p>
        </w:tc>
      </w:tr>
      <w:tr>
        <w:trPr>
          <w:trHeight w:val="209"/>
        </w:trPr>
        <w:tc>
          <w:tcPr>
            <w:tcW w:w="44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2021</w:t>
            </w:r>
          </w:p>
        </w:tc>
        <w:tc>
          <w:tcPr>
            <w:tcW w:w="8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2020</w:t>
            </w:r>
          </w:p>
        </w:tc>
        <w:tc>
          <w:tcPr>
            <w:tcW w:w="7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2021</w:t>
            </w:r>
          </w:p>
        </w:tc>
        <w:tc>
          <w:tcPr>
            <w:tcW w:w="9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2019</w:t>
            </w:r>
          </w:p>
        </w:tc>
        <w:tc>
          <w:tcPr>
            <w:tcW w:w="820" w:type="dxa"/>
            <w:vAlign w:val="bottom"/>
            <w:tcBorders>
              <w:bottom w:val="single" w:sz="8" w:color="auto"/>
            </w:tcBorders>
            <w:gridSpan w:val="2"/>
          </w:tcPr>
          <w:p>
            <w:pPr>
              <w:jc w:val="right"/>
              <w:ind w:right="195"/>
              <w:spacing w:after="0"/>
              <w:rPr>
                <w:sz w:val="20"/>
                <w:szCs w:val="20"/>
                <w:color w:val="auto"/>
              </w:rPr>
            </w:pPr>
            <w:r>
              <w:rPr>
                <w:rFonts w:ascii="Arial" w:cs="Arial" w:eastAsia="Arial" w:hAnsi="Arial"/>
                <w:sz w:val="14"/>
                <w:szCs w:val="14"/>
                <w:b w:val="1"/>
                <w:bCs w:val="1"/>
                <w:color w:val="auto"/>
              </w:rPr>
              <w:t>2021</w:t>
            </w:r>
          </w:p>
        </w:tc>
        <w:tc>
          <w:tcPr>
            <w:tcW w:w="72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75"/>
        </w:trPr>
        <w:tc>
          <w:tcPr>
            <w:tcW w:w="4480" w:type="dxa"/>
            <w:vAlign w:val="bottom"/>
          </w:tcPr>
          <w:p>
            <w:pPr>
              <w:ind w:left="20"/>
              <w:spacing w:after="0" w:line="175" w:lineRule="exact"/>
              <w:rPr>
                <w:sz w:val="20"/>
                <w:szCs w:val="20"/>
                <w:color w:val="auto"/>
              </w:rPr>
            </w:pPr>
            <w:r>
              <w:rPr>
                <w:rFonts w:ascii="Arial" w:cs="Arial" w:eastAsia="Arial" w:hAnsi="Arial"/>
                <w:sz w:val="18"/>
                <w:szCs w:val="18"/>
                <w:color w:val="auto"/>
              </w:rPr>
              <w:t>Weighted-average assumptions used to determine net</w:t>
            </w: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480" w:type="dxa"/>
            <w:vAlign w:val="bottom"/>
          </w:tcPr>
          <w:p>
            <w:pPr>
              <w:ind w:left="360"/>
              <w:spacing w:after="0"/>
              <w:rPr>
                <w:sz w:val="20"/>
                <w:szCs w:val="20"/>
                <w:color w:val="auto"/>
              </w:rPr>
            </w:pPr>
            <w:r>
              <w:rPr>
                <w:rFonts w:ascii="Arial" w:cs="Arial" w:eastAsia="Arial" w:hAnsi="Arial"/>
                <w:sz w:val="18"/>
                <w:szCs w:val="18"/>
                <w:color w:val="auto"/>
              </w:rPr>
              <w:t>periodic benefit cost for years ended December 31</w:t>
            </w: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60" w:type="dxa"/>
            <w:vAlign w:val="bottom"/>
          </w:tcPr>
          <w:p>
            <w:pPr>
              <w:jc w:val="right"/>
              <w:ind w:right="293"/>
              <w:spacing w:after="0"/>
              <w:rPr>
                <w:sz w:val="20"/>
                <w:szCs w:val="20"/>
                <w:color w:val="auto"/>
              </w:rPr>
            </w:pPr>
            <w:r>
              <w:rPr>
                <w:rFonts w:ascii="Arial" w:cs="Arial" w:eastAsia="Arial" w:hAnsi="Arial"/>
                <w:sz w:val="14"/>
                <w:szCs w:val="14"/>
                <w:i w:val="1"/>
                <w:iCs w:val="1"/>
                <w:color w:val="auto"/>
                <w:w w:val="99"/>
              </w:rPr>
              <w:t>(percent)</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tcPr>
          <w:p>
            <w:pPr>
              <w:ind w:left="220"/>
              <w:spacing w:after="0"/>
              <w:rPr>
                <w:sz w:val="20"/>
                <w:szCs w:val="20"/>
                <w:color w:val="auto"/>
              </w:rPr>
            </w:pPr>
            <w:r>
              <w:rPr>
                <w:rFonts w:ascii="Arial" w:cs="Arial" w:eastAsia="Arial" w:hAnsi="Arial"/>
                <w:sz w:val="18"/>
                <w:szCs w:val="18"/>
                <w:color w:val="auto"/>
              </w:rPr>
              <w:t>Discount rate</w:t>
            </w: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2.80</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3.50</w:t>
            </w:r>
          </w:p>
        </w:tc>
        <w:tc>
          <w:tcPr>
            <w:tcW w:w="700" w:type="dxa"/>
            <w:vAlign w:val="bottom"/>
          </w:tcPr>
          <w:p>
            <w:pPr>
              <w:jc w:val="right"/>
              <w:spacing w:after="0"/>
              <w:rPr>
                <w:sz w:val="20"/>
                <w:szCs w:val="20"/>
                <w:color w:val="auto"/>
              </w:rPr>
            </w:pPr>
            <w:r>
              <w:rPr>
                <w:rFonts w:ascii="Arial" w:cs="Arial" w:eastAsia="Arial" w:hAnsi="Arial"/>
                <w:sz w:val="18"/>
                <w:szCs w:val="18"/>
                <w:color w:val="auto"/>
              </w:rPr>
              <w:t>4.40</w:t>
            </w:r>
          </w:p>
        </w:tc>
        <w:tc>
          <w:tcPr>
            <w:tcW w:w="100" w:type="dxa"/>
            <w:vAlign w:val="bottom"/>
          </w:tcPr>
          <w:p>
            <w:pPr>
              <w:spacing w:after="0"/>
              <w:rPr>
                <w:sz w:val="19"/>
                <w:szCs w:val="19"/>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1.60</w:t>
            </w:r>
          </w:p>
        </w:tc>
        <w:tc>
          <w:tcPr>
            <w:tcW w:w="960" w:type="dxa"/>
            <w:vAlign w:val="bottom"/>
          </w:tcPr>
          <w:p>
            <w:pPr>
              <w:jc w:val="right"/>
              <w:ind w:right="233"/>
              <w:spacing w:after="0"/>
              <w:rPr>
                <w:sz w:val="20"/>
                <w:szCs w:val="20"/>
                <w:color w:val="auto"/>
              </w:rPr>
            </w:pPr>
            <w:r>
              <w:rPr>
                <w:rFonts w:ascii="Arial" w:cs="Arial" w:eastAsia="Arial" w:hAnsi="Arial"/>
                <w:sz w:val="18"/>
                <w:szCs w:val="18"/>
                <w:color w:val="auto"/>
              </w:rPr>
              <w:t>2.30</w:t>
            </w:r>
          </w:p>
        </w:tc>
        <w:tc>
          <w:tcPr>
            <w:tcW w:w="600" w:type="dxa"/>
            <w:vAlign w:val="bottom"/>
          </w:tcPr>
          <w:p>
            <w:pPr>
              <w:jc w:val="right"/>
              <w:spacing w:after="0"/>
              <w:rPr>
                <w:sz w:val="20"/>
                <w:szCs w:val="20"/>
                <w:color w:val="auto"/>
              </w:rPr>
            </w:pPr>
            <w:r>
              <w:rPr>
                <w:rFonts w:ascii="Arial" w:cs="Arial" w:eastAsia="Arial" w:hAnsi="Arial"/>
                <w:sz w:val="18"/>
                <w:szCs w:val="18"/>
                <w:color w:val="auto"/>
              </w:rPr>
              <w:t>3.00</w:t>
            </w:r>
          </w:p>
        </w:tc>
        <w:tc>
          <w:tcPr>
            <w:tcW w:w="820" w:type="dxa"/>
            <w:vAlign w:val="bottom"/>
            <w:gridSpan w:val="2"/>
          </w:tcPr>
          <w:p>
            <w:pPr>
              <w:jc w:val="right"/>
              <w:ind w:right="95"/>
              <w:spacing w:after="0"/>
              <w:rPr>
                <w:sz w:val="20"/>
                <w:szCs w:val="20"/>
                <w:color w:val="auto"/>
              </w:rPr>
            </w:pPr>
            <w:r>
              <w:rPr>
                <w:rFonts w:ascii="Arial" w:cs="Arial" w:eastAsia="Arial" w:hAnsi="Arial"/>
                <w:sz w:val="18"/>
                <w:szCs w:val="18"/>
                <w:color w:val="auto"/>
              </w:rPr>
              <w:t>2.80</w:t>
            </w:r>
          </w:p>
        </w:tc>
        <w:tc>
          <w:tcPr>
            <w:tcW w:w="720" w:type="dxa"/>
            <w:vAlign w:val="bottom"/>
          </w:tcPr>
          <w:p>
            <w:pPr>
              <w:jc w:val="right"/>
              <w:ind w:right="91"/>
              <w:spacing w:after="0"/>
              <w:rPr>
                <w:sz w:val="20"/>
                <w:szCs w:val="20"/>
                <w:color w:val="auto"/>
              </w:rPr>
            </w:pPr>
            <w:r>
              <w:rPr>
                <w:rFonts w:ascii="Arial" w:cs="Arial" w:eastAsia="Arial" w:hAnsi="Arial"/>
                <w:sz w:val="18"/>
                <w:szCs w:val="18"/>
                <w:color w:val="auto"/>
              </w:rPr>
              <w:t>3.50</w:t>
            </w:r>
          </w:p>
        </w:tc>
        <w:tc>
          <w:tcPr>
            <w:tcW w:w="600" w:type="dxa"/>
            <w:vAlign w:val="bottom"/>
          </w:tcPr>
          <w:p>
            <w:pPr>
              <w:jc w:val="right"/>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29"/>
        </w:trPr>
        <w:tc>
          <w:tcPr>
            <w:tcW w:w="4480" w:type="dxa"/>
            <w:vAlign w:val="bottom"/>
          </w:tcPr>
          <w:p>
            <w:pPr>
              <w:ind w:left="220"/>
              <w:spacing w:after="0"/>
              <w:rPr>
                <w:sz w:val="20"/>
                <w:szCs w:val="20"/>
                <w:color w:val="auto"/>
              </w:rPr>
            </w:pPr>
            <w:r>
              <w:rPr>
                <w:rFonts w:ascii="Arial" w:cs="Arial" w:eastAsia="Arial" w:hAnsi="Arial"/>
                <w:sz w:val="18"/>
                <w:szCs w:val="18"/>
                <w:color w:val="auto"/>
              </w:rPr>
              <w:t>Long-term rate of return on funded assets</w:t>
            </w: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5.30</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5.30</w:t>
            </w:r>
          </w:p>
        </w:tc>
        <w:tc>
          <w:tcPr>
            <w:tcW w:w="700" w:type="dxa"/>
            <w:vAlign w:val="bottom"/>
          </w:tcPr>
          <w:p>
            <w:pPr>
              <w:jc w:val="right"/>
              <w:spacing w:after="0"/>
              <w:rPr>
                <w:sz w:val="20"/>
                <w:szCs w:val="20"/>
                <w:color w:val="auto"/>
              </w:rPr>
            </w:pPr>
            <w:r>
              <w:rPr>
                <w:rFonts w:ascii="Arial" w:cs="Arial" w:eastAsia="Arial" w:hAnsi="Arial"/>
                <w:sz w:val="18"/>
                <w:szCs w:val="18"/>
                <w:color w:val="auto"/>
              </w:rPr>
              <w:t>5.30</w:t>
            </w:r>
          </w:p>
        </w:tc>
        <w:tc>
          <w:tcPr>
            <w:tcW w:w="100" w:type="dxa"/>
            <w:vAlign w:val="bottom"/>
          </w:tcPr>
          <w:p>
            <w:pPr>
              <w:spacing w:after="0"/>
              <w:rPr>
                <w:sz w:val="19"/>
                <w:szCs w:val="19"/>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4.10</w:t>
            </w:r>
          </w:p>
        </w:tc>
        <w:tc>
          <w:tcPr>
            <w:tcW w:w="960" w:type="dxa"/>
            <w:vAlign w:val="bottom"/>
          </w:tcPr>
          <w:p>
            <w:pPr>
              <w:jc w:val="right"/>
              <w:ind w:right="233"/>
              <w:spacing w:after="0"/>
              <w:rPr>
                <w:sz w:val="20"/>
                <w:szCs w:val="20"/>
                <w:color w:val="auto"/>
              </w:rPr>
            </w:pPr>
            <w:r>
              <w:rPr>
                <w:rFonts w:ascii="Arial" w:cs="Arial" w:eastAsia="Arial" w:hAnsi="Arial"/>
                <w:sz w:val="18"/>
                <w:szCs w:val="18"/>
                <w:color w:val="auto"/>
              </w:rPr>
              <w:t>4.10</w:t>
            </w:r>
          </w:p>
        </w:tc>
        <w:tc>
          <w:tcPr>
            <w:tcW w:w="600" w:type="dxa"/>
            <w:vAlign w:val="bottom"/>
          </w:tcPr>
          <w:p>
            <w:pPr>
              <w:jc w:val="right"/>
              <w:spacing w:after="0"/>
              <w:rPr>
                <w:sz w:val="20"/>
                <w:szCs w:val="20"/>
                <w:color w:val="auto"/>
              </w:rPr>
            </w:pPr>
            <w:r>
              <w:rPr>
                <w:rFonts w:ascii="Arial" w:cs="Arial" w:eastAsia="Arial" w:hAnsi="Arial"/>
                <w:sz w:val="18"/>
                <w:szCs w:val="18"/>
                <w:color w:val="auto"/>
              </w:rPr>
              <w:t>4.10</w:t>
            </w:r>
          </w:p>
        </w:tc>
        <w:tc>
          <w:tcPr>
            <w:tcW w:w="820" w:type="dxa"/>
            <w:vAlign w:val="bottom"/>
            <w:gridSpan w:val="2"/>
          </w:tcPr>
          <w:p>
            <w:pPr>
              <w:jc w:val="right"/>
              <w:ind w:right="95"/>
              <w:spacing w:after="0"/>
              <w:rPr>
                <w:sz w:val="20"/>
                <w:szCs w:val="20"/>
                <w:color w:val="auto"/>
              </w:rPr>
            </w:pPr>
            <w:r>
              <w:rPr>
                <w:rFonts w:ascii="Arial" w:cs="Arial" w:eastAsia="Arial" w:hAnsi="Arial"/>
                <w:sz w:val="18"/>
                <w:szCs w:val="18"/>
                <w:color w:val="auto"/>
              </w:rPr>
              <w:t>4.60</w:t>
            </w:r>
          </w:p>
        </w:tc>
        <w:tc>
          <w:tcPr>
            <w:tcW w:w="720" w:type="dxa"/>
            <w:vAlign w:val="bottom"/>
          </w:tcPr>
          <w:p>
            <w:pPr>
              <w:jc w:val="right"/>
              <w:ind w:right="91"/>
              <w:spacing w:after="0"/>
              <w:rPr>
                <w:sz w:val="20"/>
                <w:szCs w:val="20"/>
                <w:color w:val="auto"/>
              </w:rPr>
            </w:pPr>
            <w:r>
              <w:rPr>
                <w:rFonts w:ascii="Arial" w:cs="Arial" w:eastAsia="Arial" w:hAnsi="Arial"/>
                <w:sz w:val="18"/>
                <w:szCs w:val="18"/>
                <w:color w:val="auto"/>
              </w:rPr>
              <w:t>4.60</w:t>
            </w:r>
          </w:p>
        </w:tc>
        <w:tc>
          <w:tcPr>
            <w:tcW w:w="600" w:type="dxa"/>
            <w:vAlign w:val="bottom"/>
          </w:tcPr>
          <w:p>
            <w:pPr>
              <w:jc w:val="right"/>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30"/>
        </w:trPr>
        <w:tc>
          <w:tcPr>
            <w:tcW w:w="4480" w:type="dxa"/>
            <w:vAlign w:val="bottom"/>
          </w:tcPr>
          <w:p>
            <w:pPr>
              <w:ind w:left="220"/>
              <w:spacing w:after="0"/>
              <w:rPr>
                <w:sz w:val="20"/>
                <w:szCs w:val="20"/>
                <w:color w:val="auto"/>
              </w:rPr>
            </w:pPr>
            <w:r>
              <w:rPr>
                <w:rFonts w:ascii="Arial" w:cs="Arial" w:eastAsia="Arial" w:hAnsi="Arial"/>
                <w:sz w:val="18"/>
                <w:szCs w:val="18"/>
                <w:color w:val="auto"/>
              </w:rPr>
              <w:t>Long-term rate of compensation increase</w:t>
            </w: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5.50</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5.75</w:t>
            </w:r>
          </w:p>
        </w:tc>
        <w:tc>
          <w:tcPr>
            <w:tcW w:w="700" w:type="dxa"/>
            <w:vAlign w:val="bottom"/>
          </w:tcPr>
          <w:p>
            <w:pPr>
              <w:jc w:val="right"/>
              <w:spacing w:after="0"/>
              <w:rPr>
                <w:sz w:val="20"/>
                <w:szCs w:val="20"/>
                <w:color w:val="auto"/>
              </w:rPr>
            </w:pPr>
            <w:r>
              <w:rPr>
                <w:rFonts w:ascii="Arial" w:cs="Arial" w:eastAsia="Arial" w:hAnsi="Arial"/>
                <w:sz w:val="18"/>
                <w:szCs w:val="18"/>
                <w:color w:val="auto"/>
              </w:rPr>
              <w:t>5.75</w:t>
            </w:r>
          </w:p>
        </w:tc>
        <w:tc>
          <w:tcPr>
            <w:tcW w:w="100" w:type="dxa"/>
            <w:vAlign w:val="bottom"/>
          </w:tcPr>
          <w:p>
            <w:pPr>
              <w:spacing w:after="0"/>
              <w:rPr>
                <w:sz w:val="20"/>
                <w:szCs w:val="20"/>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4.20</w:t>
            </w:r>
          </w:p>
        </w:tc>
        <w:tc>
          <w:tcPr>
            <w:tcW w:w="960" w:type="dxa"/>
            <w:vAlign w:val="bottom"/>
          </w:tcPr>
          <w:p>
            <w:pPr>
              <w:jc w:val="right"/>
              <w:ind w:right="233"/>
              <w:spacing w:after="0"/>
              <w:rPr>
                <w:sz w:val="20"/>
                <w:szCs w:val="20"/>
                <w:color w:val="auto"/>
              </w:rPr>
            </w:pPr>
            <w:r>
              <w:rPr>
                <w:rFonts w:ascii="Arial" w:cs="Arial" w:eastAsia="Arial" w:hAnsi="Arial"/>
                <w:sz w:val="18"/>
                <w:szCs w:val="18"/>
                <w:color w:val="auto"/>
              </w:rPr>
              <w:t>4.80</w:t>
            </w:r>
          </w:p>
        </w:tc>
        <w:tc>
          <w:tcPr>
            <w:tcW w:w="600" w:type="dxa"/>
            <w:vAlign w:val="bottom"/>
          </w:tcPr>
          <w:p>
            <w:pPr>
              <w:jc w:val="right"/>
              <w:spacing w:after="0"/>
              <w:rPr>
                <w:sz w:val="20"/>
                <w:szCs w:val="20"/>
                <w:color w:val="auto"/>
              </w:rPr>
            </w:pPr>
            <w:r>
              <w:rPr>
                <w:rFonts w:ascii="Arial" w:cs="Arial" w:eastAsia="Arial" w:hAnsi="Arial"/>
                <w:sz w:val="18"/>
                <w:szCs w:val="18"/>
                <w:color w:val="auto"/>
              </w:rPr>
              <w:t>4.30</w:t>
            </w:r>
          </w:p>
        </w:tc>
        <w:tc>
          <w:tcPr>
            <w:tcW w:w="820" w:type="dxa"/>
            <w:vAlign w:val="bottom"/>
            <w:gridSpan w:val="2"/>
          </w:tcPr>
          <w:p>
            <w:pPr>
              <w:jc w:val="right"/>
              <w:ind w:right="95"/>
              <w:spacing w:after="0"/>
              <w:rPr>
                <w:sz w:val="20"/>
                <w:szCs w:val="20"/>
                <w:color w:val="auto"/>
              </w:rPr>
            </w:pPr>
            <w:r>
              <w:rPr>
                <w:rFonts w:ascii="Arial" w:cs="Arial" w:eastAsia="Arial" w:hAnsi="Arial"/>
                <w:sz w:val="18"/>
                <w:szCs w:val="18"/>
                <w:color w:val="auto"/>
              </w:rPr>
              <w:t>5.50</w:t>
            </w:r>
          </w:p>
        </w:tc>
        <w:tc>
          <w:tcPr>
            <w:tcW w:w="720" w:type="dxa"/>
            <w:vAlign w:val="bottom"/>
          </w:tcPr>
          <w:p>
            <w:pPr>
              <w:jc w:val="right"/>
              <w:ind w:right="91"/>
              <w:spacing w:after="0"/>
              <w:rPr>
                <w:sz w:val="20"/>
                <w:szCs w:val="20"/>
                <w:color w:val="auto"/>
              </w:rPr>
            </w:pPr>
            <w:r>
              <w:rPr>
                <w:rFonts w:ascii="Arial" w:cs="Arial" w:eastAsia="Arial" w:hAnsi="Arial"/>
                <w:sz w:val="18"/>
                <w:szCs w:val="18"/>
                <w:color w:val="auto"/>
              </w:rPr>
              <w:t>5.75</w:t>
            </w:r>
          </w:p>
        </w:tc>
        <w:tc>
          <w:tcPr>
            <w:tcW w:w="600" w:type="dxa"/>
            <w:vAlign w:val="bottom"/>
          </w:tcPr>
          <w:p>
            <w:pPr>
              <w:jc w:val="right"/>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391"/>
        </w:trPr>
        <w:tc>
          <w:tcPr>
            <w:tcW w:w="4480" w:type="dxa"/>
            <w:vAlign w:val="bottom"/>
          </w:tcPr>
          <w:p>
            <w:pPr>
              <w:ind w:left="20"/>
              <w:spacing w:after="0"/>
              <w:rPr>
                <w:sz w:val="20"/>
                <w:szCs w:val="20"/>
                <w:color w:val="auto"/>
              </w:rPr>
            </w:pPr>
            <w:r>
              <w:rPr>
                <w:rFonts w:ascii="Arial" w:cs="Arial" w:eastAsia="Arial" w:hAnsi="Arial"/>
                <w:sz w:val="18"/>
                <w:szCs w:val="18"/>
                <w:color w:val="auto"/>
              </w:rPr>
              <w:t>Components of net periodic benefit cost</w:t>
            </w: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gridSpan w:val="2"/>
          </w:tcPr>
          <w:p>
            <w:pPr>
              <w:jc w:val="right"/>
              <w:spacing w:after="0"/>
              <w:rPr>
                <w:sz w:val="20"/>
                <w:szCs w:val="20"/>
                <w:color w:val="auto"/>
              </w:rPr>
            </w:pPr>
            <w:r>
              <w:rPr>
                <w:rFonts w:ascii="Arial" w:cs="Arial" w:eastAsia="Arial" w:hAnsi="Arial"/>
                <w:sz w:val="14"/>
                <w:szCs w:val="14"/>
                <w:i w:val="1"/>
                <w:iCs w:val="1"/>
                <w:color w:val="auto"/>
              </w:rPr>
              <w:t>(millions of dollars)</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80" w:type="dxa"/>
            <w:vAlign w:val="bottom"/>
          </w:tcPr>
          <w:p>
            <w:pPr>
              <w:ind w:left="220"/>
              <w:spacing w:after="0"/>
              <w:rPr>
                <w:sz w:val="20"/>
                <w:szCs w:val="20"/>
                <w:color w:val="auto"/>
              </w:rPr>
            </w:pPr>
            <w:r>
              <w:rPr>
                <w:rFonts w:ascii="Arial" w:cs="Arial" w:eastAsia="Arial" w:hAnsi="Arial"/>
                <w:sz w:val="18"/>
                <w:szCs w:val="18"/>
                <w:color w:val="auto"/>
              </w:rPr>
              <w:t>Service cost</w:t>
            </w: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919</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965</w:t>
            </w:r>
          </w:p>
        </w:tc>
        <w:tc>
          <w:tcPr>
            <w:tcW w:w="700" w:type="dxa"/>
            <w:vAlign w:val="bottom"/>
          </w:tcPr>
          <w:p>
            <w:pPr>
              <w:jc w:val="right"/>
              <w:spacing w:after="0"/>
              <w:rPr>
                <w:sz w:val="20"/>
                <w:szCs w:val="20"/>
                <w:color w:val="auto"/>
              </w:rPr>
            </w:pPr>
            <w:r>
              <w:rPr>
                <w:rFonts w:ascii="Arial" w:cs="Arial" w:eastAsia="Arial" w:hAnsi="Arial"/>
                <w:sz w:val="18"/>
                <w:szCs w:val="18"/>
                <w:color w:val="auto"/>
              </w:rPr>
              <w:t>757</w:t>
            </w:r>
          </w:p>
        </w:tc>
        <w:tc>
          <w:tcPr>
            <w:tcW w:w="100" w:type="dxa"/>
            <w:vAlign w:val="bottom"/>
          </w:tcPr>
          <w:p>
            <w:pPr>
              <w:spacing w:after="0"/>
              <w:rPr>
                <w:sz w:val="19"/>
                <w:szCs w:val="19"/>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774</w:t>
            </w:r>
          </w:p>
        </w:tc>
        <w:tc>
          <w:tcPr>
            <w:tcW w:w="960" w:type="dxa"/>
            <w:vAlign w:val="bottom"/>
          </w:tcPr>
          <w:p>
            <w:pPr>
              <w:jc w:val="right"/>
              <w:ind w:right="233"/>
              <w:spacing w:after="0"/>
              <w:rPr>
                <w:sz w:val="20"/>
                <w:szCs w:val="20"/>
                <w:color w:val="auto"/>
              </w:rPr>
            </w:pPr>
            <w:r>
              <w:rPr>
                <w:rFonts w:ascii="Arial" w:cs="Arial" w:eastAsia="Arial" w:hAnsi="Arial"/>
                <w:sz w:val="18"/>
                <w:szCs w:val="18"/>
                <w:color w:val="auto"/>
              </w:rPr>
              <w:t>707</w:t>
            </w:r>
          </w:p>
        </w:tc>
        <w:tc>
          <w:tcPr>
            <w:tcW w:w="600" w:type="dxa"/>
            <w:vAlign w:val="bottom"/>
          </w:tcPr>
          <w:p>
            <w:pPr>
              <w:jc w:val="right"/>
              <w:spacing w:after="0"/>
              <w:rPr>
                <w:sz w:val="20"/>
                <w:szCs w:val="20"/>
                <w:color w:val="auto"/>
              </w:rPr>
            </w:pPr>
            <w:r>
              <w:rPr>
                <w:rFonts w:ascii="Arial" w:cs="Arial" w:eastAsia="Arial" w:hAnsi="Arial"/>
                <w:sz w:val="18"/>
                <w:szCs w:val="18"/>
                <w:color w:val="auto"/>
              </w:rPr>
              <w:t>551</w:t>
            </w:r>
          </w:p>
        </w:tc>
        <w:tc>
          <w:tcPr>
            <w:tcW w:w="820" w:type="dxa"/>
            <w:vAlign w:val="bottom"/>
            <w:gridSpan w:val="2"/>
          </w:tcPr>
          <w:p>
            <w:pPr>
              <w:jc w:val="right"/>
              <w:ind w:right="95"/>
              <w:spacing w:after="0"/>
              <w:rPr>
                <w:sz w:val="20"/>
                <w:szCs w:val="20"/>
                <w:color w:val="auto"/>
              </w:rPr>
            </w:pPr>
            <w:r>
              <w:rPr>
                <w:rFonts w:ascii="Arial" w:cs="Arial" w:eastAsia="Arial" w:hAnsi="Arial"/>
                <w:sz w:val="18"/>
                <w:szCs w:val="18"/>
                <w:color w:val="auto"/>
              </w:rPr>
              <w:t>188</w:t>
            </w:r>
          </w:p>
        </w:tc>
        <w:tc>
          <w:tcPr>
            <w:tcW w:w="720" w:type="dxa"/>
            <w:vAlign w:val="bottom"/>
          </w:tcPr>
          <w:p>
            <w:pPr>
              <w:jc w:val="right"/>
              <w:ind w:right="91"/>
              <w:spacing w:after="0"/>
              <w:rPr>
                <w:sz w:val="20"/>
                <w:szCs w:val="20"/>
                <w:color w:val="auto"/>
              </w:rPr>
            </w:pPr>
            <w:r>
              <w:rPr>
                <w:rFonts w:ascii="Arial" w:cs="Arial" w:eastAsia="Arial" w:hAnsi="Arial"/>
                <w:sz w:val="18"/>
                <w:szCs w:val="18"/>
                <w:color w:val="auto"/>
              </w:rPr>
              <w:t>181</w:t>
            </w:r>
          </w:p>
        </w:tc>
        <w:tc>
          <w:tcPr>
            <w:tcW w:w="600" w:type="dxa"/>
            <w:vAlign w:val="bottom"/>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29"/>
        </w:trPr>
        <w:tc>
          <w:tcPr>
            <w:tcW w:w="4480" w:type="dxa"/>
            <w:vAlign w:val="bottom"/>
          </w:tcPr>
          <w:p>
            <w:pPr>
              <w:ind w:left="220"/>
              <w:spacing w:after="0"/>
              <w:rPr>
                <w:sz w:val="20"/>
                <w:szCs w:val="20"/>
                <w:color w:val="auto"/>
              </w:rPr>
            </w:pPr>
            <w:r>
              <w:rPr>
                <w:rFonts w:ascii="Arial" w:cs="Arial" w:eastAsia="Arial" w:hAnsi="Arial"/>
                <w:sz w:val="18"/>
                <w:szCs w:val="18"/>
                <w:color w:val="auto"/>
              </w:rPr>
              <w:t>Interest cost</w:t>
            </w: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558</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708</w:t>
            </w:r>
          </w:p>
        </w:tc>
        <w:tc>
          <w:tcPr>
            <w:tcW w:w="700" w:type="dxa"/>
            <w:vAlign w:val="bottom"/>
          </w:tcPr>
          <w:p>
            <w:pPr>
              <w:jc w:val="right"/>
              <w:spacing w:after="0"/>
              <w:rPr>
                <w:sz w:val="20"/>
                <w:szCs w:val="20"/>
                <w:color w:val="auto"/>
              </w:rPr>
            </w:pPr>
            <w:r>
              <w:rPr>
                <w:rFonts w:ascii="Arial" w:cs="Arial" w:eastAsia="Arial" w:hAnsi="Arial"/>
                <w:sz w:val="18"/>
                <w:szCs w:val="18"/>
                <w:color w:val="auto"/>
              </w:rPr>
              <w:t>766</w:t>
            </w:r>
          </w:p>
        </w:tc>
        <w:tc>
          <w:tcPr>
            <w:tcW w:w="100" w:type="dxa"/>
            <w:vAlign w:val="bottom"/>
          </w:tcPr>
          <w:p>
            <w:pPr>
              <w:spacing w:after="0"/>
              <w:rPr>
                <w:sz w:val="19"/>
                <w:szCs w:val="19"/>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526</w:t>
            </w:r>
          </w:p>
        </w:tc>
        <w:tc>
          <w:tcPr>
            <w:tcW w:w="960" w:type="dxa"/>
            <w:vAlign w:val="bottom"/>
          </w:tcPr>
          <w:p>
            <w:pPr>
              <w:jc w:val="right"/>
              <w:ind w:right="233"/>
              <w:spacing w:after="0"/>
              <w:rPr>
                <w:sz w:val="20"/>
                <w:szCs w:val="20"/>
                <w:color w:val="auto"/>
              </w:rPr>
            </w:pPr>
            <w:r>
              <w:rPr>
                <w:rFonts w:ascii="Arial" w:cs="Arial" w:eastAsia="Arial" w:hAnsi="Arial"/>
                <w:sz w:val="18"/>
                <w:szCs w:val="18"/>
                <w:color w:val="auto"/>
              </w:rPr>
              <w:t>657</w:t>
            </w:r>
          </w:p>
        </w:tc>
        <w:tc>
          <w:tcPr>
            <w:tcW w:w="600" w:type="dxa"/>
            <w:vAlign w:val="bottom"/>
          </w:tcPr>
          <w:p>
            <w:pPr>
              <w:jc w:val="right"/>
              <w:spacing w:after="0"/>
              <w:rPr>
                <w:sz w:val="20"/>
                <w:szCs w:val="20"/>
                <w:color w:val="auto"/>
              </w:rPr>
            </w:pPr>
            <w:r>
              <w:rPr>
                <w:rFonts w:ascii="Arial" w:cs="Arial" w:eastAsia="Arial" w:hAnsi="Arial"/>
                <w:sz w:val="18"/>
                <w:szCs w:val="18"/>
                <w:color w:val="auto"/>
              </w:rPr>
              <w:t>763</w:t>
            </w:r>
          </w:p>
        </w:tc>
        <w:tc>
          <w:tcPr>
            <w:tcW w:w="820" w:type="dxa"/>
            <w:vAlign w:val="bottom"/>
            <w:gridSpan w:val="2"/>
          </w:tcPr>
          <w:p>
            <w:pPr>
              <w:jc w:val="right"/>
              <w:ind w:right="95"/>
              <w:spacing w:after="0"/>
              <w:rPr>
                <w:sz w:val="20"/>
                <w:szCs w:val="20"/>
                <w:color w:val="auto"/>
              </w:rPr>
            </w:pPr>
            <w:r>
              <w:rPr>
                <w:rFonts w:ascii="Arial" w:cs="Arial" w:eastAsia="Arial" w:hAnsi="Arial"/>
                <w:sz w:val="18"/>
                <w:szCs w:val="18"/>
                <w:color w:val="auto"/>
              </w:rPr>
              <w:t>221</w:t>
            </w:r>
          </w:p>
        </w:tc>
        <w:tc>
          <w:tcPr>
            <w:tcW w:w="720" w:type="dxa"/>
            <w:vAlign w:val="bottom"/>
          </w:tcPr>
          <w:p>
            <w:pPr>
              <w:jc w:val="right"/>
              <w:ind w:right="91"/>
              <w:spacing w:after="0"/>
              <w:rPr>
                <w:sz w:val="20"/>
                <w:szCs w:val="20"/>
                <w:color w:val="auto"/>
              </w:rPr>
            </w:pPr>
            <w:r>
              <w:rPr>
                <w:rFonts w:ascii="Arial" w:cs="Arial" w:eastAsia="Arial" w:hAnsi="Arial"/>
                <w:sz w:val="18"/>
                <w:szCs w:val="18"/>
                <w:color w:val="auto"/>
              </w:rPr>
              <w:t>277</w:t>
            </w:r>
          </w:p>
        </w:tc>
        <w:tc>
          <w:tcPr>
            <w:tcW w:w="600" w:type="dxa"/>
            <w:vAlign w:val="bottom"/>
          </w:tcPr>
          <w:p>
            <w:pPr>
              <w:jc w:val="right"/>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29"/>
        </w:trPr>
        <w:tc>
          <w:tcPr>
            <w:tcW w:w="4480" w:type="dxa"/>
            <w:vAlign w:val="bottom"/>
          </w:tcPr>
          <w:p>
            <w:pPr>
              <w:ind w:left="220"/>
              <w:spacing w:after="0"/>
              <w:rPr>
                <w:sz w:val="20"/>
                <w:szCs w:val="20"/>
                <w:color w:val="auto"/>
              </w:rPr>
            </w:pPr>
            <w:r>
              <w:rPr>
                <w:rFonts w:ascii="Arial" w:cs="Arial" w:eastAsia="Arial" w:hAnsi="Arial"/>
                <w:sz w:val="18"/>
                <w:szCs w:val="18"/>
                <w:color w:val="auto"/>
              </w:rPr>
              <w:t>Expected return on plan assets</w:t>
            </w: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(722)</w:t>
            </w: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(703)</w:t>
            </w:r>
          </w:p>
        </w:tc>
        <w:tc>
          <w:tcPr>
            <w:tcW w:w="700" w:type="dxa"/>
            <w:vAlign w:val="bottom"/>
          </w:tcPr>
          <w:p>
            <w:pPr>
              <w:jc w:val="right"/>
              <w:spacing w:after="0"/>
              <w:rPr>
                <w:sz w:val="20"/>
                <w:szCs w:val="20"/>
                <w:color w:val="auto"/>
              </w:rPr>
            </w:pPr>
            <w:r>
              <w:rPr>
                <w:rFonts w:ascii="Arial" w:cs="Arial" w:eastAsia="Arial" w:hAnsi="Arial"/>
                <w:sz w:val="18"/>
                <w:szCs w:val="18"/>
                <w:color w:val="auto"/>
              </w:rPr>
              <w:t>(568)</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(1,031)</w:t>
            </w:r>
          </w:p>
        </w:tc>
        <w:tc>
          <w:tcPr>
            <w:tcW w:w="960" w:type="dxa"/>
            <w:vAlign w:val="bottom"/>
          </w:tcPr>
          <w:p>
            <w:pPr>
              <w:jc w:val="right"/>
              <w:ind w:right="193"/>
              <w:spacing w:after="0"/>
              <w:rPr>
                <w:sz w:val="20"/>
                <w:szCs w:val="20"/>
                <w:color w:val="auto"/>
              </w:rPr>
            </w:pPr>
            <w:r>
              <w:rPr>
                <w:rFonts w:ascii="Arial" w:cs="Arial" w:eastAsia="Arial" w:hAnsi="Arial"/>
                <w:sz w:val="18"/>
                <w:szCs w:val="18"/>
                <w:color w:val="auto"/>
              </w:rPr>
              <w:t>(897)</w:t>
            </w:r>
          </w:p>
        </w:tc>
        <w:tc>
          <w:tcPr>
            <w:tcW w:w="600" w:type="dxa"/>
            <w:vAlign w:val="bottom"/>
          </w:tcPr>
          <w:p>
            <w:pPr>
              <w:jc w:val="right"/>
              <w:spacing w:after="0"/>
              <w:rPr>
                <w:sz w:val="20"/>
                <w:szCs w:val="20"/>
                <w:color w:val="auto"/>
              </w:rPr>
            </w:pPr>
            <w:r>
              <w:rPr>
                <w:rFonts w:ascii="Arial" w:cs="Arial" w:eastAsia="Arial" w:hAnsi="Arial"/>
                <w:sz w:val="18"/>
                <w:szCs w:val="18"/>
                <w:color w:val="auto"/>
              </w:rPr>
              <w:t>(777)</w:t>
            </w:r>
          </w:p>
        </w:tc>
        <w:tc>
          <w:tcPr>
            <w:tcW w:w="820" w:type="dxa"/>
            <w:vAlign w:val="bottom"/>
            <w:gridSpan w:val="2"/>
          </w:tcPr>
          <w:p>
            <w:pPr>
              <w:jc w:val="right"/>
              <w:ind w:right="55"/>
              <w:spacing w:after="0"/>
              <w:rPr>
                <w:sz w:val="20"/>
                <w:szCs w:val="20"/>
                <w:color w:val="auto"/>
              </w:rPr>
            </w:pPr>
            <w:r>
              <w:rPr>
                <w:rFonts w:ascii="Arial" w:cs="Arial" w:eastAsia="Arial" w:hAnsi="Arial"/>
                <w:sz w:val="18"/>
                <w:szCs w:val="18"/>
                <w:color w:val="auto"/>
              </w:rPr>
              <w:t>(19)</w:t>
            </w:r>
          </w:p>
        </w:tc>
        <w:tc>
          <w:tcPr>
            <w:tcW w:w="720" w:type="dxa"/>
            <w:vAlign w:val="bottom"/>
          </w:tcPr>
          <w:p>
            <w:pPr>
              <w:jc w:val="right"/>
              <w:ind w:right="51"/>
              <w:spacing w:after="0"/>
              <w:rPr>
                <w:sz w:val="20"/>
                <w:szCs w:val="20"/>
                <w:color w:val="auto"/>
              </w:rPr>
            </w:pPr>
            <w:r>
              <w:rPr>
                <w:rFonts w:ascii="Arial" w:cs="Arial" w:eastAsia="Arial" w:hAnsi="Arial"/>
                <w:sz w:val="18"/>
                <w:szCs w:val="18"/>
                <w:color w:val="auto"/>
              </w:rPr>
              <w:t>(18)</w:t>
            </w:r>
          </w:p>
        </w:tc>
        <w:tc>
          <w:tcPr>
            <w:tcW w:w="60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4480" w:type="dxa"/>
            <w:vAlign w:val="bottom"/>
          </w:tcPr>
          <w:p>
            <w:pPr>
              <w:ind w:left="220"/>
              <w:spacing w:after="0"/>
              <w:rPr>
                <w:sz w:val="20"/>
                <w:szCs w:val="20"/>
                <w:color w:val="auto"/>
              </w:rPr>
            </w:pPr>
            <w:r>
              <w:rPr>
                <w:rFonts w:ascii="Arial" w:cs="Arial" w:eastAsia="Arial" w:hAnsi="Arial"/>
                <w:sz w:val="18"/>
                <w:szCs w:val="18"/>
                <w:color w:val="auto"/>
              </w:rPr>
              <w:t>Amortization of actuarial loss/(gain)</w:t>
            </w: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244</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310</w:t>
            </w:r>
          </w:p>
        </w:tc>
        <w:tc>
          <w:tcPr>
            <w:tcW w:w="700" w:type="dxa"/>
            <w:vAlign w:val="bottom"/>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19"/>
                <w:szCs w:val="19"/>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420</w:t>
            </w:r>
          </w:p>
        </w:tc>
        <w:tc>
          <w:tcPr>
            <w:tcW w:w="960" w:type="dxa"/>
            <w:vAlign w:val="bottom"/>
          </w:tcPr>
          <w:p>
            <w:pPr>
              <w:jc w:val="right"/>
              <w:ind w:right="233"/>
              <w:spacing w:after="0"/>
              <w:rPr>
                <w:sz w:val="20"/>
                <w:szCs w:val="20"/>
                <w:color w:val="auto"/>
              </w:rPr>
            </w:pPr>
            <w:r>
              <w:rPr>
                <w:rFonts w:ascii="Arial" w:cs="Arial" w:eastAsia="Arial" w:hAnsi="Arial"/>
                <w:sz w:val="18"/>
                <w:szCs w:val="18"/>
                <w:color w:val="auto"/>
              </w:rPr>
              <w:t>416</w:t>
            </w:r>
          </w:p>
        </w:tc>
        <w:tc>
          <w:tcPr>
            <w:tcW w:w="600" w:type="dxa"/>
            <w:vAlign w:val="bottom"/>
          </w:tcPr>
          <w:p>
            <w:pPr>
              <w:jc w:val="right"/>
              <w:spacing w:after="0"/>
              <w:rPr>
                <w:sz w:val="20"/>
                <w:szCs w:val="20"/>
                <w:color w:val="auto"/>
              </w:rPr>
            </w:pPr>
            <w:r>
              <w:rPr>
                <w:rFonts w:ascii="Arial" w:cs="Arial" w:eastAsia="Arial" w:hAnsi="Arial"/>
                <w:sz w:val="18"/>
                <w:szCs w:val="18"/>
                <w:color w:val="auto"/>
              </w:rPr>
              <w:t>306</w:t>
            </w:r>
          </w:p>
        </w:tc>
        <w:tc>
          <w:tcPr>
            <w:tcW w:w="820" w:type="dxa"/>
            <w:vAlign w:val="bottom"/>
            <w:gridSpan w:val="2"/>
          </w:tcPr>
          <w:p>
            <w:pPr>
              <w:jc w:val="right"/>
              <w:ind w:right="95"/>
              <w:spacing w:after="0"/>
              <w:rPr>
                <w:sz w:val="20"/>
                <w:szCs w:val="20"/>
                <w:color w:val="auto"/>
              </w:rPr>
            </w:pPr>
            <w:r>
              <w:rPr>
                <w:rFonts w:ascii="Arial" w:cs="Arial" w:eastAsia="Arial" w:hAnsi="Arial"/>
                <w:sz w:val="18"/>
                <w:szCs w:val="18"/>
                <w:color w:val="auto"/>
              </w:rPr>
              <w:t>76</w:t>
            </w:r>
          </w:p>
        </w:tc>
        <w:tc>
          <w:tcPr>
            <w:tcW w:w="720" w:type="dxa"/>
            <w:vAlign w:val="bottom"/>
          </w:tcPr>
          <w:p>
            <w:pPr>
              <w:jc w:val="right"/>
              <w:ind w:right="91"/>
              <w:spacing w:after="0"/>
              <w:rPr>
                <w:sz w:val="20"/>
                <w:szCs w:val="20"/>
                <w:color w:val="auto"/>
              </w:rPr>
            </w:pPr>
            <w:r>
              <w:rPr>
                <w:rFonts w:ascii="Arial" w:cs="Arial" w:eastAsia="Arial" w:hAnsi="Arial"/>
                <w:sz w:val="18"/>
                <w:szCs w:val="18"/>
                <w:color w:val="auto"/>
              </w:rPr>
              <w:t>95</w:t>
            </w:r>
          </w:p>
        </w:tc>
        <w:tc>
          <w:tcPr>
            <w:tcW w:w="60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9"/>
        </w:trPr>
        <w:tc>
          <w:tcPr>
            <w:tcW w:w="4480" w:type="dxa"/>
            <w:vAlign w:val="bottom"/>
          </w:tcPr>
          <w:p>
            <w:pPr>
              <w:ind w:left="220"/>
              <w:spacing w:after="0"/>
              <w:rPr>
                <w:sz w:val="20"/>
                <w:szCs w:val="20"/>
                <w:color w:val="auto"/>
              </w:rPr>
            </w:pPr>
            <w:r>
              <w:rPr>
                <w:rFonts w:ascii="Arial" w:cs="Arial" w:eastAsia="Arial" w:hAnsi="Arial"/>
                <w:sz w:val="18"/>
                <w:szCs w:val="18"/>
                <w:color w:val="auto"/>
              </w:rPr>
              <w:t>Amortization of prior service cost</w:t>
            </w: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(23)</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5</w:t>
            </w:r>
          </w:p>
        </w:tc>
        <w:tc>
          <w:tcPr>
            <w:tcW w:w="7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57</w:t>
            </w:r>
          </w:p>
        </w:tc>
        <w:tc>
          <w:tcPr>
            <w:tcW w:w="960" w:type="dxa"/>
            <w:vAlign w:val="bottom"/>
          </w:tcPr>
          <w:p>
            <w:pPr>
              <w:jc w:val="right"/>
              <w:ind w:right="233"/>
              <w:spacing w:after="0"/>
              <w:rPr>
                <w:sz w:val="20"/>
                <w:szCs w:val="20"/>
                <w:color w:val="auto"/>
              </w:rPr>
            </w:pPr>
            <w:r>
              <w:rPr>
                <w:rFonts w:ascii="Arial" w:cs="Arial" w:eastAsia="Arial" w:hAnsi="Arial"/>
                <w:sz w:val="18"/>
                <w:szCs w:val="18"/>
                <w:color w:val="auto"/>
              </w:rPr>
              <w:t>68</w:t>
            </w:r>
          </w:p>
        </w:tc>
        <w:tc>
          <w:tcPr>
            <w:tcW w:w="600" w:type="dxa"/>
            <w:vAlign w:val="bottom"/>
          </w:tcPr>
          <w:p>
            <w:pPr>
              <w:jc w:val="right"/>
              <w:spacing w:after="0"/>
              <w:rPr>
                <w:sz w:val="20"/>
                <w:szCs w:val="20"/>
                <w:color w:val="auto"/>
              </w:rPr>
            </w:pPr>
            <w:r>
              <w:rPr>
                <w:rFonts w:ascii="Arial" w:cs="Arial" w:eastAsia="Arial" w:hAnsi="Arial"/>
                <w:sz w:val="18"/>
                <w:szCs w:val="18"/>
                <w:color w:val="auto"/>
              </w:rPr>
              <w:t>56</w:t>
            </w:r>
          </w:p>
        </w:tc>
        <w:tc>
          <w:tcPr>
            <w:tcW w:w="820" w:type="dxa"/>
            <w:vAlign w:val="bottom"/>
            <w:gridSpan w:val="2"/>
          </w:tcPr>
          <w:p>
            <w:pPr>
              <w:jc w:val="right"/>
              <w:ind w:right="55"/>
              <w:spacing w:after="0"/>
              <w:rPr>
                <w:sz w:val="20"/>
                <w:szCs w:val="20"/>
                <w:color w:val="auto"/>
              </w:rPr>
            </w:pPr>
            <w:r>
              <w:rPr>
                <w:rFonts w:ascii="Arial" w:cs="Arial" w:eastAsia="Arial" w:hAnsi="Arial"/>
                <w:sz w:val="18"/>
                <w:szCs w:val="18"/>
                <w:color w:val="auto"/>
              </w:rPr>
              <w:t>(42)</w:t>
            </w:r>
          </w:p>
        </w:tc>
        <w:tc>
          <w:tcPr>
            <w:tcW w:w="720" w:type="dxa"/>
            <w:vAlign w:val="bottom"/>
          </w:tcPr>
          <w:p>
            <w:pPr>
              <w:jc w:val="right"/>
              <w:ind w:right="51"/>
              <w:spacing w:after="0"/>
              <w:rPr>
                <w:sz w:val="20"/>
                <w:szCs w:val="20"/>
                <w:color w:val="auto"/>
              </w:rPr>
            </w:pPr>
            <w:r>
              <w:rPr>
                <w:rFonts w:ascii="Arial" w:cs="Arial" w:eastAsia="Arial" w:hAnsi="Arial"/>
                <w:sz w:val="18"/>
                <w:szCs w:val="18"/>
                <w:color w:val="auto"/>
              </w:rPr>
              <w:t>(42)</w:t>
            </w:r>
          </w:p>
        </w:tc>
        <w:tc>
          <w:tcPr>
            <w:tcW w:w="60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4480" w:type="dxa"/>
            <w:vAlign w:val="bottom"/>
          </w:tcPr>
          <w:p>
            <w:pPr>
              <w:ind w:left="220"/>
              <w:spacing w:after="0"/>
              <w:rPr>
                <w:sz w:val="20"/>
                <w:szCs w:val="20"/>
                <w:color w:val="auto"/>
              </w:rPr>
            </w:pPr>
            <w:r>
              <w:rPr>
                <w:rFonts w:ascii="Arial" w:cs="Arial" w:eastAsia="Arial" w:hAnsi="Arial"/>
                <w:sz w:val="18"/>
                <w:szCs w:val="18"/>
                <w:color w:val="auto"/>
                <w:w w:val="91"/>
              </w:rPr>
              <w:t>Net pension enhancement and curtailment/settlement cost</w:t>
            </w:r>
          </w:p>
        </w:tc>
        <w:tc>
          <w:tcPr>
            <w:tcW w:w="7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489</w:t>
            </w:r>
          </w:p>
        </w:tc>
        <w:tc>
          <w:tcPr>
            <w:tcW w:w="8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280</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32</w:t>
            </w:r>
          </w:p>
        </w:tc>
        <w:tc>
          <w:tcPr>
            <w:tcW w:w="96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rPr>
              <w:t>49</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480" w:type="dxa"/>
            <w:vAlign w:val="bottom"/>
          </w:tcPr>
          <w:p>
            <w:pPr>
              <w:ind w:left="20"/>
              <w:spacing w:after="0"/>
              <w:rPr>
                <w:sz w:val="20"/>
                <w:szCs w:val="20"/>
                <w:color w:val="auto"/>
              </w:rPr>
            </w:pPr>
            <w:r>
              <w:rPr>
                <w:rFonts w:ascii="Arial" w:cs="Arial" w:eastAsia="Arial" w:hAnsi="Arial"/>
                <w:sz w:val="18"/>
                <w:szCs w:val="18"/>
                <w:color w:val="auto"/>
              </w:rPr>
              <w:t>Net periodic benefit cost</w:t>
            </w:r>
          </w:p>
        </w:tc>
        <w:tc>
          <w:tcPr>
            <w:tcW w:w="7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1,465</w:t>
            </w:r>
          </w:p>
        </w:tc>
        <w:tc>
          <w:tcPr>
            <w:tcW w:w="8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1,565</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1,429</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778</w:t>
            </w:r>
          </w:p>
        </w:tc>
        <w:tc>
          <w:tcPr>
            <w:tcW w:w="96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rPr>
              <w:t>1,000</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w:t>
            </w:r>
          </w:p>
        </w:tc>
        <w:tc>
          <w:tcPr>
            <w:tcW w:w="820" w:type="dxa"/>
            <w:vAlign w:val="bottom"/>
            <w:tcBorders>
              <w:bottom w:val="single" w:sz="8" w:color="auto"/>
            </w:tcBorders>
            <w:gridSpan w:val="2"/>
          </w:tcPr>
          <w:p>
            <w:pPr>
              <w:jc w:val="right"/>
              <w:ind w:right="95"/>
              <w:spacing w:after="0"/>
              <w:rPr>
                <w:sz w:val="20"/>
                <w:szCs w:val="20"/>
                <w:color w:val="auto"/>
              </w:rPr>
            </w:pPr>
            <w:r>
              <w:rPr>
                <w:rFonts w:ascii="Arial" w:cs="Arial" w:eastAsia="Arial" w:hAnsi="Arial"/>
                <w:sz w:val="18"/>
                <w:szCs w:val="18"/>
                <w:color w:val="auto"/>
              </w:rPr>
              <w:t>424</w:t>
            </w:r>
          </w:p>
        </w:tc>
        <w:tc>
          <w:tcPr>
            <w:tcW w:w="7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493</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318"/>
        </w:trPr>
        <w:tc>
          <w:tcPr>
            <w:tcW w:w="4480" w:type="dxa"/>
            <w:vAlign w:val="bottom"/>
          </w:tcPr>
          <w:p>
            <w:pPr>
              <w:ind w:left="20"/>
              <w:spacing w:after="0"/>
              <w:rPr>
                <w:sz w:val="20"/>
                <w:szCs w:val="20"/>
                <w:color w:val="auto"/>
              </w:rPr>
            </w:pPr>
            <w:r>
              <w:rPr>
                <w:rFonts w:ascii="Arial" w:cs="Arial" w:eastAsia="Arial" w:hAnsi="Arial"/>
                <w:sz w:val="18"/>
                <w:szCs w:val="18"/>
                <w:color w:val="auto"/>
              </w:rPr>
              <w:t>Changes in amounts recorded in accumulated other</w:t>
            </w: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480" w:type="dxa"/>
            <w:vAlign w:val="bottom"/>
          </w:tcPr>
          <w:p>
            <w:pPr>
              <w:ind w:left="360"/>
              <w:spacing w:after="0"/>
              <w:rPr>
                <w:sz w:val="20"/>
                <w:szCs w:val="20"/>
                <w:color w:val="auto"/>
              </w:rPr>
            </w:pPr>
            <w:r>
              <w:rPr>
                <w:rFonts w:ascii="Arial" w:cs="Arial" w:eastAsia="Arial" w:hAnsi="Arial"/>
                <w:sz w:val="18"/>
                <w:szCs w:val="18"/>
                <w:color w:val="auto"/>
              </w:rPr>
              <w:t>comprehensive income:</w:t>
            </w: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tcPr>
          <w:p>
            <w:pPr>
              <w:ind w:left="220"/>
              <w:spacing w:after="0"/>
              <w:rPr>
                <w:sz w:val="20"/>
                <w:szCs w:val="20"/>
                <w:color w:val="auto"/>
              </w:rPr>
            </w:pPr>
            <w:r>
              <w:rPr>
                <w:rFonts w:ascii="Arial" w:cs="Arial" w:eastAsia="Arial" w:hAnsi="Arial"/>
                <w:sz w:val="18"/>
                <w:szCs w:val="18"/>
                <w:color w:val="auto"/>
              </w:rPr>
              <w:t>Net actuarial loss/(gain)</w:t>
            </w: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(504)</w:t>
            </w: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(279)</w:t>
            </w:r>
          </w:p>
        </w:tc>
        <w:tc>
          <w:tcPr>
            <w:tcW w:w="700" w:type="dxa"/>
            <w:vAlign w:val="bottom"/>
          </w:tcPr>
          <w:p>
            <w:pPr>
              <w:jc w:val="right"/>
              <w:spacing w:after="0"/>
              <w:rPr>
                <w:sz w:val="20"/>
                <w:szCs w:val="20"/>
                <w:color w:val="auto"/>
              </w:rPr>
            </w:pPr>
            <w:r>
              <w:rPr>
                <w:rFonts w:ascii="Arial" w:cs="Arial" w:eastAsia="Arial" w:hAnsi="Arial"/>
                <w:sz w:val="18"/>
                <w:szCs w:val="18"/>
                <w:color w:val="auto"/>
              </w:rPr>
              <w:t>609</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(2,361)</w:t>
            </w:r>
          </w:p>
        </w:tc>
        <w:tc>
          <w:tcPr>
            <w:tcW w:w="960" w:type="dxa"/>
            <w:vAlign w:val="bottom"/>
          </w:tcPr>
          <w:p>
            <w:pPr>
              <w:jc w:val="right"/>
              <w:ind w:right="233"/>
              <w:spacing w:after="0"/>
              <w:rPr>
                <w:sz w:val="20"/>
                <w:szCs w:val="20"/>
                <w:color w:val="auto"/>
              </w:rPr>
            </w:pPr>
            <w:r>
              <w:rPr>
                <w:rFonts w:ascii="Arial" w:cs="Arial" w:eastAsia="Arial" w:hAnsi="Arial"/>
                <w:sz w:val="18"/>
                <w:szCs w:val="18"/>
                <w:color w:val="auto"/>
              </w:rPr>
              <w:t>446</w:t>
            </w:r>
          </w:p>
        </w:tc>
        <w:tc>
          <w:tcPr>
            <w:tcW w:w="600" w:type="dxa"/>
            <w:vAlign w:val="bottom"/>
          </w:tcPr>
          <w:p>
            <w:pPr>
              <w:jc w:val="right"/>
              <w:spacing w:after="0"/>
              <w:rPr>
                <w:sz w:val="20"/>
                <w:szCs w:val="20"/>
                <w:color w:val="auto"/>
              </w:rPr>
            </w:pPr>
            <w:r>
              <w:rPr>
                <w:rFonts w:ascii="Arial" w:cs="Arial" w:eastAsia="Arial" w:hAnsi="Arial"/>
                <w:sz w:val="18"/>
                <w:szCs w:val="18"/>
                <w:color w:val="auto"/>
              </w:rPr>
              <w:t>1,268</w:t>
            </w:r>
          </w:p>
        </w:tc>
        <w:tc>
          <w:tcPr>
            <w:tcW w:w="820" w:type="dxa"/>
            <w:vAlign w:val="bottom"/>
            <w:gridSpan w:val="2"/>
          </w:tcPr>
          <w:p>
            <w:pPr>
              <w:jc w:val="right"/>
              <w:ind w:right="55"/>
              <w:spacing w:after="0"/>
              <w:rPr>
                <w:sz w:val="20"/>
                <w:szCs w:val="20"/>
                <w:color w:val="auto"/>
              </w:rPr>
            </w:pPr>
            <w:r>
              <w:rPr>
                <w:rFonts w:ascii="Arial" w:cs="Arial" w:eastAsia="Arial" w:hAnsi="Arial"/>
                <w:sz w:val="18"/>
                <w:szCs w:val="18"/>
                <w:color w:val="auto"/>
              </w:rPr>
              <w:t>(891)</w:t>
            </w:r>
          </w:p>
        </w:tc>
        <w:tc>
          <w:tcPr>
            <w:tcW w:w="720" w:type="dxa"/>
            <w:vAlign w:val="bottom"/>
          </w:tcPr>
          <w:p>
            <w:pPr>
              <w:jc w:val="right"/>
              <w:ind w:right="51"/>
              <w:spacing w:after="0"/>
              <w:rPr>
                <w:sz w:val="20"/>
                <w:szCs w:val="20"/>
                <w:color w:val="auto"/>
              </w:rPr>
            </w:pPr>
            <w:r>
              <w:rPr>
                <w:rFonts w:ascii="Arial" w:cs="Arial" w:eastAsia="Arial" w:hAnsi="Arial"/>
                <w:sz w:val="18"/>
                <w:szCs w:val="18"/>
                <w:color w:val="auto"/>
              </w:rPr>
              <w:t>(92)</w:t>
            </w:r>
          </w:p>
        </w:tc>
        <w:tc>
          <w:tcPr>
            <w:tcW w:w="600" w:type="dxa"/>
            <w:vAlign w:val="bottom"/>
          </w:tcPr>
          <w:p>
            <w:pPr>
              <w:jc w:val="right"/>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29"/>
        </w:trPr>
        <w:tc>
          <w:tcPr>
            <w:tcW w:w="4480" w:type="dxa"/>
            <w:vAlign w:val="bottom"/>
          </w:tcPr>
          <w:p>
            <w:pPr>
              <w:ind w:left="220"/>
              <w:spacing w:after="0"/>
              <w:rPr>
                <w:sz w:val="20"/>
                <w:szCs w:val="20"/>
                <w:color w:val="auto"/>
              </w:rPr>
            </w:pPr>
            <w:r>
              <w:rPr>
                <w:rFonts w:ascii="Arial" w:cs="Arial" w:eastAsia="Arial" w:hAnsi="Arial"/>
                <w:sz w:val="18"/>
                <w:szCs w:val="18"/>
                <w:color w:val="auto"/>
              </w:rPr>
              <w:t>Amortization of actuarial (loss)/gain</w:t>
            </w: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(733)</w:t>
            </w: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(590)</w:t>
            </w:r>
          </w:p>
        </w:tc>
        <w:tc>
          <w:tcPr>
            <w:tcW w:w="700" w:type="dxa"/>
            <w:vAlign w:val="bottom"/>
          </w:tcPr>
          <w:p>
            <w:pPr>
              <w:jc w:val="right"/>
              <w:spacing w:after="0"/>
              <w:rPr>
                <w:sz w:val="20"/>
                <w:szCs w:val="20"/>
                <w:color w:val="auto"/>
              </w:rPr>
            </w:pPr>
            <w:r>
              <w:rPr>
                <w:rFonts w:ascii="Arial" w:cs="Arial" w:eastAsia="Arial" w:hAnsi="Arial"/>
                <w:sz w:val="18"/>
                <w:szCs w:val="18"/>
                <w:color w:val="auto"/>
              </w:rPr>
              <w:t>(469)</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(430)</w:t>
            </w:r>
          </w:p>
        </w:tc>
        <w:tc>
          <w:tcPr>
            <w:tcW w:w="960" w:type="dxa"/>
            <w:vAlign w:val="bottom"/>
          </w:tcPr>
          <w:p>
            <w:pPr>
              <w:jc w:val="right"/>
              <w:ind w:right="193"/>
              <w:spacing w:after="0"/>
              <w:rPr>
                <w:sz w:val="20"/>
                <w:szCs w:val="20"/>
                <w:color w:val="auto"/>
              </w:rPr>
            </w:pPr>
            <w:r>
              <w:rPr>
                <w:rFonts w:ascii="Arial" w:cs="Arial" w:eastAsia="Arial" w:hAnsi="Arial"/>
                <w:sz w:val="18"/>
                <w:szCs w:val="18"/>
                <w:color w:val="auto"/>
              </w:rPr>
              <w:t>(442)</w:t>
            </w:r>
          </w:p>
        </w:tc>
        <w:tc>
          <w:tcPr>
            <w:tcW w:w="600" w:type="dxa"/>
            <w:vAlign w:val="bottom"/>
          </w:tcPr>
          <w:p>
            <w:pPr>
              <w:jc w:val="right"/>
              <w:spacing w:after="0"/>
              <w:rPr>
                <w:sz w:val="20"/>
                <w:szCs w:val="20"/>
                <w:color w:val="auto"/>
              </w:rPr>
            </w:pPr>
            <w:r>
              <w:rPr>
                <w:rFonts w:ascii="Arial" w:cs="Arial" w:eastAsia="Arial" w:hAnsi="Arial"/>
                <w:sz w:val="18"/>
                <w:szCs w:val="18"/>
                <w:color w:val="auto"/>
              </w:rPr>
              <w:t>(208)</w:t>
            </w:r>
          </w:p>
        </w:tc>
        <w:tc>
          <w:tcPr>
            <w:tcW w:w="820" w:type="dxa"/>
            <w:vAlign w:val="bottom"/>
            <w:gridSpan w:val="2"/>
          </w:tcPr>
          <w:p>
            <w:pPr>
              <w:jc w:val="right"/>
              <w:ind w:right="55"/>
              <w:spacing w:after="0"/>
              <w:rPr>
                <w:sz w:val="20"/>
                <w:szCs w:val="20"/>
                <w:color w:val="auto"/>
              </w:rPr>
            </w:pPr>
            <w:r>
              <w:rPr>
                <w:rFonts w:ascii="Arial" w:cs="Arial" w:eastAsia="Arial" w:hAnsi="Arial"/>
                <w:sz w:val="18"/>
                <w:szCs w:val="18"/>
                <w:color w:val="auto"/>
              </w:rPr>
              <w:t>(76)</w:t>
            </w:r>
          </w:p>
        </w:tc>
        <w:tc>
          <w:tcPr>
            <w:tcW w:w="720" w:type="dxa"/>
            <w:vAlign w:val="bottom"/>
          </w:tcPr>
          <w:p>
            <w:pPr>
              <w:jc w:val="right"/>
              <w:ind w:right="51"/>
              <w:spacing w:after="0"/>
              <w:rPr>
                <w:sz w:val="20"/>
                <w:szCs w:val="20"/>
                <w:color w:val="auto"/>
              </w:rPr>
            </w:pPr>
            <w:r>
              <w:rPr>
                <w:rFonts w:ascii="Arial" w:cs="Arial" w:eastAsia="Arial" w:hAnsi="Arial"/>
                <w:sz w:val="18"/>
                <w:szCs w:val="18"/>
                <w:color w:val="auto"/>
              </w:rPr>
              <w:t>(95)</w:t>
            </w:r>
          </w:p>
        </w:tc>
        <w:tc>
          <w:tcPr>
            <w:tcW w:w="60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0"/>
        </w:trPr>
        <w:tc>
          <w:tcPr>
            <w:tcW w:w="4480" w:type="dxa"/>
            <w:vAlign w:val="bottom"/>
          </w:tcPr>
          <w:p>
            <w:pPr>
              <w:ind w:left="220"/>
              <w:spacing w:after="0"/>
              <w:rPr>
                <w:sz w:val="20"/>
                <w:szCs w:val="20"/>
                <w:color w:val="auto"/>
              </w:rPr>
            </w:pPr>
            <w:r>
              <w:rPr>
                <w:rFonts w:ascii="Arial" w:cs="Arial" w:eastAsia="Arial" w:hAnsi="Arial"/>
                <w:sz w:val="18"/>
                <w:szCs w:val="18"/>
                <w:color w:val="auto"/>
              </w:rPr>
              <w:t>Prior service cost/(credit)</w:t>
            </w: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(72)</w:t>
            </w: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(271)</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92</w:t>
            </w:r>
          </w:p>
        </w:tc>
        <w:tc>
          <w:tcPr>
            <w:tcW w:w="960" w:type="dxa"/>
            <w:vAlign w:val="bottom"/>
          </w:tcPr>
          <w:p>
            <w:pPr>
              <w:jc w:val="right"/>
              <w:ind w:right="193"/>
              <w:spacing w:after="0"/>
              <w:rPr>
                <w:sz w:val="20"/>
                <w:szCs w:val="20"/>
                <w:color w:val="auto"/>
              </w:rPr>
            </w:pPr>
            <w:r>
              <w:rPr>
                <w:rFonts w:ascii="Arial" w:cs="Arial" w:eastAsia="Arial" w:hAnsi="Arial"/>
                <w:sz w:val="18"/>
                <w:szCs w:val="18"/>
                <w:color w:val="auto"/>
              </w:rPr>
              <w:t>(82)</w:t>
            </w:r>
          </w:p>
        </w:tc>
        <w:tc>
          <w:tcPr>
            <w:tcW w:w="600" w:type="dxa"/>
            <w:vAlign w:val="bottom"/>
          </w:tcPr>
          <w:p>
            <w:pPr>
              <w:jc w:val="right"/>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19"/>
                <w:szCs w:val="19"/>
                <w:color w:val="auto"/>
              </w:rPr>
            </w:pPr>
          </w:p>
        </w:tc>
        <w:tc>
          <w:tcPr>
            <w:tcW w:w="720" w:type="dxa"/>
            <w:vAlign w:val="bottom"/>
          </w:tcPr>
          <w:p>
            <w:pPr>
              <w:jc w:val="right"/>
              <w:ind w:right="95"/>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480" w:type="dxa"/>
            <w:vAlign w:val="bottom"/>
          </w:tcPr>
          <w:p>
            <w:pPr>
              <w:ind w:left="220"/>
              <w:spacing w:after="0"/>
              <w:rPr>
                <w:sz w:val="20"/>
                <w:szCs w:val="20"/>
                <w:color w:val="auto"/>
              </w:rPr>
            </w:pPr>
            <w:r>
              <w:rPr>
                <w:rFonts w:ascii="Arial" w:cs="Arial" w:eastAsia="Arial" w:hAnsi="Arial"/>
                <w:sz w:val="18"/>
                <w:szCs w:val="18"/>
                <w:color w:val="auto"/>
              </w:rPr>
              <w:t>Amortization of prior service (cost)/credit</w:t>
            </w: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23</w:t>
            </w: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(5)</w:t>
            </w:r>
          </w:p>
        </w:tc>
        <w:tc>
          <w:tcPr>
            <w:tcW w:w="7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w:t>
            </w:r>
          </w:p>
        </w:tc>
        <w:tc>
          <w:tcPr>
            <w:tcW w:w="960" w:type="dxa"/>
            <w:vAlign w:val="bottom"/>
          </w:tcPr>
          <w:p>
            <w:pPr>
              <w:jc w:val="right"/>
              <w:ind w:right="193"/>
              <w:spacing w:after="0"/>
              <w:rPr>
                <w:sz w:val="20"/>
                <w:szCs w:val="20"/>
                <w:color w:val="auto"/>
              </w:rPr>
            </w:pPr>
            <w:r>
              <w:rPr>
                <w:rFonts w:ascii="Arial" w:cs="Arial" w:eastAsia="Arial" w:hAnsi="Arial"/>
                <w:sz w:val="18"/>
                <w:szCs w:val="18"/>
                <w:color w:val="auto"/>
              </w:rPr>
              <w:t>(68)</w:t>
            </w:r>
          </w:p>
        </w:tc>
        <w:tc>
          <w:tcPr>
            <w:tcW w:w="600" w:type="dxa"/>
            <w:vAlign w:val="bottom"/>
          </w:tcPr>
          <w:p>
            <w:pPr>
              <w:jc w:val="right"/>
              <w:spacing w:after="0"/>
              <w:rPr>
                <w:sz w:val="20"/>
                <w:szCs w:val="20"/>
                <w:color w:val="auto"/>
              </w:rPr>
            </w:pPr>
            <w:r>
              <w:rPr>
                <w:rFonts w:ascii="Arial" w:cs="Arial" w:eastAsia="Arial" w:hAnsi="Arial"/>
                <w:sz w:val="18"/>
                <w:szCs w:val="18"/>
                <w:color w:val="auto"/>
              </w:rPr>
              <w:t>(56)</w:t>
            </w:r>
          </w:p>
        </w:tc>
        <w:tc>
          <w:tcPr>
            <w:tcW w:w="820" w:type="dxa"/>
            <w:vAlign w:val="bottom"/>
            <w:gridSpan w:val="2"/>
          </w:tcPr>
          <w:p>
            <w:pPr>
              <w:jc w:val="right"/>
              <w:ind w:right="95"/>
              <w:spacing w:after="0"/>
              <w:rPr>
                <w:sz w:val="20"/>
                <w:szCs w:val="20"/>
                <w:color w:val="auto"/>
              </w:rPr>
            </w:pPr>
            <w:r>
              <w:rPr>
                <w:rFonts w:ascii="Arial" w:cs="Arial" w:eastAsia="Arial" w:hAnsi="Arial"/>
                <w:sz w:val="18"/>
                <w:szCs w:val="18"/>
                <w:color w:val="auto"/>
              </w:rPr>
              <w:t>42</w:t>
            </w:r>
          </w:p>
        </w:tc>
        <w:tc>
          <w:tcPr>
            <w:tcW w:w="720" w:type="dxa"/>
            <w:vAlign w:val="bottom"/>
          </w:tcPr>
          <w:p>
            <w:pPr>
              <w:jc w:val="right"/>
              <w:ind w:right="91"/>
              <w:spacing w:after="0"/>
              <w:rPr>
                <w:sz w:val="20"/>
                <w:szCs w:val="20"/>
                <w:color w:val="auto"/>
              </w:rPr>
            </w:pPr>
            <w:r>
              <w:rPr>
                <w:rFonts w:ascii="Arial" w:cs="Arial" w:eastAsia="Arial" w:hAnsi="Arial"/>
                <w:sz w:val="18"/>
                <w:szCs w:val="18"/>
                <w:color w:val="auto"/>
              </w:rPr>
              <w:t>42</w:t>
            </w:r>
          </w:p>
        </w:tc>
        <w:tc>
          <w:tcPr>
            <w:tcW w:w="60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4480" w:type="dxa"/>
            <w:vAlign w:val="bottom"/>
          </w:tcPr>
          <w:p>
            <w:pPr>
              <w:ind w:left="220"/>
              <w:spacing w:after="0"/>
              <w:rPr>
                <w:sz w:val="20"/>
                <w:szCs w:val="20"/>
                <w:color w:val="auto"/>
              </w:rPr>
            </w:pPr>
            <w:r>
              <w:rPr>
                <w:rFonts w:ascii="Arial" w:cs="Arial" w:eastAsia="Arial" w:hAnsi="Arial"/>
                <w:sz w:val="18"/>
                <w:szCs w:val="18"/>
                <w:color w:val="auto"/>
              </w:rPr>
              <w:t>Foreign exchange rate changes</w:t>
            </w:r>
          </w:p>
        </w:tc>
        <w:tc>
          <w:tcPr>
            <w:tcW w:w="7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96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rPr>
              <w:t>236</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11</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4480" w:type="dxa"/>
            <w:vAlign w:val="bottom"/>
          </w:tcPr>
          <w:p>
            <w:pPr>
              <w:ind w:left="20"/>
              <w:spacing w:after="0"/>
              <w:rPr>
                <w:sz w:val="20"/>
                <w:szCs w:val="20"/>
                <w:color w:val="auto"/>
              </w:rPr>
            </w:pPr>
            <w:r>
              <w:rPr>
                <w:rFonts w:ascii="Arial" w:cs="Arial" w:eastAsia="Arial" w:hAnsi="Arial"/>
                <w:sz w:val="18"/>
                <w:szCs w:val="18"/>
                <w:color w:val="auto"/>
              </w:rPr>
              <w:t>Total recorded in other comprehensive income</w:t>
            </w: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(1,286)</w:t>
            </w: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(1,145)</w:t>
            </w:r>
          </w:p>
        </w:tc>
        <w:tc>
          <w:tcPr>
            <w:tcW w:w="70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(3,009)</w:t>
            </w:r>
          </w:p>
        </w:tc>
        <w:tc>
          <w:tcPr>
            <w:tcW w:w="960" w:type="dxa"/>
            <w:vAlign w:val="bottom"/>
          </w:tcPr>
          <w:p>
            <w:pPr>
              <w:jc w:val="right"/>
              <w:ind w:right="233"/>
              <w:spacing w:after="0"/>
              <w:rPr>
                <w:sz w:val="20"/>
                <w:szCs w:val="20"/>
                <w:color w:val="auto"/>
              </w:rPr>
            </w:pPr>
            <w:r>
              <w:rPr>
                <w:rFonts w:ascii="Arial" w:cs="Arial" w:eastAsia="Arial" w:hAnsi="Arial"/>
                <w:sz w:val="18"/>
                <w:szCs w:val="18"/>
                <w:color w:val="auto"/>
              </w:rPr>
              <w:t>90</w:t>
            </w:r>
          </w:p>
        </w:tc>
        <w:tc>
          <w:tcPr>
            <w:tcW w:w="600" w:type="dxa"/>
            <w:vAlign w:val="bottom"/>
          </w:tcPr>
          <w:p>
            <w:pPr>
              <w:jc w:val="right"/>
              <w:spacing w:after="0"/>
              <w:rPr>
                <w:sz w:val="20"/>
                <w:szCs w:val="20"/>
                <w:color w:val="auto"/>
              </w:rPr>
            </w:pPr>
            <w:r>
              <w:rPr>
                <w:rFonts w:ascii="Arial" w:cs="Arial" w:eastAsia="Arial" w:hAnsi="Arial"/>
                <w:sz w:val="18"/>
                <w:szCs w:val="18"/>
                <w:color w:val="auto"/>
              </w:rPr>
              <w:t>1,402</w:t>
            </w:r>
          </w:p>
        </w:tc>
        <w:tc>
          <w:tcPr>
            <w:tcW w:w="820" w:type="dxa"/>
            <w:vAlign w:val="bottom"/>
            <w:gridSpan w:val="2"/>
          </w:tcPr>
          <w:p>
            <w:pPr>
              <w:jc w:val="right"/>
              <w:ind w:right="55"/>
              <w:spacing w:after="0"/>
              <w:rPr>
                <w:sz w:val="20"/>
                <w:szCs w:val="20"/>
                <w:color w:val="auto"/>
              </w:rPr>
            </w:pPr>
            <w:r>
              <w:rPr>
                <w:rFonts w:ascii="Arial" w:cs="Arial" w:eastAsia="Arial" w:hAnsi="Arial"/>
                <w:sz w:val="18"/>
                <w:szCs w:val="18"/>
                <w:color w:val="auto"/>
              </w:rPr>
              <w:t>(925)</w:t>
            </w:r>
          </w:p>
        </w:tc>
        <w:tc>
          <w:tcPr>
            <w:tcW w:w="720" w:type="dxa"/>
            <w:vAlign w:val="bottom"/>
          </w:tcPr>
          <w:p>
            <w:pPr>
              <w:jc w:val="right"/>
              <w:ind w:right="51"/>
              <w:spacing w:after="0"/>
              <w:rPr>
                <w:sz w:val="20"/>
                <w:szCs w:val="20"/>
                <w:color w:val="auto"/>
              </w:rPr>
            </w:pPr>
            <w:r>
              <w:rPr>
                <w:rFonts w:ascii="Arial" w:cs="Arial" w:eastAsia="Arial" w:hAnsi="Arial"/>
                <w:sz w:val="18"/>
                <w:szCs w:val="18"/>
                <w:color w:val="auto"/>
              </w:rPr>
              <w:t>(134)</w:t>
            </w:r>
          </w:p>
        </w:tc>
        <w:tc>
          <w:tcPr>
            <w:tcW w:w="600" w:type="dxa"/>
            <w:vAlign w:val="bottom"/>
          </w:tcPr>
          <w:p>
            <w:pPr>
              <w:jc w:val="right"/>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176"/>
        </w:trPr>
        <w:tc>
          <w:tcPr>
            <w:tcW w:w="4480" w:type="dxa"/>
            <w:vAlign w:val="bottom"/>
          </w:tcPr>
          <w:p>
            <w:pPr>
              <w:ind w:left="20"/>
              <w:spacing w:after="0" w:line="176" w:lineRule="exact"/>
              <w:rPr>
                <w:sz w:val="20"/>
                <w:szCs w:val="20"/>
                <w:color w:val="auto"/>
              </w:rPr>
            </w:pPr>
            <w:r>
              <w:rPr>
                <w:rFonts w:ascii="Arial" w:cs="Arial" w:eastAsia="Arial" w:hAnsi="Arial"/>
                <w:sz w:val="18"/>
                <w:szCs w:val="18"/>
                <w:color w:val="auto"/>
              </w:rPr>
              <w:t>Total recorded in net periodic benefit cost and other</w:t>
            </w:r>
          </w:p>
        </w:tc>
        <w:tc>
          <w:tcPr>
            <w:tcW w:w="740" w:type="dxa"/>
            <w:vAlign w:val="bottom"/>
            <w:vMerge w:val="restart"/>
          </w:tcPr>
          <w:p>
            <w:pPr>
              <w:jc w:val="right"/>
              <w:ind w:right="71"/>
              <w:spacing w:after="0"/>
              <w:rPr>
                <w:sz w:val="20"/>
                <w:szCs w:val="20"/>
                <w:color w:val="auto"/>
              </w:rPr>
            </w:pPr>
            <w:r>
              <w:rPr>
                <w:rFonts w:ascii="Arial" w:cs="Arial" w:eastAsia="Arial" w:hAnsi="Arial"/>
                <w:sz w:val="18"/>
                <w:szCs w:val="18"/>
                <w:color w:val="auto"/>
              </w:rPr>
              <w:t>179</w:t>
            </w:r>
          </w:p>
        </w:tc>
        <w:tc>
          <w:tcPr>
            <w:tcW w:w="820" w:type="dxa"/>
            <w:vAlign w:val="bottom"/>
            <w:vMerge w:val="restart"/>
          </w:tcPr>
          <w:p>
            <w:pPr>
              <w:jc w:val="right"/>
              <w:ind w:right="132"/>
              <w:spacing w:after="0"/>
              <w:rPr>
                <w:sz w:val="20"/>
                <w:szCs w:val="20"/>
                <w:color w:val="auto"/>
              </w:rPr>
            </w:pPr>
            <w:r>
              <w:rPr>
                <w:rFonts w:ascii="Arial" w:cs="Arial" w:eastAsia="Arial" w:hAnsi="Arial"/>
                <w:sz w:val="18"/>
                <w:szCs w:val="18"/>
                <w:color w:val="auto"/>
              </w:rPr>
              <w:t>420</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1,564</w:t>
            </w:r>
          </w:p>
        </w:tc>
        <w:tc>
          <w:tcPr>
            <w:tcW w:w="10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(2,231)</w:t>
            </w:r>
          </w:p>
        </w:tc>
        <w:tc>
          <w:tcPr>
            <w:tcW w:w="960" w:type="dxa"/>
            <w:vAlign w:val="bottom"/>
            <w:vMerge w:val="restart"/>
          </w:tcPr>
          <w:p>
            <w:pPr>
              <w:jc w:val="right"/>
              <w:ind w:right="233"/>
              <w:spacing w:after="0"/>
              <w:rPr>
                <w:sz w:val="20"/>
                <w:szCs w:val="20"/>
                <w:color w:val="auto"/>
              </w:rPr>
            </w:pPr>
            <w:r>
              <w:rPr>
                <w:rFonts w:ascii="Arial" w:cs="Arial" w:eastAsia="Arial" w:hAnsi="Arial"/>
                <w:sz w:val="18"/>
                <w:szCs w:val="18"/>
                <w:color w:val="auto"/>
              </w:rPr>
              <w:t>1,090</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2,203</w:t>
            </w:r>
          </w:p>
        </w:tc>
        <w:tc>
          <w:tcPr>
            <w:tcW w:w="820" w:type="dxa"/>
            <w:vAlign w:val="bottom"/>
            <w:gridSpan w:val="2"/>
            <w:vMerge w:val="restart"/>
          </w:tcPr>
          <w:p>
            <w:pPr>
              <w:jc w:val="right"/>
              <w:ind w:right="55"/>
              <w:spacing w:after="0"/>
              <w:rPr>
                <w:sz w:val="20"/>
                <w:szCs w:val="20"/>
                <w:color w:val="auto"/>
              </w:rPr>
            </w:pPr>
            <w:r>
              <w:rPr>
                <w:rFonts w:ascii="Arial" w:cs="Arial" w:eastAsia="Arial" w:hAnsi="Arial"/>
                <w:sz w:val="18"/>
                <w:szCs w:val="18"/>
                <w:color w:val="auto"/>
              </w:rPr>
              <w:t>(501)</w:t>
            </w:r>
          </w:p>
        </w:tc>
        <w:tc>
          <w:tcPr>
            <w:tcW w:w="720" w:type="dxa"/>
            <w:vAlign w:val="bottom"/>
            <w:vMerge w:val="restart"/>
          </w:tcPr>
          <w:p>
            <w:pPr>
              <w:jc w:val="right"/>
              <w:ind w:right="91"/>
              <w:spacing w:after="0"/>
              <w:rPr>
                <w:sz w:val="20"/>
                <w:szCs w:val="20"/>
                <w:color w:val="auto"/>
              </w:rPr>
            </w:pPr>
            <w:r>
              <w:rPr>
                <w:rFonts w:ascii="Arial" w:cs="Arial" w:eastAsia="Arial" w:hAnsi="Arial"/>
                <w:sz w:val="18"/>
                <w:szCs w:val="18"/>
                <w:color w:val="auto"/>
              </w:rPr>
              <w:t>359</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956</w:t>
            </w:r>
          </w:p>
        </w:tc>
        <w:tc>
          <w:tcPr>
            <w:tcW w:w="0" w:type="dxa"/>
            <w:vAlign w:val="bottom"/>
          </w:tcPr>
          <w:p>
            <w:pPr>
              <w:spacing w:after="0"/>
              <w:rPr>
                <w:sz w:val="1"/>
                <w:szCs w:val="1"/>
                <w:color w:val="auto"/>
              </w:rPr>
            </w:pPr>
          </w:p>
        </w:tc>
      </w:tr>
      <w:tr>
        <w:trPr>
          <w:trHeight w:val="229"/>
        </w:trPr>
        <w:tc>
          <w:tcPr>
            <w:tcW w:w="4480" w:type="dxa"/>
            <w:vAlign w:val="bottom"/>
          </w:tcPr>
          <w:p>
            <w:pPr>
              <w:ind w:left="360"/>
              <w:spacing w:after="0"/>
              <w:rPr>
                <w:sz w:val="20"/>
                <w:szCs w:val="20"/>
                <w:color w:val="auto"/>
              </w:rPr>
            </w:pPr>
            <w:r>
              <w:rPr>
                <w:rFonts w:ascii="Arial" w:cs="Arial" w:eastAsia="Arial" w:hAnsi="Arial"/>
                <w:sz w:val="18"/>
                <w:szCs w:val="18"/>
                <w:color w:val="auto"/>
              </w:rPr>
              <w:t>comprehensive income, before tax</w:t>
            </w:r>
          </w:p>
        </w:tc>
        <w:tc>
          <w:tcPr>
            <w:tcW w:w="740" w:type="dxa"/>
            <w:vAlign w:val="bottom"/>
            <w:tcBorders>
              <w:bottom w:val="single" w:sz="8" w:color="auto"/>
            </w:tcBorders>
            <w:vMerge w:val="continue"/>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7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vMerge w:val="continue"/>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600" w:type="dxa"/>
            <w:vAlign w:val="bottom"/>
            <w:tcBorders>
              <w:bottom w:val="single" w:sz="8" w:color="auto"/>
            </w:tcBorders>
            <w:vMerge w:val="continue"/>
          </w:tcPr>
          <w:p>
            <w:pPr>
              <w:spacing w:after="0"/>
              <w:rPr>
                <w:sz w:val="19"/>
                <w:szCs w:val="19"/>
                <w:color w:val="auto"/>
              </w:rPr>
            </w:pPr>
          </w:p>
        </w:tc>
        <w:tc>
          <w:tcPr>
            <w:tcW w:w="820" w:type="dxa"/>
            <w:vAlign w:val="bottom"/>
            <w:tcBorders>
              <w:bottom w:val="single" w:sz="8" w:color="auto"/>
            </w:tcBorders>
            <w:gridSpan w:val="2"/>
            <w:vMerge w:val="continue"/>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6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Costs for defined contribution plans were $177 million, $358 million and $422 million in 2021, 2020 and 2019, respectively.</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change in accumulated other comprehensive income is shown in the table below:</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940" w:type="dxa"/>
            <w:vAlign w:val="bottom"/>
          </w:tcPr>
          <w:p>
            <w:pPr>
              <w:spacing w:after="0"/>
              <w:rPr>
                <w:sz w:val="16"/>
                <w:szCs w:val="16"/>
                <w:color w:val="auto"/>
              </w:rPr>
            </w:pPr>
          </w:p>
        </w:tc>
        <w:tc>
          <w:tcPr>
            <w:tcW w:w="3700" w:type="dxa"/>
            <w:vAlign w:val="bottom"/>
            <w:gridSpan w:val="2"/>
          </w:tcPr>
          <w:p>
            <w:pPr>
              <w:jc w:val="right"/>
              <w:spacing w:after="0"/>
              <w:rPr>
                <w:sz w:val="20"/>
                <w:szCs w:val="20"/>
                <w:color w:val="auto"/>
              </w:rPr>
            </w:pPr>
            <w:r>
              <w:rPr>
                <w:rFonts w:ascii="Arial" w:cs="Arial" w:eastAsia="Arial" w:hAnsi="Arial"/>
                <w:sz w:val="14"/>
                <w:szCs w:val="14"/>
                <w:b w:val="1"/>
                <w:bCs w:val="1"/>
                <w:color w:val="auto"/>
              </w:rPr>
              <w:t>Total Pension and Other Postretirement Benefits</w:t>
            </w:r>
          </w:p>
        </w:tc>
        <w:tc>
          <w:tcPr>
            <w:tcW w:w="600" w:type="dxa"/>
            <w:vAlign w:val="bottom"/>
          </w:tcPr>
          <w:p>
            <w:pPr>
              <w:spacing w:after="0"/>
              <w:rPr>
                <w:sz w:val="16"/>
                <w:szCs w:val="16"/>
                <w:color w:val="auto"/>
              </w:rPr>
            </w:pPr>
          </w:p>
        </w:tc>
      </w:tr>
      <w:tr>
        <w:trPr>
          <w:trHeight w:val="39"/>
        </w:trPr>
        <w:tc>
          <w:tcPr>
            <w:tcW w:w="6940" w:type="dxa"/>
            <w:vAlign w:val="bottom"/>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22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r>
      <w:tr>
        <w:trPr>
          <w:trHeight w:val="203"/>
        </w:trPr>
        <w:tc>
          <w:tcPr>
            <w:tcW w:w="69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2021</w:t>
            </w:r>
          </w:p>
        </w:tc>
        <w:tc>
          <w:tcPr>
            <w:tcW w:w="2240" w:type="dxa"/>
            <w:vAlign w:val="bottom"/>
            <w:tcBorders>
              <w:bottom w:val="single" w:sz="8" w:color="auto"/>
            </w:tcBorders>
          </w:tcPr>
          <w:p>
            <w:pPr>
              <w:jc w:val="right"/>
              <w:ind w:right="793"/>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r>
      <w:tr>
        <w:trPr>
          <w:trHeight w:val="190"/>
        </w:trPr>
        <w:tc>
          <w:tcPr>
            <w:tcW w:w="69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240" w:type="dxa"/>
            <w:vAlign w:val="bottom"/>
          </w:tcPr>
          <w:p>
            <w:pPr>
              <w:jc w:val="right"/>
              <w:ind w:right="893"/>
              <w:spacing w:after="0"/>
              <w:rPr>
                <w:sz w:val="20"/>
                <w:szCs w:val="20"/>
                <w:color w:val="auto"/>
              </w:rPr>
            </w:pPr>
            <w:r>
              <w:rPr>
                <w:rFonts w:ascii="Arial" w:cs="Arial" w:eastAsia="Arial" w:hAnsi="Arial"/>
                <w:sz w:val="14"/>
                <w:szCs w:val="14"/>
                <w:i w:val="1"/>
                <w:iCs w:val="1"/>
                <w:color w:val="auto"/>
              </w:rPr>
              <w:t>(millions of dollars)</w:t>
            </w:r>
          </w:p>
        </w:tc>
        <w:tc>
          <w:tcPr>
            <w:tcW w:w="600" w:type="dxa"/>
            <w:vAlign w:val="bottom"/>
          </w:tcPr>
          <w:p>
            <w:pPr>
              <w:spacing w:after="0"/>
              <w:rPr>
                <w:sz w:val="16"/>
                <w:szCs w:val="16"/>
                <w:color w:val="auto"/>
              </w:rPr>
            </w:pPr>
          </w:p>
        </w:tc>
      </w:tr>
      <w:tr>
        <w:trPr>
          <w:trHeight w:val="268"/>
        </w:trPr>
        <w:tc>
          <w:tcPr>
            <w:tcW w:w="6940" w:type="dxa"/>
            <w:vAlign w:val="bottom"/>
          </w:tcPr>
          <w:p>
            <w:pPr>
              <w:ind w:left="20"/>
              <w:spacing w:after="0"/>
              <w:rPr>
                <w:sz w:val="20"/>
                <w:szCs w:val="20"/>
                <w:color w:val="auto"/>
              </w:rPr>
            </w:pPr>
            <w:r>
              <w:rPr>
                <w:rFonts w:ascii="Arial" w:cs="Arial" w:eastAsia="Arial" w:hAnsi="Arial"/>
                <w:sz w:val="18"/>
                <w:szCs w:val="18"/>
                <w:color w:val="auto"/>
              </w:rPr>
              <w:t>(Charge)/credit to other comprehensive income, before tax</w:t>
            </w:r>
          </w:p>
        </w:tc>
        <w:tc>
          <w:tcPr>
            <w:tcW w:w="146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600" w:type="dxa"/>
            <w:vAlign w:val="bottom"/>
          </w:tcPr>
          <w:p>
            <w:pPr>
              <w:spacing w:after="0"/>
              <w:rPr>
                <w:sz w:val="23"/>
                <w:szCs w:val="23"/>
                <w:color w:val="auto"/>
              </w:rPr>
            </w:pPr>
          </w:p>
        </w:tc>
      </w:tr>
      <w:tr>
        <w:trPr>
          <w:trHeight w:val="230"/>
        </w:trPr>
        <w:tc>
          <w:tcPr>
            <w:tcW w:w="6940" w:type="dxa"/>
            <w:vAlign w:val="bottom"/>
          </w:tcPr>
          <w:p>
            <w:pPr>
              <w:ind w:left="220"/>
              <w:spacing w:after="0"/>
              <w:rPr>
                <w:sz w:val="20"/>
                <w:szCs w:val="20"/>
                <w:color w:val="auto"/>
              </w:rPr>
            </w:pPr>
            <w:r>
              <w:rPr>
                <w:rFonts w:ascii="Arial" w:cs="Arial" w:eastAsia="Arial" w:hAnsi="Arial"/>
                <w:sz w:val="18"/>
                <w:szCs w:val="18"/>
                <w:color w:val="auto"/>
              </w:rPr>
              <w:t>U.S. pension</w:t>
            </w:r>
          </w:p>
        </w:tc>
        <w:tc>
          <w:tcPr>
            <w:tcW w:w="1460" w:type="dxa"/>
            <w:vAlign w:val="bottom"/>
          </w:tcPr>
          <w:p>
            <w:pPr>
              <w:jc w:val="right"/>
              <w:ind w:right="93"/>
              <w:spacing w:after="0"/>
              <w:rPr>
                <w:sz w:val="20"/>
                <w:szCs w:val="20"/>
                <w:color w:val="auto"/>
              </w:rPr>
            </w:pPr>
            <w:r>
              <w:rPr>
                <w:rFonts w:ascii="Arial" w:cs="Arial" w:eastAsia="Arial" w:hAnsi="Arial"/>
                <w:sz w:val="18"/>
                <w:szCs w:val="18"/>
                <w:color w:val="auto"/>
              </w:rPr>
              <w:t>1,286</w:t>
            </w:r>
          </w:p>
        </w:tc>
        <w:tc>
          <w:tcPr>
            <w:tcW w:w="2240" w:type="dxa"/>
            <w:vAlign w:val="bottom"/>
          </w:tcPr>
          <w:p>
            <w:pPr>
              <w:jc w:val="right"/>
              <w:ind w:right="853"/>
              <w:spacing w:after="0"/>
              <w:rPr>
                <w:sz w:val="20"/>
                <w:szCs w:val="20"/>
                <w:color w:val="auto"/>
              </w:rPr>
            </w:pPr>
            <w:r>
              <w:rPr>
                <w:rFonts w:ascii="Arial" w:cs="Arial" w:eastAsia="Arial" w:hAnsi="Arial"/>
                <w:sz w:val="18"/>
                <w:szCs w:val="18"/>
                <w:color w:val="auto"/>
              </w:rPr>
              <w:t>1,145</w:t>
            </w:r>
          </w:p>
        </w:tc>
        <w:tc>
          <w:tcPr>
            <w:tcW w:w="60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29"/>
        </w:trPr>
        <w:tc>
          <w:tcPr>
            <w:tcW w:w="6940" w:type="dxa"/>
            <w:vAlign w:val="bottom"/>
          </w:tcPr>
          <w:p>
            <w:pPr>
              <w:ind w:left="220"/>
              <w:spacing w:after="0"/>
              <w:rPr>
                <w:sz w:val="20"/>
                <w:szCs w:val="20"/>
                <w:color w:val="auto"/>
              </w:rPr>
            </w:pPr>
            <w:r>
              <w:rPr>
                <w:rFonts w:ascii="Arial" w:cs="Arial" w:eastAsia="Arial" w:hAnsi="Arial"/>
                <w:sz w:val="18"/>
                <w:szCs w:val="18"/>
                <w:color w:val="auto"/>
              </w:rPr>
              <w:t>Non-U.S. pension</w:t>
            </w:r>
          </w:p>
        </w:tc>
        <w:tc>
          <w:tcPr>
            <w:tcW w:w="1460" w:type="dxa"/>
            <w:vAlign w:val="bottom"/>
          </w:tcPr>
          <w:p>
            <w:pPr>
              <w:jc w:val="right"/>
              <w:ind w:right="93"/>
              <w:spacing w:after="0"/>
              <w:rPr>
                <w:sz w:val="20"/>
                <w:szCs w:val="20"/>
                <w:color w:val="auto"/>
              </w:rPr>
            </w:pPr>
            <w:r>
              <w:rPr>
                <w:rFonts w:ascii="Arial" w:cs="Arial" w:eastAsia="Arial" w:hAnsi="Arial"/>
                <w:sz w:val="18"/>
                <w:szCs w:val="18"/>
                <w:color w:val="auto"/>
              </w:rPr>
              <w:t>3,009</w:t>
            </w:r>
          </w:p>
        </w:tc>
        <w:tc>
          <w:tcPr>
            <w:tcW w:w="2240" w:type="dxa"/>
            <w:vAlign w:val="bottom"/>
          </w:tcPr>
          <w:p>
            <w:pPr>
              <w:jc w:val="right"/>
              <w:ind w:right="813"/>
              <w:spacing w:after="0"/>
              <w:rPr>
                <w:sz w:val="20"/>
                <w:szCs w:val="20"/>
                <w:color w:val="auto"/>
              </w:rPr>
            </w:pPr>
            <w:r>
              <w:rPr>
                <w:rFonts w:ascii="Arial" w:cs="Arial" w:eastAsia="Arial" w:hAnsi="Arial"/>
                <w:sz w:val="18"/>
                <w:szCs w:val="18"/>
                <w:color w:val="auto"/>
              </w:rPr>
              <w:t>(90)</w:t>
            </w:r>
          </w:p>
        </w:tc>
        <w:tc>
          <w:tcPr>
            <w:tcW w:w="600" w:type="dxa"/>
            <w:vAlign w:val="bottom"/>
          </w:tcPr>
          <w:p>
            <w:pPr>
              <w:jc w:val="right"/>
              <w:spacing w:after="0"/>
              <w:rPr>
                <w:sz w:val="20"/>
                <w:szCs w:val="20"/>
                <w:color w:val="auto"/>
              </w:rPr>
            </w:pPr>
            <w:r>
              <w:rPr>
                <w:rFonts w:ascii="Arial" w:cs="Arial" w:eastAsia="Arial" w:hAnsi="Arial"/>
                <w:sz w:val="18"/>
                <w:szCs w:val="18"/>
                <w:color w:val="auto"/>
                <w:w w:val="98"/>
              </w:rPr>
              <w:t>(1,402)</w:t>
            </w:r>
          </w:p>
        </w:tc>
      </w:tr>
      <w:tr>
        <w:trPr>
          <w:trHeight w:val="230"/>
        </w:trPr>
        <w:tc>
          <w:tcPr>
            <w:tcW w:w="6940" w:type="dxa"/>
            <w:vAlign w:val="bottom"/>
          </w:tcPr>
          <w:p>
            <w:pPr>
              <w:ind w:left="220"/>
              <w:spacing w:after="0"/>
              <w:rPr>
                <w:sz w:val="20"/>
                <w:szCs w:val="20"/>
                <w:color w:val="auto"/>
              </w:rPr>
            </w:pPr>
            <w:r>
              <w:rPr>
                <w:rFonts w:ascii="Arial" w:cs="Arial" w:eastAsia="Arial" w:hAnsi="Arial"/>
                <w:sz w:val="18"/>
                <w:szCs w:val="18"/>
                <w:color w:val="auto"/>
              </w:rPr>
              <w:t>Other postretirement benefits</w:t>
            </w:r>
          </w:p>
        </w:tc>
        <w:tc>
          <w:tcPr>
            <w:tcW w:w="14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925</w:t>
            </w:r>
          </w:p>
        </w:tc>
        <w:tc>
          <w:tcPr>
            <w:tcW w:w="2240" w:type="dxa"/>
            <w:vAlign w:val="bottom"/>
            <w:tcBorders>
              <w:bottom w:val="single" w:sz="8" w:color="auto"/>
            </w:tcBorders>
          </w:tcPr>
          <w:p>
            <w:pPr>
              <w:jc w:val="right"/>
              <w:ind w:right="853"/>
              <w:spacing w:after="0"/>
              <w:rPr>
                <w:sz w:val="20"/>
                <w:szCs w:val="20"/>
                <w:color w:val="auto"/>
              </w:rPr>
            </w:pPr>
            <w:r>
              <w:rPr>
                <w:rFonts w:ascii="Arial" w:cs="Arial" w:eastAsia="Arial" w:hAnsi="Arial"/>
                <w:sz w:val="18"/>
                <w:szCs w:val="18"/>
                <w:color w:val="auto"/>
              </w:rPr>
              <w:t>134</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w:t>
            </w:r>
          </w:p>
        </w:tc>
      </w:tr>
      <w:tr>
        <w:trPr>
          <w:trHeight w:val="222"/>
        </w:trPr>
        <w:tc>
          <w:tcPr>
            <w:tcW w:w="6940" w:type="dxa"/>
            <w:vAlign w:val="bottom"/>
          </w:tcPr>
          <w:p>
            <w:pPr>
              <w:ind w:left="20"/>
              <w:spacing w:after="0"/>
              <w:rPr>
                <w:sz w:val="20"/>
                <w:szCs w:val="20"/>
                <w:color w:val="auto"/>
              </w:rPr>
            </w:pPr>
            <w:r>
              <w:rPr>
                <w:rFonts w:ascii="Arial" w:cs="Arial" w:eastAsia="Arial" w:hAnsi="Arial"/>
                <w:sz w:val="18"/>
                <w:szCs w:val="18"/>
                <w:color w:val="auto"/>
              </w:rPr>
              <w:t>Total (charge)/credit to other comprehensive income, before tax</w:t>
            </w:r>
          </w:p>
        </w:tc>
        <w:tc>
          <w:tcPr>
            <w:tcW w:w="1460" w:type="dxa"/>
            <w:vAlign w:val="bottom"/>
          </w:tcPr>
          <w:p>
            <w:pPr>
              <w:jc w:val="right"/>
              <w:ind w:right="93"/>
              <w:spacing w:after="0"/>
              <w:rPr>
                <w:sz w:val="20"/>
                <w:szCs w:val="20"/>
                <w:color w:val="auto"/>
              </w:rPr>
            </w:pPr>
            <w:r>
              <w:rPr>
                <w:rFonts w:ascii="Arial" w:cs="Arial" w:eastAsia="Arial" w:hAnsi="Arial"/>
                <w:sz w:val="18"/>
                <w:szCs w:val="18"/>
                <w:color w:val="auto"/>
              </w:rPr>
              <w:t>5,220</w:t>
            </w:r>
          </w:p>
        </w:tc>
        <w:tc>
          <w:tcPr>
            <w:tcW w:w="2240" w:type="dxa"/>
            <w:vAlign w:val="bottom"/>
          </w:tcPr>
          <w:p>
            <w:pPr>
              <w:jc w:val="right"/>
              <w:ind w:right="853"/>
              <w:spacing w:after="0"/>
              <w:rPr>
                <w:sz w:val="20"/>
                <w:szCs w:val="20"/>
                <w:color w:val="auto"/>
              </w:rPr>
            </w:pPr>
            <w:r>
              <w:rPr>
                <w:rFonts w:ascii="Arial" w:cs="Arial" w:eastAsia="Arial" w:hAnsi="Arial"/>
                <w:sz w:val="18"/>
                <w:szCs w:val="18"/>
                <w:color w:val="auto"/>
              </w:rPr>
              <w:t>1,189</w:t>
            </w:r>
          </w:p>
        </w:tc>
        <w:tc>
          <w:tcPr>
            <w:tcW w:w="600" w:type="dxa"/>
            <w:vAlign w:val="bottom"/>
          </w:tcPr>
          <w:p>
            <w:pPr>
              <w:jc w:val="right"/>
              <w:spacing w:after="0"/>
              <w:rPr>
                <w:sz w:val="20"/>
                <w:szCs w:val="20"/>
                <w:color w:val="auto"/>
              </w:rPr>
            </w:pPr>
            <w:r>
              <w:rPr>
                <w:rFonts w:ascii="Arial" w:cs="Arial" w:eastAsia="Arial" w:hAnsi="Arial"/>
                <w:sz w:val="18"/>
                <w:szCs w:val="18"/>
                <w:color w:val="auto"/>
                <w:w w:val="98"/>
              </w:rPr>
              <w:t>(2,041)</w:t>
            </w:r>
          </w:p>
        </w:tc>
      </w:tr>
      <w:tr>
        <w:trPr>
          <w:trHeight w:val="230"/>
        </w:trPr>
        <w:tc>
          <w:tcPr>
            <w:tcW w:w="6940" w:type="dxa"/>
            <w:vAlign w:val="bottom"/>
          </w:tcPr>
          <w:p>
            <w:pPr>
              <w:ind w:left="20"/>
              <w:spacing w:after="0"/>
              <w:rPr>
                <w:sz w:val="20"/>
                <w:szCs w:val="20"/>
                <w:color w:val="auto"/>
              </w:rPr>
            </w:pPr>
            <w:r>
              <w:rPr>
                <w:rFonts w:ascii="Arial" w:cs="Arial" w:eastAsia="Arial" w:hAnsi="Arial"/>
                <w:sz w:val="18"/>
                <w:szCs w:val="18"/>
                <w:color w:val="auto"/>
              </w:rPr>
              <w:t>(Charge)/credit to income tax (see Note 4)</w:t>
            </w: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(1,287)</w:t>
            </w:r>
          </w:p>
        </w:tc>
        <w:tc>
          <w:tcPr>
            <w:tcW w:w="2240" w:type="dxa"/>
            <w:vAlign w:val="bottom"/>
          </w:tcPr>
          <w:p>
            <w:pPr>
              <w:jc w:val="right"/>
              <w:ind w:right="813"/>
              <w:spacing w:after="0"/>
              <w:rPr>
                <w:sz w:val="20"/>
                <w:szCs w:val="20"/>
                <w:color w:val="auto"/>
              </w:rPr>
            </w:pPr>
            <w:r>
              <w:rPr>
                <w:rFonts w:ascii="Arial" w:cs="Arial" w:eastAsia="Arial" w:hAnsi="Arial"/>
                <w:sz w:val="18"/>
                <w:szCs w:val="18"/>
                <w:color w:val="auto"/>
              </w:rPr>
              <w:t>(153)</w:t>
            </w:r>
          </w:p>
        </w:tc>
        <w:tc>
          <w:tcPr>
            <w:tcW w:w="600" w:type="dxa"/>
            <w:vAlign w:val="bottom"/>
          </w:tcPr>
          <w:p>
            <w:pPr>
              <w:jc w:val="right"/>
              <w:spacing w:after="0"/>
              <w:rPr>
                <w:sz w:val="20"/>
                <w:szCs w:val="20"/>
                <w:color w:val="auto"/>
              </w:rPr>
            </w:pPr>
            <w:r>
              <w:rPr>
                <w:rFonts w:ascii="Arial" w:cs="Arial" w:eastAsia="Arial" w:hAnsi="Arial"/>
                <w:sz w:val="18"/>
                <w:szCs w:val="18"/>
                <w:color w:val="auto"/>
              </w:rPr>
              <w:t>550</w:t>
            </w:r>
          </w:p>
        </w:tc>
      </w:tr>
      <w:tr>
        <w:trPr>
          <w:trHeight w:val="230"/>
        </w:trPr>
        <w:tc>
          <w:tcPr>
            <w:tcW w:w="6940" w:type="dxa"/>
            <w:vAlign w:val="bottom"/>
          </w:tcPr>
          <w:p>
            <w:pPr>
              <w:ind w:left="20"/>
              <w:spacing w:after="0"/>
              <w:rPr>
                <w:sz w:val="20"/>
                <w:szCs w:val="20"/>
                <w:color w:val="auto"/>
              </w:rPr>
            </w:pPr>
            <w:r>
              <w:rPr>
                <w:rFonts w:ascii="Arial" w:cs="Arial" w:eastAsia="Arial" w:hAnsi="Arial"/>
                <w:sz w:val="18"/>
                <w:szCs w:val="18"/>
                <w:color w:val="auto"/>
              </w:rPr>
              <w:t>(Charge)/credit to investment in equity companies</w:t>
            </w:r>
          </w:p>
        </w:tc>
        <w:tc>
          <w:tcPr>
            <w:tcW w:w="14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110</w:t>
            </w:r>
          </w:p>
        </w:tc>
        <w:tc>
          <w:tcPr>
            <w:tcW w:w="2240" w:type="dxa"/>
            <w:vAlign w:val="bottom"/>
            <w:tcBorders>
              <w:bottom w:val="single" w:sz="8" w:color="auto"/>
            </w:tcBorders>
          </w:tcPr>
          <w:p>
            <w:pPr>
              <w:jc w:val="right"/>
              <w:ind w:right="813"/>
              <w:spacing w:after="0"/>
              <w:rPr>
                <w:sz w:val="20"/>
                <w:szCs w:val="20"/>
                <w:color w:val="auto"/>
              </w:rPr>
            </w:pPr>
            <w:r>
              <w:rPr>
                <w:rFonts w:ascii="Arial" w:cs="Arial" w:eastAsia="Arial" w:hAnsi="Arial"/>
                <w:sz w:val="18"/>
                <w:szCs w:val="18"/>
                <w:color w:val="auto"/>
              </w:rPr>
              <w:t>(110)</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r>
      <w:tr>
        <w:trPr>
          <w:trHeight w:val="222"/>
        </w:trPr>
        <w:tc>
          <w:tcPr>
            <w:tcW w:w="6940" w:type="dxa"/>
            <w:vAlign w:val="bottom"/>
          </w:tcPr>
          <w:p>
            <w:pPr>
              <w:ind w:left="20"/>
              <w:spacing w:after="0"/>
              <w:rPr>
                <w:sz w:val="20"/>
                <w:szCs w:val="20"/>
                <w:color w:val="auto"/>
              </w:rPr>
            </w:pPr>
            <w:r>
              <w:rPr>
                <w:rFonts w:ascii="Arial" w:cs="Arial" w:eastAsia="Arial" w:hAnsi="Arial"/>
                <w:sz w:val="18"/>
                <w:szCs w:val="18"/>
                <w:color w:val="auto"/>
                <w:w w:val="96"/>
              </w:rPr>
              <w:t>(Charge)/credit to other comprehensive income including noncontrolling interests, after tax</w:t>
            </w:r>
          </w:p>
        </w:tc>
        <w:tc>
          <w:tcPr>
            <w:tcW w:w="1460" w:type="dxa"/>
            <w:vAlign w:val="bottom"/>
          </w:tcPr>
          <w:p>
            <w:pPr>
              <w:jc w:val="right"/>
              <w:ind w:right="93"/>
              <w:spacing w:after="0"/>
              <w:rPr>
                <w:sz w:val="20"/>
                <w:szCs w:val="20"/>
                <w:color w:val="auto"/>
              </w:rPr>
            </w:pPr>
            <w:r>
              <w:rPr>
                <w:rFonts w:ascii="Arial" w:cs="Arial" w:eastAsia="Arial" w:hAnsi="Arial"/>
                <w:sz w:val="18"/>
                <w:szCs w:val="18"/>
                <w:color w:val="auto"/>
              </w:rPr>
              <w:t>4,043</w:t>
            </w:r>
          </w:p>
        </w:tc>
        <w:tc>
          <w:tcPr>
            <w:tcW w:w="2240" w:type="dxa"/>
            <w:vAlign w:val="bottom"/>
          </w:tcPr>
          <w:p>
            <w:pPr>
              <w:jc w:val="right"/>
              <w:ind w:right="853"/>
              <w:spacing w:after="0"/>
              <w:rPr>
                <w:sz w:val="20"/>
                <w:szCs w:val="20"/>
                <w:color w:val="auto"/>
              </w:rPr>
            </w:pPr>
            <w:r>
              <w:rPr>
                <w:rFonts w:ascii="Arial" w:cs="Arial" w:eastAsia="Arial" w:hAnsi="Arial"/>
                <w:sz w:val="18"/>
                <w:szCs w:val="18"/>
                <w:color w:val="auto"/>
              </w:rPr>
              <w:t>926</w:t>
            </w:r>
          </w:p>
        </w:tc>
        <w:tc>
          <w:tcPr>
            <w:tcW w:w="600" w:type="dxa"/>
            <w:vAlign w:val="bottom"/>
          </w:tcPr>
          <w:p>
            <w:pPr>
              <w:jc w:val="right"/>
              <w:spacing w:after="0"/>
              <w:rPr>
                <w:sz w:val="20"/>
                <w:szCs w:val="20"/>
                <w:color w:val="auto"/>
              </w:rPr>
            </w:pPr>
            <w:r>
              <w:rPr>
                <w:rFonts w:ascii="Arial" w:cs="Arial" w:eastAsia="Arial" w:hAnsi="Arial"/>
                <w:sz w:val="18"/>
                <w:szCs w:val="18"/>
                <w:color w:val="auto"/>
                <w:w w:val="98"/>
              </w:rPr>
              <w:t>(1,510)</w:t>
            </w:r>
          </w:p>
        </w:tc>
      </w:tr>
      <w:tr>
        <w:trPr>
          <w:trHeight w:val="230"/>
        </w:trPr>
        <w:tc>
          <w:tcPr>
            <w:tcW w:w="6940" w:type="dxa"/>
            <w:vAlign w:val="bottom"/>
          </w:tcPr>
          <w:p>
            <w:pPr>
              <w:ind w:left="20"/>
              <w:spacing w:after="0"/>
              <w:rPr>
                <w:sz w:val="20"/>
                <w:szCs w:val="20"/>
                <w:color w:val="auto"/>
              </w:rPr>
            </w:pPr>
            <w:r>
              <w:rPr>
                <w:rFonts w:ascii="Arial" w:cs="Arial" w:eastAsia="Arial" w:hAnsi="Arial"/>
                <w:sz w:val="18"/>
                <w:szCs w:val="18"/>
                <w:color w:val="auto"/>
              </w:rPr>
              <w:t>Charge/(credit) to equity of noncontrolling interests</w:t>
            </w:r>
          </w:p>
        </w:tc>
        <w:tc>
          <w:tcPr>
            <w:tcW w:w="14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(217)</w:t>
            </w:r>
          </w:p>
        </w:tc>
        <w:tc>
          <w:tcPr>
            <w:tcW w:w="2240" w:type="dxa"/>
            <w:vAlign w:val="bottom"/>
            <w:tcBorders>
              <w:bottom w:val="single" w:sz="8" w:color="auto"/>
            </w:tcBorders>
          </w:tcPr>
          <w:p>
            <w:pPr>
              <w:jc w:val="right"/>
              <w:ind w:right="853"/>
              <w:spacing w:after="0"/>
              <w:rPr>
                <w:sz w:val="20"/>
                <w:szCs w:val="20"/>
                <w:color w:val="auto"/>
              </w:rPr>
            </w:pPr>
            <w:r>
              <w:rPr>
                <w:rFonts w:ascii="Arial" w:cs="Arial" w:eastAsia="Arial" w:hAnsi="Arial"/>
                <w:sz w:val="18"/>
                <w:szCs w:val="18"/>
                <w:color w:val="auto"/>
              </w:rPr>
              <w:t>30</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r>
      <w:tr>
        <w:trPr>
          <w:trHeight w:val="223"/>
        </w:trPr>
        <w:tc>
          <w:tcPr>
            <w:tcW w:w="6940" w:type="dxa"/>
            <w:vAlign w:val="bottom"/>
          </w:tcPr>
          <w:p>
            <w:pPr>
              <w:ind w:left="20"/>
              <w:spacing w:after="0"/>
              <w:rPr>
                <w:sz w:val="20"/>
                <w:szCs w:val="20"/>
                <w:color w:val="auto"/>
              </w:rPr>
            </w:pPr>
            <w:r>
              <w:rPr>
                <w:rFonts w:ascii="Arial" w:cs="Arial" w:eastAsia="Arial" w:hAnsi="Arial"/>
                <w:sz w:val="18"/>
                <w:szCs w:val="18"/>
                <w:color w:val="auto"/>
              </w:rPr>
              <w:t>(Charge)/credit to other comprehensive income attributable to ExxonMobil</w:t>
            </w:r>
          </w:p>
        </w:tc>
        <w:tc>
          <w:tcPr>
            <w:tcW w:w="14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3,826</w:t>
            </w:r>
          </w:p>
        </w:tc>
        <w:tc>
          <w:tcPr>
            <w:tcW w:w="2240" w:type="dxa"/>
            <w:vAlign w:val="bottom"/>
            <w:tcBorders>
              <w:bottom w:val="single" w:sz="8" w:color="auto"/>
            </w:tcBorders>
          </w:tcPr>
          <w:p>
            <w:pPr>
              <w:jc w:val="right"/>
              <w:ind w:right="853"/>
              <w:spacing w:after="0"/>
              <w:rPr>
                <w:sz w:val="20"/>
                <w:szCs w:val="20"/>
                <w:color w:val="auto"/>
              </w:rPr>
            </w:pPr>
            <w:r>
              <w:rPr>
                <w:rFonts w:ascii="Arial" w:cs="Arial" w:eastAsia="Arial" w:hAnsi="Arial"/>
                <w:sz w:val="18"/>
                <w:szCs w:val="18"/>
                <w:color w:val="auto"/>
              </w:rPr>
              <w:t>956</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(1,364)</w:t>
            </w:r>
          </w:p>
        </w:tc>
      </w:tr>
    </w:tbl>
    <w:p>
      <w:pPr>
        <w:spacing w:after="0" w:line="2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Corporation’s investment strategy for benefit plan assets reflects a long-term view, a careful assessment of the risks inherent in plan assets and liabilities and broad diversification to reduce the risk of the portfolio. The benefit plan assets are primarily invested in passive global equity and local currency fixed income index funds to diversify risk while minimizing costs. The equity funds hold ExxonMobil stock only to the extent necessary to replicate the relevant equity index. The fixed income funds are largely invested in investment grade corporate and government debt securities with interest rate sensitivity designed to approximate the interest rate sensitivity of plan liabilities.</w:t>
      </w:r>
    </w:p>
    <w:p>
      <w:pPr>
        <w:spacing w:after="0" w:line="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Target asset allocations for benefit plans are reviewed periodically and set based on considerations such as risk, diversification, liquidity and funding level. The target asset allocations for the major benefit plans range from 10 to 30 percent in equity securities and the remainder in fixed income securities. The equity for the U.S. and certain non-U.S. plans include allocations to private equity partnerships that primarily focus on early-stage venture capital of less than 5 percent.</w:t>
      </w:r>
    </w:p>
    <w:p>
      <w:pPr>
        <w:spacing w:after="0" w:line="6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fair value measurement levels are accounting terms that refer to different methods of valuing assets. The terms do not represent the relative risk or credit quality of an investment.</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color w:val="auto"/>
        </w:rPr>
        <w:t>The 2021 fair value of the benefit plan assets, including the level within the fair value hierarchy, is shown in the tables below:</w:t>
      </w:r>
    </w:p>
    <w:p>
      <w:pPr>
        <w:spacing w:after="0" w:line="255" w:lineRule="exact"/>
        <w:rPr>
          <w:sz w:val="20"/>
          <w:szCs w:val="20"/>
          <w:color w:val="auto"/>
        </w:rPr>
      </w:pPr>
    </w:p>
    <w:p>
      <w:pPr>
        <w:jc w:val="right"/>
        <w:ind w:right="1740"/>
        <w:spacing w:after="0"/>
        <w:tabs>
          <w:tab w:leader="none" w:pos="1060" w:val="left"/>
        </w:tabs>
        <w:rPr>
          <w:sz w:val="20"/>
          <w:szCs w:val="20"/>
          <w:color w:val="auto"/>
        </w:rPr>
      </w:pPr>
      <w:r>
        <w:rPr>
          <w:rFonts w:ascii="Arial" w:cs="Arial" w:eastAsia="Arial" w:hAnsi="Arial"/>
          <w:sz w:val="14"/>
          <w:szCs w:val="14"/>
          <w:b w:val="1"/>
          <w:bCs w:val="1"/>
          <w:color w:val="auto"/>
        </w:rPr>
        <w:t>U.S. Pension</w:t>
      </w:r>
      <w:r>
        <w:rPr>
          <w:sz w:val="20"/>
          <w:szCs w:val="20"/>
          <w:color w:val="auto"/>
        </w:rPr>
        <w:tab/>
      </w:r>
      <w:r>
        <w:rPr>
          <w:rFonts w:ascii="Arial" w:cs="Arial" w:eastAsia="Arial" w:hAnsi="Arial"/>
          <w:sz w:val="12"/>
          <w:szCs w:val="12"/>
          <w:b w:val="1"/>
          <w:bCs w:val="1"/>
          <w:color w:val="auto"/>
        </w:rPr>
        <w:t>Non-U.S. Pension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1522095</wp:posOffset>
            </wp:positionH>
            <wp:positionV relativeFrom="paragraph">
              <wp:posOffset>23495</wp:posOffset>
            </wp:positionV>
            <wp:extent cx="561467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61467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42" w:lineRule="exact"/>
        <w:rPr>
          <w:sz w:val="20"/>
          <w:szCs w:val="20"/>
          <w:color w:val="auto"/>
        </w:rPr>
      </w:pPr>
    </w:p>
    <w:p>
      <w:pPr>
        <w:ind w:left="3300"/>
        <w:spacing w:after="0"/>
        <w:rPr>
          <w:sz w:val="20"/>
          <w:szCs w:val="20"/>
          <w:color w:val="auto"/>
        </w:rPr>
      </w:pPr>
      <w:r>
        <w:rPr>
          <w:rFonts w:ascii="Arial" w:cs="Arial" w:eastAsia="Arial" w:hAnsi="Arial"/>
          <w:sz w:val="13"/>
          <w:szCs w:val="13"/>
          <w:b w:val="1"/>
          <w:bCs w:val="1"/>
          <w:color w:val="auto"/>
        </w:rPr>
        <w:t>Fair Value Measurement at</w:t>
      </w:r>
    </w:p>
    <w:p>
      <w:pPr>
        <w:spacing w:after="0" w:line="2" w:lineRule="exact"/>
        <w:rPr>
          <w:sz w:val="20"/>
          <w:szCs w:val="20"/>
          <w:color w:val="auto"/>
        </w:rPr>
      </w:pPr>
    </w:p>
    <w:p>
      <w:pPr>
        <w:ind w:left="3320"/>
        <w:spacing w:after="0"/>
        <w:rPr>
          <w:sz w:val="20"/>
          <w:szCs w:val="20"/>
          <w:color w:val="auto"/>
        </w:rPr>
      </w:pPr>
      <w:r>
        <w:rPr>
          <w:rFonts w:ascii="Arial" w:cs="Arial" w:eastAsia="Arial" w:hAnsi="Arial"/>
          <w:sz w:val="13"/>
          <w:szCs w:val="13"/>
          <w:b w:val="1"/>
          <w:bCs w:val="1"/>
          <w:color w:val="auto"/>
        </w:rPr>
        <w:t>December 31, 2021, Using:</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Fair Value Measurement at</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December 31, 2021, Using:</w:t>
      </w:r>
    </w:p>
    <w:p>
      <w:pPr>
        <w:spacing w:after="0" w:line="21" w:lineRule="exact"/>
        <w:rPr>
          <w:sz w:val="20"/>
          <w:szCs w:val="20"/>
          <w:color w:val="auto"/>
        </w:rPr>
      </w:pPr>
    </w:p>
    <w:p>
      <w:pPr>
        <w:sectPr>
          <w:pgSz w:w="11900" w:h="16838" w:orient="portrait"/>
          <w:cols w:equalWidth="0" w:num="2">
            <w:col w:w="7000" w:space="720"/>
            <w:col w:w="352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141"/>
        </w:trPr>
        <w:tc>
          <w:tcPr>
            <w:tcW w:w="2400" w:type="dxa"/>
            <w:vAlign w:val="bottom"/>
          </w:tcPr>
          <w:p>
            <w:pPr>
              <w:spacing w:after="0"/>
              <w:rPr>
                <w:sz w:val="12"/>
                <w:szCs w:val="12"/>
                <w:color w:val="auto"/>
              </w:rPr>
            </w:pPr>
          </w:p>
        </w:tc>
        <w:tc>
          <w:tcPr>
            <w:tcW w:w="740" w:type="dxa"/>
            <w:vAlign w:val="bottom"/>
            <w:tcBorders>
              <w:top w:val="single" w:sz="8" w:color="auto"/>
            </w:tcBorders>
            <w:vMerge w:val="restart"/>
          </w:tcPr>
          <w:p>
            <w:pPr>
              <w:ind w:left="100"/>
              <w:spacing w:after="0"/>
              <w:rPr>
                <w:sz w:val="20"/>
                <w:szCs w:val="20"/>
                <w:color w:val="auto"/>
              </w:rPr>
            </w:pPr>
            <w:r>
              <w:rPr>
                <w:rFonts w:ascii="Arial" w:cs="Arial" w:eastAsia="Arial" w:hAnsi="Arial"/>
                <w:sz w:val="14"/>
                <w:szCs w:val="14"/>
                <w:b w:val="1"/>
                <w:bCs w:val="1"/>
                <w:color w:val="auto"/>
              </w:rPr>
              <w:t>Level 1</w:t>
            </w:r>
          </w:p>
        </w:tc>
        <w:tc>
          <w:tcPr>
            <w:tcW w:w="6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Level 2</w:t>
            </w:r>
          </w:p>
        </w:tc>
        <w:tc>
          <w:tcPr>
            <w:tcW w:w="3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vMerge w:val="restart"/>
          </w:tcPr>
          <w:p>
            <w:pPr>
              <w:ind w:left="200"/>
              <w:spacing w:after="0"/>
              <w:rPr>
                <w:sz w:val="20"/>
                <w:szCs w:val="20"/>
                <w:color w:val="auto"/>
              </w:rPr>
            </w:pPr>
            <w:r>
              <w:rPr>
                <w:rFonts w:ascii="Arial" w:cs="Arial" w:eastAsia="Arial" w:hAnsi="Arial"/>
                <w:sz w:val="14"/>
                <w:szCs w:val="14"/>
                <w:b w:val="1"/>
                <w:bCs w:val="1"/>
                <w:color w:val="auto"/>
              </w:rPr>
              <w:t>Level 3</w:t>
            </w:r>
          </w:p>
        </w:tc>
        <w:tc>
          <w:tcPr>
            <w:tcW w:w="880" w:type="dxa"/>
            <w:vAlign w:val="bottom"/>
            <w:tcBorders>
              <w:top w:val="single" w:sz="8" w:color="auto"/>
            </w:tcBorders>
            <w:gridSpan w:val="2"/>
          </w:tcPr>
          <w:p>
            <w:pPr>
              <w:jc w:val="center"/>
              <w:ind w:right="60"/>
              <w:spacing w:after="0" w:line="141" w:lineRule="exact"/>
              <w:rPr>
                <w:sz w:val="20"/>
                <w:szCs w:val="20"/>
                <w:color w:val="auto"/>
              </w:rPr>
            </w:pPr>
            <w:r>
              <w:rPr>
                <w:rFonts w:ascii="Arial" w:cs="Arial" w:eastAsia="Arial" w:hAnsi="Arial"/>
                <w:sz w:val="14"/>
                <w:szCs w:val="14"/>
                <w:b w:val="1"/>
                <w:bCs w:val="1"/>
                <w:color w:val="auto"/>
                <w:w w:val="89"/>
              </w:rPr>
              <w:t>Net Asset</w:t>
            </w:r>
          </w:p>
        </w:tc>
        <w:tc>
          <w:tcPr>
            <w:tcW w:w="68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2"/>
                <w:szCs w:val="12"/>
                <w:color w:val="auto"/>
              </w:rPr>
            </w:pPr>
          </w:p>
        </w:tc>
        <w:tc>
          <w:tcPr>
            <w:tcW w:w="6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Level 1</w:t>
            </w:r>
          </w:p>
        </w:tc>
        <w:tc>
          <w:tcPr>
            <w:tcW w:w="4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4"/>
                <w:szCs w:val="14"/>
                <w:b w:val="1"/>
                <w:bCs w:val="1"/>
                <w:color w:val="auto"/>
              </w:rPr>
              <w:t>Level 2</w:t>
            </w:r>
          </w:p>
        </w:tc>
        <w:tc>
          <w:tcPr>
            <w:tcW w:w="3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vMerge w:val="restart"/>
          </w:tcPr>
          <w:p>
            <w:pPr>
              <w:ind w:left="220"/>
              <w:spacing w:after="0"/>
              <w:rPr>
                <w:sz w:val="20"/>
                <w:szCs w:val="20"/>
                <w:color w:val="auto"/>
              </w:rPr>
            </w:pPr>
            <w:r>
              <w:rPr>
                <w:rFonts w:ascii="Arial" w:cs="Arial" w:eastAsia="Arial" w:hAnsi="Arial"/>
                <w:sz w:val="14"/>
                <w:szCs w:val="14"/>
                <w:b w:val="1"/>
                <w:bCs w:val="1"/>
                <w:color w:val="auto"/>
              </w:rPr>
              <w:t>Level 3</w:t>
            </w:r>
          </w:p>
        </w:tc>
        <w:tc>
          <w:tcPr>
            <w:tcW w:w="740" w:type="dxa"/>
            <w:vAlign w:val="bottom"/>
            <w:tcBorders>
              <w:top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w w:val="89"/>
              </w:rPr>
              <w:t>Net Asset</w:t>
            </w:r>
          </w:p>
        </w:tc>
        <w:tc>
          <w:tcPr>
            <w:tcW w:w="120" w:type="dxa"/>
            <w:vAlign w:val="bottom"/>
          </w:tcPr>
          <w:p>
            <w:pPr>
              <w:spacing w:after="0"/>
              <w:rPr>
                <w:sz w:val="12"/>
                <w:szCs w:val="12"/>
                <w:color w:val="auto"/>
              </w:rPr>
            </w:pPr>
          </w:p>
        </w:tc>
        <w:tc>
          <w:tcPr>
            <w:tcW w:w="68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2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4"/>
                <w:szCs w:val="14"/>
                <w:b w:val="1"/>
                <w:bCs w:val="1"/>
                <w:color w:val="auto"/>
                <w:w w:val="90"/>
              </w:rPr>
              <w:t>Value</w:t>
            </w:r>
          </w:p>
        </w:tc>
        <w:tc>
          <w:tcPr>
            <w:tcW w:w="6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4"/>
                <w:szCs w:val="14"/>
                <w:b w:val="1"/>
                <w:bCs w:val="1"/>
                <w:color w:val="auto"/>
                <w:w w:val="96"/>
              </w:rPr>
              <w:t>Value</w:t>
            </w:r>
          </w:p>
        </w:tc>
        <w:tc>
          <w:tcPr>
            <w:tcW w:w="6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gridSpan w:val="4"/>
          </w:tcPr>
          <w:p>
            <w:pPr>
              <w:jc w:val="right"/>
              <w:ind w:right="266"/>
              <w:spacing w:after="0"/>
              <w:rPr>
                <w:sz w:val="20"/>
                <w:szCs w:val="20"/>
                <w:color w:val="auto"/>
              </w:rPr>
            </w:pPr>
            <w:r>
              <w:rPr>
                <w:rFonts w:ascii="Arial" w:cs="Arial" w:eastAsia="Arial" w:hAnsi="Arial"/>
                <w:sz w:val="14"/>
                <w:szCs w:val="14"/>
                <w:i w:val="1"/>
                <w:iCs w:val="1"/>
                <w:color w:val="auto"/>
              </w:rPr>
              <w:t>(millions of dollars)</w:t>
            </w: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400" w:type="dxa"/>
            <w:vAlign w:val="bottom"/>
          </w:tcPr>
          <w:p>
            <w:pPr>
              <w:ind w:left="20"/>
              <w:spacing w:after="0"/>
              <w:rPr>
                <w:sz w:val="20"/>
                <w:szCs w:val="20"/>
                <w:color w:val="auto"/>
              </w:rPr>
            </w:pPr>
            <w:r>
              <w:rPr>
                <w:rFonts w:ascii="Arial" w:cs="Arial" w:eastAsia="Arial" w:hAnsi="Arial"/>
                <w:sz w:val="18"/>
                <w:szCs w:val="18"/>
                <w:color w:val="auto"/>
              </w:rPr>
              <w:t>Asset category:</w:t>
            </w:r>
          </w:p>
        </w:tc>
        <w:tc>
          <w:tcPr>
            <w:tcW w:w="7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400" w:type="dxa"/>
            <w:vAlign w:val="bottom"/>
          </w:tcPr>
          <w:p>
            <w:pPr>
              <w:ind w:left="220"/>
              <w:spacing w:after="0"/>
              <w:rPr>
                <w:sz w:val="20"/>
                <w:szCs w:val="20"/>
                <w:color w:val="auto"/>
              </w:rPr>
            </w:pPr>
            <w:r>
              <w:rPr>
                <w:rFonts w:ascii="Arial" w:cs="Arial" w:eastAsia="Arial" w:hAnsi="Arial"/>
                <w:sz w:val="18"/>
                <w:szCs w:val="18"/>
                <w:color w:val="auto"/>
              </w:rPr>
              <w:t>Equity securities</w:t>
            </w: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00" w:type="dxa"/>
            <w:vAlign w:val="bottom"/>
          </w:tcPr>
          <w:p>
            <w:pPr>
              <w:ind w:left="480"/>
              <w:spacing w:after="0"/>
              <w:rPr>
                <w:sz w:val="20"/>
                <w:szCs w:val="20"/>
                <w:color w:val="auto"/>
              </w:rPr>
            </w:pPr>
            <w:r>
              <w:rPr>
                <w:rFonts w:ascii="Arial" w:cs="Arial" w:eastAsia="Arial" w:hAnsi="Arial"/>
                <w:sz w:val="18"/>
                <w:szCs w:val="18"/>
                <w:color w:val="auto"/>
              </w:rPr>
              <w:t>U.S.</w:t>
            </w:r>
          </w:p>
        </w:tc>
        <w:tc>
          <w:tcPr>
            <w:tcW w:w="740" w:type="dxa"/>
            <w:vAlign w:val="bottom"/>
          </w:tcPr>
          <w:p>
            <w:pPr>
              <w:ind w:left="4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20" w:type="dxa"/>
            <w:vAlign w:val="bottom"/>
          </w:tcPr>
          <w:p>
            <w:pPr>
              <w:ind w:left="5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1,956</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1,956</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40" w:type="dxa"/>
            <w:vAlign w:val="bottom"/>
          </w:tcPr>
          <w:p>
            <w:pPr>
              <w:ind w:left="5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3,416</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3,416</w:t>
            </w:r>
          </w:p>
        </w:tc>
        <w:tc>
          <w:tcPr>
            <w:tcW w:w="0" w:type="dxa"/>
            <w:vAlign w:val="bottom"/>
          </w:tcPr>
          <w:p>
            <w:pPr>
              <w:spacing w:after="0"/>
              <w:rPr>
                <w:sz w:val="1"/>
                <w:szCs w:val="1"/>
                <w:color w:val="auto"/>
              </w:rPr>
            </w:pPr>
          </w:p>
        </w:tc>
      </w:tr>
      <w:tr>
        <w:trPr>
          <w:trHeight w:val="229"/>
        </w:trPr>
        <w:tc>
          <w:tcPr>
            <w:tcW w:w="2400" w:type="dxa"/>
            <w:vAlign w:val="bottom"/>
          </w:tcPr>
          <w:p>
            <w:pPr>
              <w:ind w:left="480"/>
              <w:spacing w:after="0"/>
              <w:rPr>
                <w:sz w:val="20"/>
                <w:szCs w:val="20"/>
                <w:color w:val="auto"/>
              </w:rPr>
            </w:pPr>
            <w:r>
              <w:rPr>
                <w:rFonts w:ascii="Arial" w:cs="Arial" w:eastAsia="Arial" w:hAnsi="Arial"/>
                <w:sz w:val="18"/>
                <w:szCs w:val="18"/>
                <w:color w:val="auto"/>
              </w:rPr>
              <w:t>Non-U.S.</w:t>
            </w:r>
          </w:p>
        </w:tc>
        <w:tc>
          <w:tcPr>
            <w:tcW w:w="740" w:type="dxa"/>
            <w:vAlign w:val="bottom"/>
          </w:tcPr>
          <w:p>
            <w:pPr>
              <w:ind w:left="4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20" w:type="dxa"/>
            <w:vAlign w:val="bottom"/>
          </w:tcPr>
          <w:p>
            <w:pPr>
              <w:ind w:left="5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1,290</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1,290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400" w:type="dxa"/>
            <w:vAlign w:val="bottom"/>
          </w:tcPr>
          <w:p>
            <w:pPr>
              <w:jc w:val="right"/>
              <w:ind w:right="166"/>
              <w:spacing w:after="0"/>
              <w:rPr>
                <w:sz w:val="20"/>
                <w:szCs w:val="20"/>
                <w:color w:val="auto"/>
              </w:rPr>
            </w:pPr>
            <w:r>
              <w:rPr>
                <w:rFonts w:ascii="Arial" w:cs="Arial" w:eastAsia="Arial" w:hAnsi="Arial"/>
                <w:sz w:val="11"/>
                <w:szCs w:val="11"/>
                <w:i w:val="1"/>
                <w:iCs w:val="1"/>
                <w:color w:val="auto"/>
              </w:rPr>
              <w:t>(1)</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40" w:type="dxa"/>
            <w:vAlign w:val="bottom"/>
          </w:tcPr>
          <w:p>
            <w:pPr>
              <w:ind w:left="5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2,424</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29"/>
        </w:trPr>
        <w:tc>
          <w:tcPr>
            <w:tcW w:w="2400" w:type="dxa"/>
            <w:vAlign w:val="bottom"/>
          </w:tcPr>
          <w:p>
            <w:pPr>
              <w:ind w:left="220"/>
              <w:spacing w:after="0"/>
              <w:rPr>
                <w:sz w:val="20"/>
                <w:szCs w:val="20"/>
                <w:color w:val="auto"/>
              </w:rPr>
            </w:pPr>
            <w:r>
              <w:rPr>
                <w:rFonts w:ascii="Arial" w:cs="Arial" w:eastAsia="Arial" w:hAnsi="Arial"/>
                <w:sz w:val="18"/>
                <w:szCs w:val="18"/>
                <w:color w:val="auto"/>
              </w:rPr>
              <w:t>Private equity</w:t>
            </w:r>
          </w:p>
        </w:tc>
        <w:tc>
          <w:tcPr>
            <w:tcW w:w="740" w:type="dxa"/>
            <w:vAlign w:val="bottom"/>
          </w:tcPr>
          <w:p>
            <w:pPr>
              <w:ind w:left="4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20" w:type="dxa"/>
            <w:vAlign w:val="bottom"/>
          </w:tcPr>
          <w:p>
            <w:pPr>
              <w:ind w:left="5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661</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661</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40" w:type="dxa"/>
            <w:vAlign w:val="bottom"/>
          </w:tcPr>
          <w:p>
            <w:pPr>
              <w:ind w:left="5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627</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30"/>
        </w:trPr>
        <w:tc>
          <w:tcPr>
            <w:tcW w:w="2400" w:type="dxa"/>
            <w:vAlign w:val="bottom"/>
          </w:tcPr>
          <w:p>
            <w:pPr>
              <w:ind w:left="220"/>
              <w:spacing w:after="0"/>
              <w:rPr>
                <w:sz w:val="20"/>
                <w:szCs w:val="20"/>
                <w:color w:val="auto"/>
              </w:rPr>
            </w:pPr>
            <w:r>
              <w:rPr>
                <w:rFonts w:ascii="Arial" w:cs="Arial" w:eastAsia="Arial" w:hAnsi="Arial"/>
                <w:sz w:val="18"/>
                <w:szCs w:val="18"/>
                <w:color w:val="auto"/>
              </w:rPr>
              <w:t>Debt securities</w:t>
            </w: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00" w:type="dxa"/>
            <w:vAlign w:val="bottom"/>
          </w:tcPr>
          <w:p>
            <w:pPr>
              <w:ind w:left="480"/>
              <w:spacing w:after="0"/>
              <w:rPr>
                <w:sz w:val="20"/>
                <w:szCs w:val="20"/>
                <w:color w:val="auto"/>
              </w:rPr>
            </w:pPr>
            <w:r>
              <w:rPr>
                <w:rFonts w:ascii="Arial" w:cs="Arial" w:eastAsia="Arial" w:hAnsi="Arial"/>
                <w:sz w:val="18"/>
                <w:szCs w:val="18"/>
                <w:color w:val="auto"/>
              </w:rPr>
              <w:t>Corporate</w:t>
            </w:r>
          </w:p>
        </w:tc>
        <w:tc>
          <w:tcPr>
            <w:tcW w:w="740" w:type="dxa"/>
            <w:vAlign w:val="bottom"/>
          </w:tcPr>
          <w:p>
            <w:pPr>
              <w:ind w:left="4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5,242</w:t>
            </w:r>
          </w:p>
        </w:tc>
        <w:tc>
          <w:tcPr>
            <w:tcW w:w="380" w:type="dxa"/>
            <w:vAlign w:val="bottom"/>
          </w:tcPr>
          <w:p>
            <w:pPr>
              <w:jc w:val="right"/>
              <w:ind w:right="146"/>
              <w:spacing w:after="0"/>
              <w:rPr>
                <w:sz w:val="20"/>
                <w:szCs w:val="20"/>
                <w:color w:val="auto"/>
              </w:rPr>
            </w:pPr>
            <w:r>
              <w:rPr>
                <w:rFonts w:ascii="Arial" w:cs="Arial" w:eastAsia="Arial" w:hAnsi="Arial"/>
                <w:sz w:val="11"/>
                <w:szCs w:val="11"/>
                <w:i w:val="1"/>
                <w:iCs w:val="1"/>
                <w:color w:val="auto"/>
              </w:rPr>
              <w:t>(2)</w:t>
            </w:r>
          </w:p>
        </w:tc>
        <w:tc>
          <w:tcPr>
            <w:tcW w:w="820" w:type="dxa"/>
            <w:vAlign w:val="bottom"/>
          </w:tcPr>
          <w:p>
            <w:pPr>
              <w:ind w:left="5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5,243</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119</w:t>
            </w:r>
          </w:p>
        </w:tc>
        <w:tc>
          <w:tcPr>
            <w:tcW w:w="380" w:type="dxa"/>
            <w:vAlign w:val="bottom"/>
          </w:tcPr>
          <w:p>
            <w:pPr>
              <w:jc w:val="right"/>
              <w:ind w:right="166"/>
              <w:spacing w:after="0"/>
              <w:rPr>
                <w:sz w:val="20"/>
                <w:szCs w:val="20"/>
                <w:color w:val="auto"/>
              </w:rPr>
            </w:pPr>
            <w:r>
              <w:rPr>
                <w:rFonts w:ascii="Arial" w:cs="Arial" w:eastAsia="Arial" w:hAnsi="Arial"/>
                <w:sz w:val="11"/>
                <w:szCs w:val="11"/>
                <w:i w:val="1"/>
                <w:iCs w:val="1"/>
                <w:color w:val="auto"/>
              </w:rPr>
              <w:t>(2)</w:t>
            </w:r>
          </w:p>
        </w:tc>
        <w:tc>
          <w:tcPr>
            <w:tcW w:w="840" w:type="dxa"/>
            <w:vAlign w:val="bottom"/>
          </w:tcPr>
          <w:p>
            <w:pPr>
              <w:ind w:left="5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5,831</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5,950</w:t>
            </w:r>
          </w:p>
        </w:tc>
        <w:tc>
          <w:tcPr>
            <w:tcW w:w="0" w:type="dxa"/>
            <w:vAlign w:val="bottom"/>
          </w:tcPr>
          <w:p>
            <w:pPr>
              <w:spacing w:after="0"/>
              <w:rPr>
                <w:sz w:val="1"/>
                <w:szCs w:val="1"/>
                <w:color w:val="auto"/>
              </w:rPr>
            </w:pPr>
          </w:p>
        </w:tc>
      </w:tr>
      <w:tr>
        <w:trPr>
          <w:trHeight w:val="229"/>
        </w:trPr>
        <w:tc>
          <w:tcPr>
            <w:tcW w:w="2400" w:type="dxa"/>
            <w:vAlign w:val="bottom"/>
          </w:tcPr>
          <w:p>
            <w:pPr>
              <w:ind w:left="480"/>
              <w:spacing w:after="0"/>
              <w:rPr>
                <w:sz w:val="20"/>
                <w:szCs w:val="20"/>
                <w:color w:val="auto"/>
              </w:rPr>
            </w:pPr>
            <w:r>
              <w:rPr>
                <w:rFonts w:ascii="Arial" w:cs="Arial" w:eastAsia="Arial" w:hAnsi="Arial"/>
                <w:sz w:val="18"/>
                <w:szCs w:val="18"/>
                <w:color w:val="auto"/>
              </w:rPr>
              <w:t>Government</w:t>
            </w:r>
          </w:p>
        </w:tc>
        <w:tc>
          <w:tcPr>
            <w:tcW w:w="740" w:type="dxa"/>
            <w:vAlign w:val="bottom"/>
          </w:tcPr>
          <w:p>
            <w:pPr>
              <w:ind w:left="4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3,945</w:t>
            </w:r>
          </w:p>
        </w:tc>
        <w:tc>
          <w:tcPr>
            <w:tcW w:w="380" w:type="dxa"/>
            <w:vAlign w:val="bottom"/>
          </w:tcPr>
          <w:p>
            <w:pPr>
              <w:jc w:val="right"/>
              <w:ind w:right="146"/>
              <w:spacing w:after="0"/>
              <w:rPr>
                <w:sz w:val="20"/>
                <w:szCs w:val="20"/>
                <w:color w:val="auto"/>
              </w:rPr>
            </w:pPr>
            <w:r>
              <w:rPr>
                <w:rFonts w:ascii="Arial" w:cs="Arial" w:eastAsia="Arial" w:hAnsi="Arial"/>
                <w:sz w:val="11"/>
                <w:szCs w:val="11"/>
                <w:i w:val="1"/>
                <w:iCs w:val="1"/>
                <w:color w:val="auto"/>
              </w:rPr>
              <w:t>(2)</w:t>
            </w:r>
          </w:p>
        </w:tc>
        <w:tc>
          <w:tcPr>
            <w:tcW w:w="820" w:type="dxa"/>
            <w:vAlign w:val="bottom"/>
          </w:tcPr>
          <w:p>
            <w:pPr>
              <w:ind w:left="5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3,947</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209</w:t>
            </w:r>
          </w:p>
        </w:tc>
        <w:tc>
          <w:tcPr>
            <w:tcW w:w="400" w:type="dxa"/>
            <w:vAlign w:val="bottom"/>
          </w:tcPr>
          <w:p>
            <w:pPr>
              <w:jc w:val="right"/>
              <w:ind w:right="166"/>
              <w:spacing w:after="0"/>
              <w:rPr>
                <w:sz w:val="20"/>
                <w:szCs w:val="20"/>
                <w:color w:val="auto"/>
              </w:rPr>
            </w:pPr>
            <w:r>
              <w:rPr>
                <w:rFonts w:ascii="Arial" w:cs="Arial" w:eastAsia="Arial" w:hAnsi="Arial"/>
                <w:sz w:val="11"/>
                <w:szCs w:val="11"/>
                <w:i w:val="1"/>
                <w:iCs w:val="1"/>
                <w:color w:val="auto"/>
              </w:rPr>
              <w:t>(3)</w:t>
            </w:r>
          </w:p>
        </w:tc>
        <w:tc>
          <w:tcPr>
            <w:tcW w:w="760" w:type="dxa"/>
            <w:vAlign w:val="bottom"/>
          </w:tcPr>
          <w:p>
            <w:pPr>
              <w:jc w:val="right"/>
              <w:spacing w:after="0"/>
              <w:rPr>
                <w:sz w:val="20"/>
                <w:szCs w:val="20"/>
                <w:color w:val="auto"/>
              </w:rPr>
            </w:pPr>
            <w:r>
              <w:rPr>
                <w:rFonts w:ascii="Arial" w:cs="Arial" w:eastAsia="Arial" w:hAnsi="Arial"/>
                <w:sz w:val="18"/>
                <w:szCs w:val="18"/>
                <w:color w:val="auto"/>
              </w:rPr>
              <w:t>97</w:t>
            </w:r>
          </w:p>
        </w:tc>
        <w:tc>
          <w:tcPr>
            <w:tcW w:w="380" w:type="dxa"/>
            <w:vAlign w:val="bottom"/>
          </w:tcPr>
          <w:p>
            <w:pPr>
              <w:jc w:val="right"/>
              <w:ind w:right="166"/>
              <w:spacing w:after="0"/>
              <w:rPr>
                <w:sz w:val="20"/>
                <w:szCs w:val="20"/>
                <w:color w:val="auto"/>
              </w:rPr>
            </w:pPr>
            <w:r>
              <w:rPr>
                <w:rFonts w:ascii="Arial" w:cs="Arial" w:eastAsia="Arial" w:hAnsi="Arial"/>
                <w:sz w:val="11"/>
                <w:szCs w:val="11"/>
                <w:i w:val="1"/>
                <w:iCs w:val="1"/>
                <w:color w:val="auto"/>
              </w:rPr>
              <w:t>(2)</w:t>
            </w:r>
          </w:p>
        </w:tc>
        <w:tc>
          <w:tcPr>
            <w:tcW w:w="840" w:type="dxa"/>
            <w:vAlign w:val="bottom"/>
          </w:tcPr>
          <w:p>
            <w:pPr>
              <w:ind w:left="5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11,620</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11,926</w:t>
            </w:r>
          </w:p>
        </w:tc>
        <w:tc>
          <w:tcPr>
            <w:tcW w:w="0" w:type="dxa"/>
            <w:vAlign w:val="bottom"/>
          </w:tcPr>
          <w:p>
            <w:pPr>
              <w:spacing w:after="0"/>
              <w:rPr>
                <w:sz w:val="1"/>
                <w:szCs w:val="1"/>
                <w:color w:val="auto"/>
              </w:rPr>
            </w:pPr>
          </w:p>
        </w:tc>
      </w:tr>
      <w:tr>
        <w:trPr>
          <w:trHeight w:val="230"/>
        </w:trPr>
        <w:tc>
          <w:tcPr>
            <w:tcW w:w="2400" w:type="dxa"/>
            <w:vAlign w:val="bottom"/>
          </w:tcPr>
          <w:p>
            <w:pPr>
              <w:ind w:left="480"/>
              <w:spacing w:after="0"/>
              <w:rPr>
                <w:sz w:val="20"/>
                <w:szCs w:val="20"/>
                <w:color w:val="auto"/>
              </w:rPr>
            </w:pPr>
            <w:r>
              <w:rPr>
                <w:rFonts w:ascii="Arial" w:cs="Arial" w:eastAsia="Arial" w:hAnsi="Arial"/>
                <w:sz w:val="18"/>
                <w:szCs w:val="18"/>
                <w:color w:val="auto"/>
              </w:rPr>
              <w:t>Asset-backed</w:t>
            </w:r>
          </w:p>
        </w:tc>
        <w:tc>
          <w:tcPr>
            <w:tcW w:w="740" w:type="dxa"/>
            <w:vAlign w:val="bottom"/>
          </w:tcPr>
          <w:p>
            <w:pPr>
              <w:ind w:left="4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20" w:type="dxa"/>
            <w:vAlign w:val="bottom"/>
          </w:tcPr>
          <w:p>
            <w:pPr>
              <w:ind w:left="5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w:t>
            </w:r>
          </w:p>
        </w:tc>
        <w:tc>
          <w:tcPr>
            <w:tcW w:w="380" w:type="dxa"/>
            <w:vAlign w:val="bottom"/>
          </w:tcPr>
          <w:p>
            <w:pPr>
              <w:jc w:val="right"/>
              <w:ind w:right="166"/>
              <w:spacing w:after="0"/>
              <w:rPr>
                <w:sz w:val="20"/>
                <w:szCs w:val="20"/>
                <w:color w:val="auto"/>
              </w:rPr>
            </w:pPr>
            <w:r>
              <w:rPr>
                <w:rFonts w:ascii="Arial" w:cs="Arial" w:eastAsia="Arial" w:hAnsi="Arial"/>
                <w:sz w:val="11"/>
                <w:szCs w:val="11"/>
                <w:i w:val="1"/>
                <w:iCs w:val="1"/>
                <w:color w:val="auto"/>
              </w:rPr>
              <w:t>(2)</w:t>
            </w:r>
          </w:p>
        </w:tc>
        <w:tc>
          <w:tcPr>
            <w:tcW w:w="840" w:type="dxa"/>
            <w:vAlign w:val="bottom"/>
          </w:tcPr>
          <w:p>
            <w:pPr>
              <w:ind w:left="5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30"/>
        </w:trPr>
        <w:tc>
          <w:tcPr>
            <w:tcW w:w="2400" w:type="dxa"/>
            <w:vAlign w:val="bottom"/>
          </w:tcPr>
          <w:p>
            <w:pPr>
              <w:ind w:left="220"/>
              <w:spacing w:after="0"/>
              <w:rPr>
                <w:sz w:val="20"/>
                <w:szCs w:val="20"/>
                <w:color w:val="auto"/>
              </w:rPr>
            </w:pPr>
            <w:r>
              <w:rPr>
                <w:rFonts w:ascii="Arial" w:cs="Arial" w:eastAsia="Arial" w:hAnsi="Arial"/>
                <w:sz w:val="18"/>
                <w:szCs w:val="18"/>
                <w:color w:val="auto"/>
              </w:rPr>
              <w:t>Cash</w:t>
            </w:r>
          </w:p>
        </w:tc>
        <w:tc>
          <w:tcPr>
            <w:tcW w:w="74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62</w:t>
            </w:r>
          </w:p>
        </w:tc>
        <w:tc>
          <w:tcPr>
            <w:tcW w:w="4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38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i w:val="1"/>
                <w:iCs w:val="1"/>
                <w:color w:val="auto"/>
              </w:rPr>
              <w:t>(4)</w:t>
            </w:r>
          </w:p>
        </w:tc>
        <w:tc>
          <w:tcPr>
            <w:tcW w:w="84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23"/>
        </w:trPr>
        <w:tc>
          <w:tcPr>
            <w:tcW w:w="2400" w:type="dxa"/>
            <w:vAlign w:val="bottom"/>
          </w:tcPr>
          <w:p>
            <w:pPr>
              <w:ind w:left="20"/>
              <w:spacing w:after="0"/>
              <w:rPr>
                <w:sz w:val="20"/>
                <w:szCs w:val="20"/>
                <w:color w:val="auto"/>
              </w:rPr>
            </w:pPr>
            <w:r>
              <w:rPr>
                <w:rFonts w:ascii="Arial" w:cs="Arial" w:eastAsia="Arial" w:hAnsi="Arial"/>
                <w:sz w:val="18"/>
                <w:szCs w:val="18"/>
                <w:color w:val="auto"/>
              </w:rPr>
              <w:t>Total at fair value</w:t>
            </w:r>
          </w:p>
        </w:tc>
        <w:tc>
          <w:tcPr>
            <w:tcW w:w="740" w:type="dxa"/>
            <w:vAlign w:val="bottom"/>
          </w:tcPr>
          <w:p>
            <w:pPr>
              <w:ind w:left="4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9,187</w:t>
            </w:r>
          </w:p>
        </w:tc>
        <w:tc>
          <w:tcPr>
            <w:tcW w:w="380" w:type="dxa"/>
            <w:vAlign w:val="bottom"/>
          </w:tcPr>
          <w:p>
            <w:pPr>
              <w:spacing w:after="0"/>
              <w:rPr>
                <w:sz w:val="19"/>
                <w:szCs w:val="19"/>
                <w:color w:val="auto"/>
              </w:rPr>
            </w:pPr>
          </w:p>
        </w:tc>
        <w:tc>
          <w:tcPr>
            <w:tcW w:w="820" w:type="dxa"/>
            <w:vAlign w:val="bottom"/>
          </w:tcPr>
          <w:p>
            <w:pPr>
              <w:ind w:left="5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4,073</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13,260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347</w:t>
            </w: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294</w:t>
            </w:r>
          </w:p>
        </w:tc>
        <w:tc>
          <w:tcPr>
            <w:tcW w:w="380" w:type="dxa"/>
            <w:vAlign w:val="bottom"/>
          </w:tcPr>
          <w:p>
            <w:pPr>
              <w:spacing w:after="0"/>
              <w:rPr>
                <w:sz w:val="19"/>
                <w:szCs w:val="19"/>
                <w:color w:val="auto"/>
              </w:rPr>
            </w:pPr>
          </w:p>
        </w:tc>
        <w:tc>
          <w:tcPr>
            <w:tcW w:w="840" w:type="dxa"/>
            <w:vAlign w:val="bottom"/>
          </w:tcPr>
          <w:p>
            <w:pPr>
              <w:ind w:left="5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24,217</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24,858</w:t>
            </w:r>
          </w:p>
        </w:tc>
        <w:tc>
          <w:tcPr>
            <w:tcW w:w="0" w:type="dxa"/>
            <w:vAlign w:val="bottom"/>
          </w:tcPr>
          <w:p>
            <w:pPr>
              <w:spacing w:after="0"/>
              <w:rPr>
                <w:sz w:val="1"/>
                <w:szCs w:val="1"/>
                <w:color w:val="auto"/>
              </w:rPr>
            </w:pPr>
          </w:p>
        </w:tc>
      </w:tr>
      <w:tr>
        <w:trPr>
          <w:trHeight w:val="155"/>
        </w:trPr>
        <w:tc>
          <w:tcPr>
            <w:tcW w:w="2400" w:type="dxa"/>
            <w:vAlign w:val="bottom"/>
          </w:tcPr>
          <w:p>
            <w:pPr>
              <w:ind w:left="480"/>
              <w:spacing w:after="0" w:line="156" w:lineRule="exact"/>
              <w:rPr>
                <w:sz w:val="20"/>
                <w:szCs w:val="20"/>
                <w:color w:val="auto"/>
              </w:rPr>
            </w:pPr>
            <w:r>
              <w:rPr>
                <w:rFonts w:ascii="Arial" w:cs="Arial" w:eastAsia="Arial" w:hAnsi="Arial"/>
                <w:sz w:val="18"/>
                <w:szCs w:val="18"/>
                <w:color w:val="auto"/>
              </w:rPr>
              <w:t>Insurance contracts at</w:t>
            </w:r>
          </w:p>
        </w:tc>
        <w:tc>
          <w:tcPr>
            <w:tcW w:w="7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5"/>
        </w:trPr>
        <w:tc>
          <w:tcPr>
            <w:tcW w:w="2400" w:type="dxa"/>
            <w:vAlign w:val="bottom"/>
          </w:tcPr>
          <w:p>
            <w:pPr>
              <w:ind w:left="480"/>
              <w:spacing w:after="0"/>
              <w:rPr>
                <w:sz w:val="20"/>
                <w:szCs w:val="20"/>
                <w:color w:val="auto"/>
              </w:rPr>
            </w:pPr>
            <w:r>
              <w:rPr>
                <w:rFonts w:ascii="Arial" w:cs="Arial" w:eastAsia="Arial" w:hAnsi="Arial"/>
                <w:sz w:val="18"/>
                <w:szCs w:val="18"/>
                <w:color w:val="auto"/>
              </w:rPr>
              <w:t>contract value</w:t>
            </w: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00" w:type="dxa"/>
            <w:vAlign w:val="bottom"/>
          </w:tcPr>
          <w:p>
            <w:pPr>
              <w:ind w:left="20"/>
              <w:spacing w:after="0"/>
              <w:rPr>
                <w:sz w:val="20"/>
                <w:szCs w:val="20"/>
                <w:color w:val="auto"/>
              </w:rPr>
            </w:pPr>
            <w:r>
              <w:rPr>
                <w:rFonts w:ascii="Arial" w:cs="Arial" w:eastAsia="Arial" w:hAnsi="Arial"/>
                <w:sz w:val="18"/>
                <w:szCs w:val="18"/>
                <w:color w:val="auto"/>
              </w:rPr>
              <w:t>Total plan assets</w:t>
            </w: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13,266</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24,880</w:t>
            </w:r>
          </w:p>
        </w:tc>
        <w:tc>
          <w:tcPr>
            <w:tcW w:w="0" w:type="dxa"/>
            <w:vAlign w:val="bottom"/>
          </w:tcPr>
          <w:p>
            <w:pPr>
              <w:spacing w:after="0"/>
              <w:rPr>
                <w:sz w:val="1"/>
                <w:szCs w:val="1"/>
                <w:color w:val="auto"/>
              </w:rPr>
            </w:pPr>
          </w:p>
        </w:tc>
      </w:tr>
    </w:tbl>
    <w:p>
      <w:pPr>
        <w:spacing w:after="0" w:line="377" w:lineRule="exact"/>
        <w:rPr>
          <w:sz w:val="20"/>
          <w:szCs w:val="20"/>
          <w:color w:val="auto"/>
        </w:rPr>
      </w:pPr>
    </w:p>
    <w:p>
      <w:pPr>
        <w:ind w:left="320" w:hanging="312"/>
        <w:spacing w:after="0"/>
        <w:tabs>
          <w:tab w:leader="none" w:pos="320" w:val="left"/>
        </w:tabs>
        <w:numPr>
          <w:ilvl w:val="0"/>
          <w:numId w:val="27"/>
        </w:numPr>
        <w:rPr>
          <w:rFonts w:ascii="Arial" w:cs="Arial" w:eastAsia="Arial" w:hAnsi="Arial"/>
          <w:sz w:val="18"/>
          <w:szCs w:val="18"/>
          <w:i w:val="1"/>
          <w:iCs w:val="1"/>
          <w:color w:val="auto"/>
        </w:rPr>
      </w:pPr>
      <w:r>
        <w:rPr>
          <w:rFonts w:ascii="Arial" w:cs="Arial" w:eastAsia="Arial" w:hAnsi="Arial"/>
          <w:sz w:val="18"/>
          <w:szCs w:val="18"/>
          <w:i w:val="1"/>
          <w:iCs w:val="1"/>
          <w:color w:val="auto"/>
        </w:rPr>
        <w:t>For non-U.S. equity securities held in separate accounts, fair value is based on observable quoted prices on active exchanges.</w:t>
      </w:r>
    </w:p>
    <w:p>
      <w:pPr>
        <w:spacing w:after="0" w:line="63" w:lineRule="exact"/>
        <w:rPr>
          <w:rFonts w:ascii="Arial" w:cs="Arial" w:eastAsia="Arial" w:hAnsi="Arial"/>
          <w:sz w:val="18"/>
          <w:szCs w:val="18"/>
          <w:i w:val="1"/>
          <w:iCs w:val="1"/>
          <w:color w:val="auto"/>
        </w:rPr>
      </w:pPr>
    </w:p>
    <w:p>
      <w:pPr>
        <w:ind w:left="320" w:hanging="312"/>
        <w:spacing w:after="0"/>
        <w:tabs>
          <w:tab w:leader="none" w:pos="320" w:val="left"/>
        </w:tabs>
        <w:numPr>
          <w:ilvl w:val="0"/>
          <w:numId w:val="27"/>
        </w:numPr>
        <w:rPr>
          <w:rFonts w:ascii="Arial" w:cs="Arial" w:eastAsia="Arial" w:hAnsi="Arial"/>
          <w:sz w:val="17"/>
          <w:szCs w:val="17"/>
          <w:i w:val="1"/>
          <w:iCs w:val="1"/>
          <w:color w:val="auto"/>
        </w:rPr>
      </w:pPr>
      <w:r>
        <w:rPr>
          <w:rFonts w:ascii="Arial" w:cs="Arial" w:eastAsia="Arial" w:hAnsi="Arial"/>
          <w:sz w:val="17"/>
          <w:szCs w:val="17"/>
          <w:i w:val="1"/>
          <w:iCs w:val="1"/>
          <w:color w:val="auto"/>
        </w:rPr>
        <w:t>For corporate, government and asset-backed debt securities, fair value is based on observable inputs of comparable market transactions.</w:t>
      </w:r>
    </w:p>
    <w:p>
      <w:pPr>
        <w:spacing w:after="0" w:line="74" w:lineRule="exact"/>
        <w:rPr>
          <w:rFonts w:ascii="Arial" w:cs="Arial" w:eastAsia="Arial" w:hAnsi="Arial"/>
          <w:sz w:val="17"/>
          <w:szCs w:val="17"/>
          <w:i w:val="1"/>
          <w:iCs w:val="1"/>
          <w:color w:val="auto"/>
        </w:rPr>
      </w:pPr>
    </w:p>
    <w:p>
      <w:pPr>
        <w:ind w:left="320" w:hanging="312"/>
        <w:spacing w:after="0"/>
        <w:tabs>
          <w:tab w:leader="none" w:pos="320" w:val="left"/>
        </w:tabs>
        <w:numPr>
          <w:ilvl w:val="0"/>
          <w:numId w:val="27"/>
        </w:numPr>
        <w:rPr>
          <w:rFonts w:ascii="Arial" w:cs="Arial" w:eastAsia="Arial" w:hAnsi="Arial"/>
          <w:sz w:val="18"/>
          <w:szCs w:val="18"/>
          <w:i w:val="1"/>
          <w:iCs w:val="1"/>
          <w:color w:val="auto"/>
        </w:rPr>
      </w:pPr>
      <w:r>
        <w:rPr>
          <w:rFonts w:ascii="Arial" w:cs="Arial" w:eastAsia="Arial" w:hAnsi="Arial"/>
          <w:sz w:val="18"/>
          <w:szCs w:val="18"/>
          <w:i w:val="1"/>
          <w:iCs w:val="1"/>
          <w:color w:val="auto"/>
        </w:rPr>
        <w:t>For government debt securities that are traded on active exchanges, fair value is based on observable quoted prices.</w:t>
      </w:r>
    </w:p>
    <w:p>
      <w:pPr>
        <w:spacing w:after="0" w:line="63" w:lineRule="exact"/>
        <w:rPr>
          <w:rFonts w:ascii="Arial" w:cs="Arial" w:eastAsia="Arial" w:hAnsi="Arial"/>
          <w:sz w:val="18"/>
          <w:szCs w:val="18"/>
          <w:i w:val="1"/>
          <w:iCs w:val="1"/>
          <w:color w:val="auto"/>
        </w:rPr>
      </w:pPr>
    </w:p>
    <w:p>
      <w:pPr>
        <w:ind w:left="320" w:hanging="312"/>
        <w:spacing w:after="0"/>
        <w:tabs>
          <w:tab w:leader="none" w:pos="320" w:val="left"/>
        </w:tabs>
        <w:numPr>
          <w:ilvl w:val="0"/>
          <w:numId w:val="27"/>
        </w:numPr>
        <w:rPr>
          <w:rFonts w:ascii="Arial" w:cs="Arial" w:eastAsia="Arial" w:hAnsi="Arial"/>
          <w:sz w:val="18"/>
          <w:szCs w:val="18"/>
          <w:i w:val="1"/>
          <w:iCs w:val="1"/>
          <w:color w:val="auto"/>
        </w:rPr>
      </w:pPr>
      <w:r>
        <w:rPr>
          <w:rFonts w:ascii="Arial" w:cs="Arial" w:eastAsia="Arial" w:hAnsi="Arial"/>
          <w:sz w:val="18"/>
          <w:szCs w:val="18"/>
          <w:i w:val="1"/>
          <w:iCs w:val="1"/>
          <w:color w:val="auto"/>
        </w:rPr>
        <w:t>For cash balances that are subject to withdrawal penalties or other adjustments, the fair value is treated as a Level 2 input.</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6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7"/>
              </w:rPr>
              <w:t>Other Postretirement</w:t>
            </w:r>
          </w:p>
        </w:tc>
        <w:tc>
          <w:tcPr>
            <w:tcW w:w="1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r>
      <w:tr>
        <w:trPr>
          <w:trHeight w:val="209"/>
        </w:trPr>
        <w:tc>
          <w:tcPr>
            <w:tcW w:w="5060" w:type="dxa"/>
            <w:vAlign w:val="bottom"/>
          </w:tcPr>
          <w:p>
            <w:pPr>
              <w:spacing w:after="0"/>
              <w:rPr>
                <w:sz w:val="18"/>
                <w:szCs w:val="18"/>
                <w:color w:val="auto"/>
              </w:rPr>
            </w:pPr>
          </w:p>
        </w:tc>
        <w:tc>
          <w:tcPr>
            <w:tcW w:w="4940" w:type="dxa"/>
            <w:vAlign w:val="bottom"/>
            <w:tcBorders>
              <w:bottom w:val="single" w:sz="8" w:color="auto"/>
            </w:tcBorders>
            <w:gridSpan w:val="6"/>
          </w:tcPr>
          <w:p>
            <w:pPr>
              <w:ind w:left="800"/>
              <w:spacing w:after="0"/>
              <w:rPr>
                <w:sz w:val="20"/>
                <w:szCs w:val="20"/>
                <w:color w:val="auto"/>
              </w:rPr>
            </w:pPr>
            <w:r>
              <w:rPr>
                <w:rFonts w:ascii="Arial" w:cs="Arial" w:eastAsia="Arial" w:hAnsi="Arial"/>
                <w:sz w:val="14"/>
                <w:szCs w:val="14"/>
                <w:b w:val="1"/>
                <w:bCs w:val="1"/>
                <w:color w:val="auto"/>
              </w:rPr>
              <w:t>Fair Value Measurement at December 31, 2021, Using:</w:t>
            </w:r>
          </w:p>
        </w:tc>
        <w:tc>
          <w:tcPr>
            <w:tcW w:w="1240" w:type="dxa"/>
            <w:vAlign w:val="bottom"/>
          </w:tcPr>
          <w:p>
            <w:pPr>
              <w:spacing w:after="0"/>
              <w:rPr>
                <w:sz w:val="18"/>
                <w:szCs w:val="18"/>
                <w:color w:val="auto"/>
              </w:rPr>
            </w:pPr>
          </w:p>
        </w:tc>
      </w:tr>
      <w:tr>
        <w:trPr>
          <w:trHeight w:val="210"/>
        </w:trPr>
        <w:tc>
          <w:tcPr>
            <w:tcW w:w="50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Level 1</w:t>
            </w: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Level 2</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Level 3</w:t>
            </w:r>
          </w:p>
        </w:tc>
        <w:tc>
          <w:tcPr>
            <w:tcW w:w="11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w w:val="96"/>
              </w:rPr>
              <w:t>Net Asset Value</w:t>
            </w:r>
          </w:p>
        </w:tc>
        <w:tc>
          <w:tcPr>
            <w:tcW w:w="12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Total</w:t>
            </w:r>
          </w:p>
        </w:tc>
      </w:tr>
      <w:tr>
        <w:trPr>
          <w:trHeight w:val="190"/>
        </w:trPr>
        <w:tc>
          <w:tcPr>
            <w:tcW w:w="50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ind w:left="120"/>
              <w:spacing w:after="0"/>
              <w:rPr>
                <w:sz w:val="20"/>
                <w:szCs w:val="20"/>
                <w:color w:val="auto"/>
              </w:rPr>
            </w:pPr>
            <w:r>
              <w:rPr>
                <w:rFonts w:ascii="Arial" w:cs="Arial" w:eastAsia="Arial" w:hAnsi="Arial"/>
                <w:sz w:val="14"/>
                <w:szCs w:val="14"/>
                <w:i w:val="1"/>
                <w:iCs w:val="1"/>
                <w:color w:val="auto"/>
              </w:rPr>
              <w:t>(millions of dollars)</w:t>
            </w:r>
          </w:p>
        </w:tc>
        <w:tc>
          <w:tcPr>
            <w:tcW w:w="11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68"/>
        </w:trPr>
        <w:tc>
          <w:tcPr>
            <w:tcW w:w="5060" w:type="dxa"/>
            <w:vAlign w:val="bottom"/>
          </w:tcPr>
          <w:p>
            <w:pPr>
              <w:ind w:left="20"/>
              <w:spacing w:after="0"/>
              <w:rPr>
                <w:sz w:val="20"/>
                <w:szCs w:val="20"/>
                <w:color w:val="auto"/>
              </w:rPr>
            </w:pPr>
            <w:r>
              <w:rPr>
                <w:rFonts w:ascii="Arial" w:cs="Arial" w:eastAsia="Arial" w:hAnsi="Arial"/>
                <w:sz w:val="18"/>
                <w:szCs w:val="18"/>
                <w:color w:val="auto"/>
              </w:rPr>
              <w:t>Asset category:</w:t>
            </w:r>
          </w:p>
        </w:tc>
        <w:tc>
          <w:tcPr>
            <w:tcW w:w="9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30"/>
        </w:trPr>
        <w:tc>
          <w:tcPr>
            <w:tcW w:w="5060" w:type="dxa"/>
            <w:vAlign w:val="bottom"/>
          </w:tcPr>
          <w:p>
            <w:pPr>
              <w:ind w:left="220"/>
              <w:spacing w:after="0"/>
              <w:rPr>
                <w:sz w:val="20"/>
                <w:szCs w:val="20"/>
                <w:color w:val="auto"/>
              </w:rPr>
            </w:pPr>
            <w:r>
              <w:rPr>
                <w:rFonts w:ascii="Arial" w:cs="Arial" w:eastAsia="Arial" w:hAnsi="Arial"/>
                <w:sz w:val="18"/>
                <w:szCs w:val="18"/>
                <w:color w:val="auto"/>
              </w:rPr>
              <w:t>Equity securities</w:t>
            </w: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5060" w:type="dxa"/>
            <w:vAlign w:val="bottom"/>
          </w:tcPr>
          <w:p>
            <w:pPr>
              <w:ind w:left="480"/>
              <w:spacing w:after="0"/>
              <w:rPr>
                <w:sz w:val="20"/>
                <w:szCs w:val="20"/>
                <w:color w:val="auto"/>
              </w:rPr>
            </w:pPr>
            <w:r>
              <w:rPr>
                <w:rFonts w:ascii="Arial" w:cs="Arial" w:eastAsia="Arial" w:hAnsi="Arial"/>
                <w:sz w:val="18"/>
                <w:szCs w:val="18"/>
                <w:color w:val="auto"/>
              </w:rPr>
              <w:t>U.S.</w:t>
            </w:r>
          </w:p>
        </w:tc>
        <w:tc>
          <w:tcPr>
            <w:tcW w:w="940" w:type="dxa"/>
            <w:vAlign w:val="bottom"/>
          </w:tcPr>
          <w:p>
            <w:pPr>
              <w:jc w:val="right"/>
              <w:spacing w:after="0"/>
              <w:rPr>
                <w:sz w:val="20"/>
                <w:szCs w:val="20"/>
                <w:color w:val="auto"/>
              </w:rPr>
            </w:pPr>
            <w:r>
              <w:rPr>
                <w:rFonts w:ascii="Arial" w:cs="Arial" w:eastAsia="Arial" w:hAnsi="Arial"/>
                <w:sz w:val="18"/>
                <w:szCs w:val="18"/>
                <w:color w:val="auto"/>
              </w:rPr>
              <w:t>91</w:t>
            </w:r>
          </w:p>
        </w:tc>
        <w:tc>
          <w:tcPr>
            <w:tcW w:w="360" w:type="dxa"/>
            <w:vAlign w:val="bottom"/>
          </w:tcPr>
          <w:p>
            <w:pPr>
              <w:jc w:val="right"/>
              <w:ind w:right="126"/>
              <w:spacing w:after="0"/>
              <w:rPr>
                <w:sz w:val="20"/>
                <w:szCs w:val="20"/>
                <w:color w:val="auto"/>
              </w:rPr>
            </w:pPr>
            <w:r>
              <w:rPr>
                <w:rFonts w:ascii="Arial" w:cs="Arial" w:eastAsia="Arial" w:hAnsi="Arial"/>
                <w:sz w:val="11"/>
                <w:szCs w:val="11"/>
                <w:i w:val="1"/>
                <w:iCs w:val="1"/>
                <w:color w:val="auto"/>
              </w:rPr>
              <w:t>(1)</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20" w:type="dxa"/>
            <w:vAlign w:val="bottom"/>
          </w:tcPr>
          <w:p>
            <w:pPr>
              <w:ind w:left="1040"/>
              <w:spacing w:after="0"/>
              <w:rPr>
                <w:sz w:val="20"/>
                <w:szCs w:val="20"/>
                <w:color w:val="auto"/>
              </w:rPr>
            </w:pPr>
            <w:r>
              <w:rPr>
                <w:rFonts w:ascii="Arial" w:cs="Arial" w:eastAsia="Arial" w:hAnsi="Arial"/>
                <w:sz w:val="18"/>
                <w:szCs w:val="18"/>
                <w:color w:val="auto"/>
              </w:rPr>
              <w:t>—</w:t>
            </w:r>
          </w:p>
        </w:tc>
        <w:tc>
          <w:tcPr>
            <w:tcW w:w="1120" w:type="dxa"/>
            <w:vAlign w:val="bottom"/>
          </w:tcPr>
          <w:p>
            <w:pPr>
              <w:ind w:left="86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30"/>
        </w:trPr>
        <w:tc>
          <w:tcPr>
            <w:tcW w:w="5060" w:type="dxa"/>
            <w:vAlign w:val="bottom"/>
          </w:tcPr>
          <w:p>
            <w:pPr>
              <w:ind w:left="480"/>
              <w:spacing w:after="0"/>
              <w:rPr>
                <w:sz w:val="20"/>
                <w:szCs w:val="20"/>
                <w:color w:val="auto"/>
              </w:rPr>
            </w:pPr>
            <w:r>
              <w:rPr>
                <w:rFonts w:ascii="Arial" w:cs="Arial" w:eastAsia="Arial" w:hAnsi="Arial"/>
                <w:sz w:val="18"/>
                <w:szCs w:val="18"/>
                <w:color w:val="auto"/>
              </w:rPr>
              <w:t>Non-U.S.</w:t>
            </w:r>
          </w:p>
        </w:tc>
        <w:tc>
          <w:tcPr>
            <w:tcW w:w="940" w:type="dxa"/>
            <w:vAlign w:val="bottom"/>
          </w:tcPr>
          <w:p>
            <w:pPr>
              <w:jc w:val="right"/>
              <w:spacing w:after="0"/>
              <w:rPr>
                <w:sz w:val="20"/>
                <w:szCs w:val="20"/>
                <w:color w:val="auto"/>
              </w:rPr>
            </w:pPr>
            <w:r>
              <w:rPr>
                <w:rFonts w:ascii="Arial" w:cs="Arial" w:eastAsia="Arial" w:hAnsi="Arial"/>
                <w:sz w:val="18"/>
                <w:szCs w:val="18"/>
                <w:color w:val="auto"/>
              </w:rPr>
              <w:t>45</w:t>
            </w:r>
          </w:p>
        </w:tc>
        <w:tc>
          <w:tcPr>
            <w:tcW w:w="360" w:type="dxa"/>
            <w:vAlign w:val="bottom"/>
          </w:tcPr>
          <w:p>
            <w:pPr>
              <w:jc w:val="right"/>
              <w:ind w:right="126"/>
              <w:spacing w:after="0"/>
              <w:rPr>
                <w:sz w:val="20"/>
                <w:szCs w:val="20"/>
                <w:color w:val="auto"/>
              </w:rPr>
            </w:pPr>
            <w:r>
              <w:rPr>
                <w:rFonts w:ascii="Arial" w:cs="Arial" w:eastAsia="Arial" w:hAnsi="Arial"/>
                <w:sz w:val="11"/>
                <w:szCs w:val="11"/>
                <w:i w:val="1"/>
                <w:iCs w:val="1"/>
                <w:color w:val="auto"/>
              </w:rPr>
              <w:t>(1)</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20" w:type="dxa"/>
            <w:vAlign w:val="bottom"/>
          </w:tcPr>
          <w:p>
            <w:pPr>
              <w:ind w:left="1040"/>
              <w:spacing w:after="0"/>
              <w:rPr>
                <w:sz w:val="20"/>
                <w:szCs w:val="20"/>
                <w:color w:val="auto"/>
              </w:rPr>
            </w:pPr>
            <w:r>
              <w:rPr>
                <w:rFonts w:ascii="Arial" w:cs="Arial" w:eastAsia="Arial" w:hAnsi="Arial"/>
                <w:sz w:val="18"/>
                <w:szCs w:val="18"/>
                <w:color w:val="auto"/>
              </w:rPr>
              <w:t>—</w:t>
            </w:r>
          </w:p>
        </w:tc>
        <w:tc>
          <w:tcPr>
            <w:tcW w:w="1120" w:type="dxa"/>
            <w:vAlign w:val="bottom"/>
          </w:tcPr>
          <w:p>
            <w:pPr>
              <w:ind w:left="86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29"/>
        </w:trPr>
        <w:tc>
          <w:tcPr>
            <w:tcW w:w="5060" w:type="dxa"/>
            <w:vAlign w:val="bottom"/>
          </w:tcPr>
          <w:p>
            <w:pPr>
              <w:ind w:left="220"/>
              <w:spacing w:after="0"/>
              <w:rPr>
                <w:sz w:val="20"/>
                <w:szCs w:val="20"/>
                <w:color w:val="auto"/>
              </w:rPr>
            </w:pPr>
            <w:r>
              <w:rPr>
                <w:rFonts w:ascii="Arial" w:cs="Arial" w:eastAsia="Arial" w:hAnsi="Arial"/>
                <w:sz w:val="18"/>
                <w:szCs w:val="18"/>
                <w:color w:val="auto"/>
              </w:rPr>
              <w:t>Debt securities</w:t>
            </w: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5060" w:type="dxa"/>
            <w:vAlign w:val="bottom"/>
          </w:tcPr>
          <w:p>
            <w:pPr>
              <w:ind w:left="480"/>
              <w:spacing w:after="0"/>
              <w:rPr>
                <w:sz w:val="20"/>
                <w:szCs w:val="20"/>
                <w:color w:val="auto"/>
              </w:rPr>
            </w:pPr>
            <w:r>
              <w:rPr>
                <w:rFonts w:ascii="Arial" w:cs="Arial" w:eastAsia="Arial" w:hAnsi="Arial"/>
                <w:sz w:val="18"/>
                <w:szCs w:val="18"/>
                <w:color w:val="auto"/>
              </w:rPr>
              <w:t>Corporate</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95</w:t>
            </w:r>
          </w:p>
        </w:tc>
        <w:tc>
          <w:tcPr>
            <w:tcW w:w="220" w:type="dxa"/>
            <w:vAlign w:val="bottom"/>
          </w:tcPr>
          <w:p>
            <w:pPr>
              <w:jc w:val="right"/>
              <w:spacing w:after="0"/>
              <w:rPr>
                <w:sz w:val="20"/>
                <w:szCs w:val="20"/>
                <w:color w:val="auto"/>
              </w:rPr>
            </w:pPr>
            <w:r>
              <w:rPr>
                <w:rFonts w:ascii="Arial" w:cs="Arial" w:eastAsia="Arial" w:hAnsi="Arial"/>
                <w:sz w:val="11"/>
                <w:szCs w:val="11"/>
                <w:i w:val="1"/>
                <w:iCs w:val="1"/>
                <w:color w:val="auto"/>
              </w:rPr>
              <w:t>(2)</w:t>
            </w:r>
          </w:p>
        </w:tc>
        <w:tc>
          <w:tcPr>
            <w:tcW w:w="1420" w:type="dxa"/>
            <w:vAlign w:val="bottom"/>
          </w:tcPr>
          <w:p>
            <w:pPr>
              <w:ind w:left="1040"/>
              <w:spacing w:after="0"/>
              <w:rPr>
                <w:sz w:val="20"/>
                <w:szCs w:val="20"/>
                <w:color w:val="auto"/>
              </w:rPr>
            </w:pPr>
            <w:r>
              <w:rPr>
                <w:rFonts w:ascii="Arial" w:cs="Arial" w:eastAsia="Arial" w:hAnsi="Arial"/>
                <w:sz w:val="18"/>
                <w:szCs w:val="18"/>
                <w:color w:val="auto"/>
              </w:rPr>
              <w:t>—</w:t>
            </w:r>
          </w:p>
        </w:tc>
        <w:tc>
          <w:tcPr>
            <w:tcW w:w="1120" w:type="dxa"/>
            <w:vAlign w:val="bottom"/>
          </w:tcPr>
          <w:p>
            <w:pPr>
              <w:ind w:left="86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30"/>
        </w:trPr>
        <w:tc>
          <w:tcPr>
            <w:tcW w:w="5060" w:type="dxa"/>
            <w:vAlign w:val="bottom"/>
          </w:tcPr>
          <w:p>
            <w:pPr>
              <w:ind w:left="480"/>
              <w:spacing w:after="0"/>
              <w:rPr>
                <w:sz w:val="20"/>
                <w:szCs w:val="20"/>
                <w:color w:val="auto"/>
              </w:rPr>
            </w:pPr>
            <w:r>
              <w:rPr>
                <w:rFonts w:ascii="Arial" w:cs="Arial" w:eastAsia="Arial" w:hAnsi="Arial"/>
                <w:sz w:val="18"/>
                <w:szCs w:val="18"/>
                <w:color w:val="auto"/>
              </w:rPr>
              <w:t>Government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206</w:t>
            </w:r>
          </w:p>
        </w:tc>
        <w:tc>
          <w:tcPr>
            <w:tcW w:w="220" w:type="dxa"/>
            <w:vAlign w:val="bottom"/>
          </w:tcPr>
          <w:p>
            <w:pPr>
              <w:jc w:val="right"/>
              <w:spacing w:after="0"/>
              <w:rPr>
                <w:sz w:val="20"/>
                <w:szCs w:val="20"/>
                <w:color w:val="auto"/>
              </w:rPr>
            </w:pPr>
            <w:r>
              <w:rPr>
                <w:rFonts w:ascii="Arial" w:cs="Arial" w:eastAsia="Arial" w:hAnsi="Arial"/>
                <w:sz w:val="11"/>
                <w:szCs w:val="11"/>
                <w:i w:val="1"/>
                <w:iCs w:val="1"/>
                <w:color w:val="auto"/>
              </w:rPr>
              <w:t>(2)</w:t>
            </w:r>
          </w:p>
        </w:tc>
        <w:tc>
          <w:tcPr>
            <w:tcW w:w="1420" w:type="dxa"/>
            <w:vAlign w:val="bottom"/>
          </w:tcPr>
          <w:p>
            <w:pPr>
              <w:ind w:left="1040"/>
              <w:spacing w:after="0"/>
              <w:rPr>
                <w:sz w:val="20"/>
                <w:szCs w:val="20"/>
                <w:color w:val="auto"/>
              </w:rPr>
            </w:pPr>
            <w:r>
              <w:rPr>
                <w:rFonts w:ascii="Arial" w:cs="Arial" w:eastAsia="Arial" w:hAnsi="Arial"/>
                <w:sz w:val="18"/>
                <w:szCs w:val="18"/>
                <w:color w:val="auto"/>
              </w:rPr>
              <w:t>—</w:t>
            </w:r>
          </w:p>
        </w:tc>
        <w:tc>
          <w:tcPr>
            <w:tcW w:w="1120" w:type="dxa"/>
            <w:vAlign w:val="bottom"/>
          </w:tcPr>
          <w:p>
            <w:pPr>
              <w:ind w:left="86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206</w:t>
            </w:r>
          </w:p>
        </w:tc>
      </w:tr>
      <w:tr>
        <w:trPr>
          <w:trHeight w:val="230"/>
        </w:trPr>
        <w:tc>
          <w:tcPr>
            <w:tcW w:w="5060" w:type="dxa"/>
            <w:vAlign w:val="bottom"/>
          </w:tcPr>
          <w:p>
            <w:pPr>
              <w:ind w:left="480"/>
              <w:spacing w:after="0"/>
              <w:rPr>
                <w:sz w:val="20"/>
                <w:szCs w:val="20"/>
                <w:color w:val="auto"/>
              </w:rPr>
            </w:pPr>
            <w:r>
              <w:rPr>
                <w:rFonts w:ascii="Arial" w:cs="Arial" w:eastAsia="Arial" w:hAnsi="Arial"/>
                <w:sz w:val="18"/>
                <w:szCs w:val="18"/>
                <w:color w:val="auto"/>
              </w:rPr>
              <w:t>Asset-backed</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20" w:type="dxa"/>
            <w:vAlign w:val="bottom"/>
          </w:tcPr>
          <w:p>
            <w:pPr>
              <w:ind w:left="1040"/>
              <w:spacing w:after="0"/>
              <w:rPr>
                <w:sz w:val="20"/>
                <w:szCs w:val="20"/>
                <w:color w:val="auto"/>
              </w:rPr>
            </w:pPr>
            <w:r>
              <w:rPr>
                <w:rFonts w:ascii="Arial" w:cs="Arial" w:eastAsia="Arial" w:hAnsi="Arial"/>
                <w:sz w:val="18"/>
                <w:szCs w:val="18"/>
                <w:color w:val="auto"/>
              </w:rPr>
              <w:t>—</w:t>
            </w:r>
          </w:p>
        </w:tc>
        <w:tc>
          <w:tcPr>
            <w:tcW w:w="1120" w:type="dxa"/>
            <w:vAlign w:val="bottom"/>
          </w:tcPr>
          <w:p>
            <w:pPr>
              <w:ind w:left="86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060" w:type="dxa"/>
            <w:vAlign w:val="bottom"/>
          </w:tcPr>
          <w:p>
            <w:pPr>
              <w:ind w:left="220"/>
              <w:spacing w:after="0"/>
              <w:rPr>
                <w:sz w:val="20"/>
                <w:szCs w:val="20"/>
                <w:color w:val="auto"/>
              </w:rPr>
            </w:pPr>
            <w:r>
              <w:rPr>
                <w:rFonts w:ascii="Arial" w:cs="Arial" w:eastAsia="Arial" w:hAnsi="Arial"/>
                <w:sz w:val="18"/>
                <w:szCs w:val="18"/>
                <w:color w:val="auto"/>
              </w:rPr>
              <w:t>Cash</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ind w:left="10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5060" w:type="dxa"/>
            <w:vAlign w:val="bottom"/>
          </w:tcPr>
          <w:p>
            <w:pPr>
              <w:ind w:left="20"/>
              <w:spacing w:after="0"/>
              <w:rPr>
                <w:sz w:val="20"/>
                <w:szCs w:val="20"/>
                <w:color w:val="auto"/>
              </w:rPr>
            </w:pPr>
            <w:r>
              <w:rPr>
                <w:rFonts w:ascii="Arial" w:cs="Arial" w:eastAsia="Arial" w:hAnsi="Arial"/>
                <w:sz w:val="18"/>
                <w:szCs w:val="18"/>
                <w:color w:val="auto"/>
              </w:rPr>
              <w:t>Total at fair value</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ind w:left="10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w:t>
            </w:r>
          </w:p>
        </w:tc>
      </w:tr>
    </w:tbl>
    <w:p>
      <w:pPr>
        <w:spacing w:after="0" w:line="364" w:lineRule="exact"/>
        <w:rPr>
          <w:sz w:val="20"/>
          <w:szCs w:val="20"/>
          <w:color w:val="auto"/>
        </w:rPr>
      </w:pPr>
    </w:p>
    <w:p>
      <w:pPr>
        <w:ind w:left="320" w:hanging="312"/>
        <w:spacing w:after="0"/>
        <w:tabs>
          <w:tab w:leader="none" w:pos="320" w:val="left"/>
        </w:tabs>
        <w:numPr>
          <w:ilvl w:val="0"/>
          <w:numId w:val="28"/>
        </w:numPr>
        <w:rPr>
          <w:rFonts w:ascii="Arial" w:cs="Arial" w:eastAsia="Arial" w:hAnsi="Arial"/>
          <w:sz w:val="18"/>
          <w:szCs w:val="18"/>
          <w:i w:val="1"/>
          <w:iCs w:val="1"/>
          <w:color w:val="auto"/>
        </w:rPr>
      </w:pPr>
      <w:r>
        <w:rPr>
          <w:rFonts w:ascii="Arial" w:cs="Arial" w:eastAsia="Arial" w:hAnsi="Arial"/>
          <w:sz w:val="18"/>
          <w:szCs w:val="18"/>
          <w:i w:val="1"/>
          <w:iCs w:val="1"/>
          <w:color w:val="auto"/>
        </w:rPr>
        <w:t>For equity securities held in separate accounts, fair value is based on observable quoted prices on active exchanges.</w:t>
      </w:r>
    </w:p>
    <w:p>
      <w:pPr>
        <w:spacing w:after="0" w:line="63" w:lineRule="exact"/>
        <w:rPr>
          <w:rFonts w:ascii="Arial" w:cs="Arial" w:eastAsia="Arial" w:hAnsi="Arial"/>
          <w:sz w:val="18"/>
          <w:szCs w:val="18"/>
          <w:i w:val="1"/>
          <w:iCs w:val="1"/>
          <w:color w:val="auto"/>
        </w:rPr>
      </w:pPr>
    </w:p>
    <w:p>
      <w:pPr>
        <w:ind w:left="320" w:hanging="312"/>
        <w:spacing w:after="0"/>
        <w:tabs>
          <w:tab w:leader="none" w:pos="320" w:val="left"/>
        </w:tabs>
        <w:numPr>
          <w:ilvl w:val="0"/>
          <w:numId w:val="28"/>
        </w:numPr>
        <w:rPr>
          <w:rFonts w:ascii="Arial" w:cs="Arial" w:eastAsia="Arial" w:hAnsi="Arial"/>
          <w:sz w:val="17"/>
          <w:szCs w:val="17"/>
          <w:i w:val="1"/>
          <w:iCs w:val="1"/>
          <w:color w:val="auto"/>
        </w:rPr>
      </w:pPr>
      <w:r>
        <w:rPr>
          <w:rFonts w:ascii="Arial" w:cs="Arial" w:eastAsia="Arial" w:hAnsi="Arial"/>
          <w:sz w:val="17"/>
          <w:szCs w:val="17"/>
          <w:i w:val="1"/>
          <w:iCs w:val="1"/>
          <w:color w:val="auto"/>
        </w:rPr>
        <w:t>For corporate, government and asset-backed debt securities, fair value is based on observable inputs of comparable market transactions.</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3" w:name="page104"/>
    <w:bookmarkEnd w:id="103"/>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99"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2020 fair value of the benefit plan assets, including the level within the fair value hierarchy, is shown in the tables below:</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440" w:type="dxa"/>
            <w:vAlign w:val="bottom"/>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1"/>
              </w:rPr>
              <w:t>U.S. Pension</w:t>
            </w:r>
          </w:p>
        </w:tc>
        <w:tc>
          <w:tcPr>
            <w:tcW w:w="8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3"/>
          </w:tcPr>
          <w:p>
            <w:pPr>
              <w:ind w:left="780"/>
              <w:spacing w:after="0"/>
              <w:rPr>
                <w:sz w:val="20"/>
                <w:szCs w:val="20"/>
                <w:color w:val="auto"/>
              </w:rPr>
            </w:pPr>
            <w:r>
              <w:rPr>
                <w:rFonts w:ascii="Arial" w:cs="Arial" w:eastAsia="Arial" w:hAnsi="Arial"/>
                <w:sz w:val="14"/>
                <w:szCs w:val="14"/>
                <w:b w:val="1"/>
                <w:bCs w:val="1"/>
                <w:color w:val="auto"/>
              </w:rPr>
              <w:t>Non-U.S. Pension</w:t>
            </w:r>
          </w:p>
        </w:tc>
        <w:tc>
          <w:tcPr>
            <w:tcW w:w="7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4"/>
        </w:trPr>
        <w:tc>
          <w:tcPr>
            <w:tcW w:w="2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900" w:type="dxa"/>
            <w:vAlign w:val="bottom"/>
            <w:gridSpan w:val="3"/>
          </w:tcPr>
          <w:p>
            <w:pPr>
              <w:jc w:val="right"/>
              <w:ind w:right="14"/>
              <w:spacing w:after="0" w:line="135" w:lineRule="exact"/>
              <w:rPr>
                <w:sz w:val="20"/>
                <w:szCs w:val="20"/>
                <w:color w:val="auto"/>
              </w:rPr>
            </w:pPr>
            <w:r>
              <w:rPr>
                <w:rFonts w:ascii="Arial" w:cs="Arial" w:eastAsia="Arial" w:hAnsi="Arial"/>
                <w:sz w:val="14"/>
                <w:szCs w:val="14"/>
                <w:b w:val="1"/>
                <w:bCs w:val="1"/>
                <w:color w:val="auto"/>
              </w:rPr>
              <w:t>Fair Value Measurement at</w:t>
            </w:r>
          </w:p>
        </w:tc>
        <w:tc>
          <w:tcPr>
            <w:tcW w:w="8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60" w:type="dxa"/>
            <w:vAlign w:val="bottom"/>
            <w:gridSpan w:val="3"/>
          </w:tcPr>
          <w:p>
            <w:pPr>
              <w:jc w:val="center"/>
              <w:ind w:right="132"/>
              <w:spacing w:after="0" w:line="135" w:lineRule="exact"/>
              <w:rPr>
                <w:sz w:val="20"/>
                <w:szCs w:val="20"/>
                <w:color w:val="auto"/>
              </w:rPr>
            </w:pPr>
            <w:r>
              <w:rPr>
                <w:rFonts w:ascii="Arial" w:cs="Arial" w:eastAsia="Arial" w:hAnsi="Arial"/>
                <w:sz w:val="14"/>
                <w:szCs w:val="14"/>
                <w:b w:val="1"/>
                <w:bCs w:val="1"/>
                <w:color w:val="auto"/>
                <w:w w:val="94"/>
              </w:rPr>
              <w:t>Fair Value Measurement at</w:t>
            </w: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44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ind w:right="34"/>
              <w:spacing w:after="0"/>
              <w:rPr>
                <w:sz w:val="20"/>
                <w:szCs w:val="20"/>
                <w:color w:val="auto"/>
              </w:rPr>
            </w:pPr>
            <w:r>
              <w:rPr>
                <w:rFonts w:ascii="Arial" w:cs="Arial" w:eastAsia="Arial" w:hAnsi="Arial"/>
                <w:sz w:val="14"/>
                <w:szCs w:val="14"/>
                <w:b w:val="1"/>
                <w:bCs w:val="1"/>
                <w:color w:val="auto"/>
                <w:w w:val="99"/>
              </w:rPr>
              <w:t>December 31, 2020, Using:</w:t>
            </w:r>
          </w:p>
        </w:tc>
        <w:tc>
          <w:tcPr>
            <w:tcW w:w="8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center"/>
              <w:ind w:right="152"/>
              <w:spacing w:after="0"/>
              <w:rPr>
                <w:sz w:val="20"/>
                <w:szCs w:val="20"/>
                <w:color w:val="auto"/>
              </w:rPr>
            </w:pPr>
            <w:r>
              <w:rPr>
                <w:rFonts w:ascii="Arial" w:cs="Arial" w:eastAsia="Arial" w:hAnsi="Arial"/>
                <w:sz w:val="14"/>
                <w:szCs w:val="14"/>
                <w:b w:val="1"/>
                <w:bCs w:val="1"/>
                <w:color w:val="auto"/>
                <w:w w:val="91"/>
              </w:rPr>
              <w:t>December 31, 2020, Using:</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440" w:type="dxa"/>
            <w:vAlign w:val="bottom"/>
          </w:tcPr>
          <w:p>
            <w:pPr>
              <w:spacing w:after="0"/>
              <w:rPr>
                <w:sz w:val="11"/>
                <w:szCs w:val="11"/>
                <w:color w:val="auto"/>
              </w:rPr>
            </w:pPr>
          </w:p>
        </w:tc>
        <w:tc>
          <w:tcPr>
            <w:tcW w:w="70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Level 1</w:t>
            </w:r>
          </w:p>
        </w:tc>
        <w:tc>
          <w:tcPr>
            <w:tcW w:w="720" w:type="dxa"/>
            <w:vAlign w:val="bottom"/>
            <w:vMerge w:val="restart"/>
          </w:tcPr>
          <w:p>
            <w:pPr>
              <w:jc w:val="right"/>
              <w:ind w:right="15"/>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1"/>
                <w:szCs w:val="11"/>
                <w:color w:val="auto"/>
              </w:rPr>
            </w:pPr>
          </w:p>
        </w:tc>
        <w:tc>
          <w:tcPr>
            <w:tcW w:w="96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rPr>
              <w:t>Level 3</w:t>
            </w:r>
          </w:p>
        </w:tc>
        <w:tc>
          <w:tcPr>
            <w:tcW w:w="840" w:type="dxa"/>
            <w:vAlign w:val="bottom"/>
          </w:tcPr>
          <w:p>
            <w:pPr>
              <w:jc w:val="right"/>
              <w:ind w:right="74"/>
              <w:spacing w:after="0" w:line="130" w:lineRule="exact"/>
              <w:rPr>
                <w:sz w:val="20"/>
                <w:szCs w:val="20"/>
                <w:color w:val="auto"/>
              </w:rPr>
            </w:pPr>
            <w:r>
              <w:rPr>
                <w:rFonts w:ascii="Arial" w:cs="Arial" w:eastAsia="Arial" w:hAnsi="Arial"/>
                <w:sz w:val="14"/>
                <w:szCs w:val="14"/>
                <w:b w:val="1"/>
                <w:bCs w:val="1"/>
                <w:color w:val="auto"/>
              </w:rPr>
              <w:t>Net Asset</w:t>
            </w:r>
          </w:p>
        </w:tc>
        <w:tc>
          <w:tcPr>
            <w:tcW w:w="68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1"/>
                <w:szCs w:val="11"/>
                <w:color w:val="auto"/>
              </w:rPr>
            </w:pPr>
          </w:p>
        </w:tc>
        <w:tc>
          <w:tcPr>
            <w:tcW w:w="64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w w:val="92"/>
              </w:rPr>
              <w:t>Level 1</w:t>
            </w:r>
          </w:p>
        </w:tc>
        <w:tc>
          <w:tcPr>
            <w:tcW w:w="240" w:type="dxa"/>
            <w:vAlign w:val="bottom"/>
          </w:tcPr>
          <w:p>
            <w:pPr>
              <w:spacing w:after="0"/>
              <w:rPr>
                <w:sz w:val="11"/>
                <w:szCs w:val="11"/>
                <w:color w:val="auto"/>
              </w:rPr>
            </w:pPr>
          </w:p>
        </w:tc>
        <w:tc>
          <w:tcPr>
            <w:tcW w:w="84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rPr>
              <w:t>Level 2</w:t>
            </w:r>
          </w:p>
        </w:tc>
        <w:tc>
          <w:tcPr>
            <w:tcW w:w="400" w:type="dxa"/>
            <w:vAlign w:val="bottom"/>
          </w:tcPr>
          <w:p>
            <w:pPr>
              <w:spacing w:after="0"/>
              <w:rPr>
                <w:sz w:val="11"/>
                <w:szCs w:val="11"/>
                <w:color w:val="auto"/>
              </w:rPr>
            </w:pPr>
          </w:p>
        </w:tc>
        <w:tc>
          <w:tcPr>
            <w:tcW w:w="82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Level 3</w:t>
            </w:r>
          </w:p>
        </w:tc>
        <w:tc>
          <w:tcPr>
            <w:tcW w:w="760" w:type="dxa"/>
            <w:vAlign w:val="bottom"/>
          </w:tcPr>
          <w:p>
            <w:pPr>
              <w:jc w:val="center"/>
              <w:spacing w:after="0" w:line="130" w:lineRule="exact"/>
              <w:rPr>
                <w:sz w:val="20"/>
                <w:szCs w:val="20"/>
                <w:color w:val="auto"/>
              </w:rPr>
            </w:pPr>
            <w:r>
              <w:rPr>
                <w:rFonts w:ascii="Arial" w:cs="Arial" w:eastAsia="Arial" w:hAnsi="Arial"/>
                <w:sz w:val="14"/>
                <w:szCs w:val="14"/>
                <w:b w:val="1"/>
                <w:bCs w:val="1"/>
                <w:color w:val="auto"/>
                <w:w w:val="89"/>
              </w:rPr>
              <w:t>Net Asset</w:t>
            </w:r>
          </w:p>
        </w:tc>
        <w:tc>
          <w:tcPr>
            <w:tcW w:w="100" w:type="dxa"/>
            <w:vAlign w:val="bottom"/>
          </w:tcPr>
          <w:p>
            <w:pPr>
              <w:spacing w:after="0"/>
              <w:rPr>
                <w:sz w:val="11"/>
                <w:szCs w:val="11"/>
                <w:color w:val="auto"/>
              </w:rPr>
            </w:pPr>
          </w:p>
        </w:tc>
        <w:tc>
          <w:tcPr>
            <w:tcW w:w="70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9"/>
        </w:trPr>
        <w:tc>
          <w:tcPr>
            <w:tcW w:w="244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84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Value</w:t>
            </w:r>
          </w:p>
        </w:tc>
        <w:tc>
          <w:tcPr>
            <w:tcW w:w="6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86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0"/>
              </w:rPr>
              <w:t>Value</w:t>
            </w:r>
          </w:p>
        </w:tc>
        <w:tc>
          <w:tcPr>
            <w:tcW w:w="7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44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vMerge w:val="continue"/>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gridSpan w:val="2"/>
            <w:vMerge w:val="continue"/>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2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80" w:type="dxa"/>
            <w:vAlign w:val="bottom"/>
            <w:gridSpan w:val="4"/>
          </w:tcPr>
          <w:p>
            <w:pPr>
              <w:jc w:val="right"/>
              <w:ind w:right="126"/>
              <w:spacing w:after="0"/>
              <w:rPr>
                <w:sz w:val="20"/>
                <w:szCs w:val="20"/>
                <w:color w:val="auto"/>
              </w:rPr>
            </w:pPr>
            <w:r>
              <w:rPr>
                <w:rFonts w:ascii="Arial" w:cs="Arial" w:eastAsia="Arial" w:hAnsi="Arial"/>
                <w:sz w:val="14"/>
                <w:szCs w:val="14"/>
                <w:i w:val="1"/>
                <w:iCs w:val="1"/>
                <w:color w:val="auto"/>
              </w:rPr>
              <w:t>(millions of dollars)</w:t>
            </w:r>
          </w:p>
        </w:tc>
        <w:tc>
          <w:tcPr>
            <w:tcW w:w="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2440" w:type="dxa"/>
            <w:vAlign w:val="bottom"/>
          </w:tcPr>
          <w:p>
            <w:pPr>
              <w:ind w:left="20"/>
              <w:spacing w:after="0"/>
              <w:rPr>
                <w:sz w:val="20"/>
                <w:szCs w:val="20"/>
                <w:color w:val="auto"/>
              </w:rPr>
            </w:pPr>
            <w:r>
              <w:rPr>
                <w:rFonts w:ascii="Arial" w:cs="Arial" w:eastAsia="Arial" w:hAnsi="Arial"/>
                <w:sz w:val="18"/>
                <w:szCs w:val="18"/>
                <w:color w:val="auto"/>
              </w:rPr>
              <w:t>Asset category:</w:t>
            </w:r>
          </w:p>
        </w:tc>
        <w:tc>
          <w:tcPr>
            <w:tcW w:w="7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440" w:type="dxa"/>
            <w:vAlign w:val="bottom"/>
          </w:tcPr>
          <w:p>
            <w:pPr>
              <w:ind w:left="220"/>
              <w:spacing w:after="0"/>
              <w:rPr>
                <w:sz w:val="20"/>
                <w:szCs w:val="20"/>
                <w:color w:val="auto"/>
              </w:rPr>
            </w:pPr>
            <w:r>
              <w:rPr>
                <w:rFonts w:ascii="Arial" w:cs="Arial" w:eastAsia="Arial" w:hAnsi="Arial"/>
                <w:sz w:val="18"/>
                <w:szCs w:val="18"/>
                <w:color w:val="auto"/>
              </w:rPr>
              <w:t>Equity securities</w:t>
            </w: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40" w:type="dxa"/>
            <w:vAlign w:val="bottom"/>
          </w:tcPr>
          <w:p>
            <w:pPr>
              <w:ind w:left="480"/>
              <w:spacing w:after="0"/>
              <w:rPr>
                <w:sz w:val="20"/>
                <w:szCs w:val="20"/>
                <w:color w:val="auto"/>
              </w:rPr>
            </w:pPr>
            <w:r>
              <w:rPr>
                <w:rFonts w:ascii="Arial" w:cs="Arial" w:eastAsia="Arial" w:hAnsi="Arial"/>
                <w:sz w:val="18"/>
                <w:szCs w:val="18"/>
                <w:color w:val="auto"/>
              </w:rPr>
              <w:t>U.S.</w:t>
            </w:r>
          </w:p>
        </w:tc>
        <w:tc>
          <w:tcPr>
            <w:tcW w:w="700" w:type="dxa"/>
            <w:vAlign w:val="bottom"/>
          </w:tcPr>
          <w:p>
            <w:pPr>
              <w:ind w:left="4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94"/>
              <w:spacing w:after="0"/>
              <w:rPr>
                <w:sz w:val="20"/>
                <w:szCs w:val="20"/>
                <w:color w:val="auto"/>
              </w:rPr>
            </w:pPr>
            <w:r>
              <w:rPr>
                <w:rFonts w:ascii="Arial" w:cs="Arial" w:eastAsia="Arial" w:hAnsi="Arial"/>
                <w:sz w:val="18"/>
                <w:szCs w:val="18"/>
                <w:color w:val="auto"/>
              </w:rPr>
              <w:t>2,323</w:t>
            </w:r>
          </w:p>
        </w:tc>
        <w:tc>
          <w:tcPr>
            <w:tcW w:w="680" w:type="dxa"/>
            <w:vAlign w:val="bottom"/>
          </w:tcPr>
          <w:p>
            <w:pPr>
              <w:jc w:val="right"/>
              <w:spacing w:after="0"/>
              <w:rPr>
                <w:sz w:val="20"/>
                <w:szCs w:val="20"/>
                <w:color w:val="auto"/>
              </w:rPr>
            </w:pPr>
            <w:r>
              <w:rPr>
                <w:rFonts w:ascii="Arial" w:cs="Arial" w:eastAsia="Arial" w:hAnsi="Arial"/>
                <w:sz w:val="18"/>
                <w:szCs w:val="18"/>
                <w:color w:val="auto"/>
              </w:rPr>
              <w:t>2,323</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820" w:type="dxa"/>
            <w:vAlign w:val="bottom"/>
          </w:tcPr>
          <w:p>
            <w:pPr>
              <w:ind w:left="5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4,177</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4,177</w:t>
            </w:r>
          </w:p>
        </w:tc>
        <w:tc>
          <w:tcPr>
            <w:tcW w:w="0" w:type="dxa"/>
            <w:vAlign w:val="bottom"/>
          </w:tcPr>
          <w:p>
            <w:pPr>
              <w:spacing w:after="0"/>
              <w:rPr>
                <w:sz w:val="1"/>
                <w:szCs w:val="1"/>
                <w:color w:val="auto"/>
              </w:rPr>
            </w:pPr>
          </w:p>
        </w:tc>
      </w:tr>
      <w:tr>
        <w:trPr>
          <w:trHeight w:val="229"/>
        </w:trPr>
        <w:tc>
          <w:tcPr>
            <w:tcW w:w="2440" w:type="dxa"/>
            <w:vAlign w:val="bottom"/>
          </w:tcPr>
          <w:p>
            <w:pPr>
              <w:ind w:left="480"/>
              <w:spacing w:after="0"/>
              <w:rPr>
                <w:sz w:val="20"/>
                <w:szCs w:val="20"/>
                <w:color w:val="auto"/>
              </w:rPr>
            </w:pPr>
            <w:r>
              <w:rPr>
                <w:rFonts w:ascii="Arial" w:cs="Arial" w:eastAsia="Arial" w:hAnsi="Arial"/>
                <w:sz w:val="18"/>
                <w:szCs w:val="18"/>
                <w:color w:val="auto"/>
              </w:rPr>
              <w:t>Non-U.S.</w:t>
            </w:r>
          </w:p>
        </w:tc>
        <w:tc>
          <w:tcPr>
            <w:tcW w:w="700" w:type="dxa"/>
            <w:vAlign w:val="bottom"/>
          </w:tcPr>
          <w:p>
            <w:pPr>
              <w:ind w:left="4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94"/>
              <w:spacing w:after="0"/>
              <w:rPr>
                <w:sz w:val="20"/>
                <w:szCs w:val="20"/>
                <w:color w:val="auto"/>
              </w:rPr>
            </w:pPr>
            <w:r>
              <w:rPr>
                <w:rFonts w:ascii="Arial" w:cs="Arial" w:eastAsia="Arial" w:hAnsi="Arial"/>
                <w:sz w:val="18"/>
                <w:szCs w:val="18"/>
                <w:color w:val="auto"/>
              </w:rPr>
              <w:t>1,703</w:t>
            </w:r>
          </w:p>
        </w:tc>
        <w:tc>
          <w:tcPr>
            <w:tcW w:w="680" w:type="dxa"/>
            <w:vAlign w:val="bottom"/>
          </w:tcPr>
          <w:p>
            <w:pPr>
              <w:jc w:val="right"/>
              <w:spacing w:after="0"/>
              <w:rPr>
                <w:sz w:val="20"/>
                <w:szCs w:val="20"/>
                <w:color w:val="auto"/>
              </w:rPr>
            </w:pPr>
            <w:r>
              <w:rPr>
                <w:rFonts w:ascii="Arial" w:cs="Arial" w:eastAsia="Arial" w:hAnsi="Arial"/>
                <w:sz w:val="18"/>
                <w:szCs w:val="18"/>
                <w:color w:val="auto"/>
              </w:rPr>
              <w:t>1,703</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89</w:t>
            </w:r>
          </w:p>
        </w:tc>
        <w:tc>
          <w:tcPr>
            <w:tcW w:w="240" w:type="dxa"/>
            <w:vAlign w:val="bottom"/>
          </w:tcPr>
          <w:p>
            <w:pPr>
              <w:jc w:val="right"/>
              <w:ind w:right="26"/>
              <w:spacing w:after="0"/>
              <w:rPr>
                <w:sz w:val="20"/>
                <w:szCs w:val="20"/>
                <w:color w:val="auto"/>
              </w:rPr>
            </w:pPr>
            <w:r>
              <w:rPr>
                <w:rFonts w:ascii="Arial" w:cs="Arial" w:eastAsia="Arial" w:hAnsi="Arial"/>
                <w:sz w:val="11"/>
                <w:szCs w:val="11"/>
                <w:i w:val="1"/>
                <w:iCs w:val="1"/>
                <w:color w:val="auto"/>
              </w:rPr>
              <w:t>(1)</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820" w:type="dxa"/>
            <w:vAlign w:val="bottom"/>
          </w:tcPr>
          <w:p>
            <w:pPr>
              <w:ind w:left="5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3,285</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3,374</w:t>
            </w:r>
          </w:p>
        </w:tc>
        <w:tc>
          <w:tcPr>
            <w:tcW w:w="0" w:type="dxa"/>
            <w:vAlign w:val="bottom"/>
          </w:tcPr>
          <w:p>
            <w:pPr>
              <w:spacing w:after="0"/>
              <w:rPr>
                <w:sz w:val="1"/>
                <w:szCs w:val="1"/>
                <w:color w:val="auto"/>
              </w:rPr>
            </w:pPr>
          </w:p>
        </w:tc>
      </w:tr>
      <w:tr>
        <w:trPr>
          <w:trHeight w:val="229"/>
        </w:trPr>
        <w:tc>
          <w:tcPr>
            <w:tcW w:w="2440" w:type="dxa"/>
            <w:vAlign w:val="bottom"/>
          </w:tcPr>
          <w:p>
            <w:pPr>
              <w:ind w:left="220"/>
              <w:spacing w:after="0"/>
              <w:rPr>
                <w:sz w:val="20"/>
                <w:szCs w:val="20"/>
                <w:color w:val="auto"/>
              </w:rPr>
            </w:pPr>
            <w:r>
              <w:rPr>
                <w:rFonts w:ascii="Arial" w:cs="Arial" w:eastAsia="Arial" w:hAnsi="Arial"/>
                <w:sz w:val="18"/>
                <w:szCs w:val="18"/>
                <w:color w:val="auto"/>
              </w:rPr>
              <w:t>Private equity</w:t>
            </w:r>
          </w:p>
        </w:tc>
        <w:tc>
          <w:tcPr>
            <w:tcW w:w="700" w:type="dxa"/>
            <w:vAlign w:val="bottom"/>
          </w:tcPr>
          <w:p>
            <w:pPr>
              <w:ind w:left="4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94"/>
              <w:spacing w:after="0"/>
              <w:rPr>
                <w:sz w:val="20"/>
                <w:szCs w:val="20"/>
                <w:color w:val="auto"/>
              </w:rPr>
            </w:pPr>
            <w:r>
              <w:rPr>
                <w:rFonts w:ascii="Arial" w:cs="Arial" w:eastAsia="Arial" w:hAnsi="Arial"/>
                <w:sz w:val="18"/>
                <w:szCs w:val="18"/>
                <w:color w:val="auto"/>
              </w:rPr>
              <w:t>548</w:t>
            </w:r>
          </w:p>
        </w:tc>
        <w:tc>
          <w:tcPr>
            <w:tcW w:w="680" w:type="dxa"/>
            <w:vAlign w:val="bottom"/>
          </w:tcPr>
          <w:p>
            <w:pPr>
              <w:jc w:val="right"/>
              <w:spacing w:after="0"/>
              <w:rPr>
                <w:sz w:val="20"/>
                <w:szCs w:val="20"/>
                <w:color w:val="auto"/>
              </w:rPr>
            </w:pPr>
            <w:r>
              <w:rPr>
                <w:rFonts w:ascii="Arial" w:cs="Arial" w:eastAsia="Arial" w:hAnsi="Arial"/>
                <w:sz w:val="18"/>
                <w:szCs w:val="18"/>
                <w:color w:val="auto"/>
              </w:rPr>
              <w:t>548</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820" w:type="dxa"/>
            <w:vAlign w:val="bottom"/>
          </w:tcPr>
          <w:p>
            <w:pPr>
              <w:ind w:left="5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530</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30"/>
        </w:trPr>
        <w:tc>
          <w:tcPr>
            <w:tcW w:w="2440" w:type="dxa"/>
            <w:vAlign w:val="bottom"/>
          </w:tcPr>
          <w:p>
            <w:pPr>
              <w:ind w:left="220"/>
              <w:spacing w:after="0"/>
              <w:rPr>
                <w:sz w:val="20"/>
                <w:szCs w:val="20"/>
                <w:color w:val="auto"/>
              </w:rPr>
            </w:pPr>
            <w:r>
              <w:rPr>
                <w:rFonts w:ascii="Arial" w:cs="Arial" w:eastAsia="Arial" w:hAnsi="Arial"/>
                <w:sz w:val="18"/>
                <w:szCs w:val="18"/>
                <w:color w:val="auto"/>
              </w:rPr>
              <w:t>Debt securities</w:t>
            </w: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40" w:type="dxa"/>
            <w:vAlign w:val="bottom"/>
          </w:tcPr>
          <w:p>
            <w:pPr>
              <w:ind w:left="480"/>
              <w:spacing w:after="0"/>
              <w:rPr>
                <w:sz w:val="20"/>
                <w:szCs w:val="20"/>
                <w:color w:val="auto"/>
              </w:rPr>
            </w:pPr>
            <w:r>
              <w:rPr>
                <w:rFonts w:ascii="Arial" w:cs="Arial" w:eastAsia="Arial" w:hAnsi="Arial"/>
                <w:sz w:val="18"/>
                <w:szCs w:val="18"/>
                <w:color w:val="auto"/>
              </w:rPr>
              <w:t>Corporate</w:t>
            </w:r>
          </w:p>
        </w:tc>
        <w:tc>
          <w:tcPr>
            <w:tcW w:w="700" w:type="dxa"/>
            <w:vAlign w:val="bottom"/>
          </w:tcPr>
          <w:p>
            <w:pPr>
              <w:ind w:left="4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5,146</w:t>
            </w:r>
          </w:p>
        </w:tc>
        <w:tc>
          <w:tcPr>
            <w:tcW w:w="220" w:type="dxa"/>
            <w:vAlign w:val="bottom"/>
          </w:tcPr>
          <w:p>
            <w:pPr>
              <w:jc w:val="right"/>
              <w:ind w:right="6"/>
              <w:spacing w:after="0"/>
              <w:rPr>
                <w:sz w:val="20"/>
                <w:szCs w:val="20"/>
                <w:color w:val="auto"/>
              </w:rPr>
            </w:pPr>
            <w:r>
              <w:rPr>
                <w:rFonts w:ascii="Arial" w:cs="Arial" w:eastAsia="Arial" w:hAnsi="Arial"/>
                <w:sz w:val="11"/>
                <w:szCs w:val="11"/>
                <w:i w:val="1"/>
                <w:iCs w:val="1"/>
                <w:color w:val="auto"/>
              </w:rPr>
              <w:t>(2)</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94"/>
              <w:spacing w:after="0"/>
              <w:rPr>
                <w:sz w:val="20"/>
                <w:szCs w:val="20"/>
                <w:color w:val="auto"/>
              </w:rPr>
            </w:pPr>
            <w:r>
              <w:rPr>
                <w:rFonts w:ascii="Arial" w:cs="Arial" w:eastAsia="Arial" w:hAnsi="Arial"/>
                <w:sz w:val="18"/>
                <w:szCs w:val="18"/>
                <w:color w:val="auto"/>
              </w:rPr>
              <w:t>1</w:t>
            </w:r>
          </w:p>
        </w:tc>
        <w:tc>
          <w:tcPr>
            <w:tcW w:w="680" w:type="dxa"/>
            <w:vAlign w:val="bottom"/>
          </w:tcPr>
          <w:p>
            <w:pPr>
              <w:jc w:val="right"/>
              <w:spacing w:after="0"/>
              <w:rPr>
                <w:sz w:val="20"/>
                <w:szCs w:val="20"/>
                <w:color w:val="auto"/>
              </w:rPr>
            </w:pPr>
            <w:r>
              <w:rPr>
                <w:rFonts w:ascii="Arial" w:cs="Arial" w:eastAsia="Arial" w:hAnsi="Arial"/>
                <w:sz w:val="18"/>
                <w:szCs w:val="18"/>
                <w:color w:val="auto"/>
              </w:rPr>
              <w:t>5,147</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138</w:t>
            </w:r>
          </w:p>
        </w:tc>
        <w:tc>
          <w:tcPr>
            <w:tcW w:w="400" w:type="dxa"/>
            <w:vAlign w:val="bottom"/>
          </w:tcPr>
          <w:p>
            <w:pPr>
              <w:jc w:val="right"/>
              <w:ind w:right="166"/>
              <w:spacing w:after="0"/>
              <w:rPr>
                <w:sz w:val="20"/>
                <w:szCs w:val="20"/>
                <w:color w:val="auto"/>
              </w:rPr>
            </w:pPr>
            <w:r>
              <w:rPr>
                <w:rFonts w:ascii="Arial" w:cs="Arial" w:eastAsia="Arial" w:hAnsi="Arial"/>
                <w:sz w:val="11"/>
                <w:szCs w:val="11"/>
                <w:i w:val="1"/>
                <w:iCs w:val="1"/>
                <w:color w:val="auto"/>
              </w:rPr>
              <w:t>(2)</w:t>
            </w:r>
          </w:p>
        </w:tc>
        <w:tc>
          <w:tcPr>
            <w:tcW w:w="820" w:type="dxa"/>
            <w:vAlign w:val="bottom"/>
          </w:tcPr>
          <w:p>
            <w:pPr>
              <w:ind w:left="5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5,212</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5,350</w:t>
            </w:r>
          </w:p>
        </w:tc>
        <w:tc>
          <w:tcPr>
            <w:tcW w:w="0" w:type="dxa"/>
            <w:vAlign w:val="bottom"/>
          </w:tcPr>
          <w:p>
            <w:pPr>
              <w:spacing w:after="0"/>
              <w:rPr>
                <w:sz w:val="1"/>
                <w:szCs w:val="1"/>
                <w:color w:val="auto"/>
              </w:rPr>
            </w:pPr>
          </w:p>
        </w:tc>
      </w:tr>
      <w:tr>
        <w:trPr>
          <w:trHeight w:val="230"/>
        </w:trPr>
        <w:tc>
          <w:tcPr>
            <w:tcW w:w="2440" w:type="dxa"/>
            <w:vAlign w:val="bottom"/>
          </w:tcPr>
          <w:p>
            <w:pPr>
              <w:ind w:left="480"/>
              <w:spacing w:after="0"/>
              <w:rPr>
                <w:sz w:val="20"/>
                <w:szCs w:val="20"/>
                <w:color w:val="auto"/>
              </w:rPr>
            </w:pPr>
            <w:r>
              <w:rPr>
                <w:rFonts w:ascii="Arial" w:cs="Arial" w:eastAsia="Arial" w:hAnsi="Arial"/>
                <w:sz w:val="18"/>
                <w:szCs w:val="18"/>
                <w:color w:val="auto"/>
              </w:rPr>
              <w:t>Government</w:t>
            </w:r>
          </w:p>
        </w:tc>
        <w:tc>
          <w:tcPr>
            <w:tcW w:w="700" w:type="dxa"/>
            <w:vAlign w:val="bottom"/>
          </w:tcPr>
          <w:p>
            <w:pPr>
              <w:ind w:left="4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5,261</w:t>
            </w:r>
          </w:p>
        </w:tc>
        <w:tc>
          <w:tcPr>
            <w:tcW w:w="220" w:type="dxa"/>
            <w:vAlign w:val="bottom"/>
          </w:tcPr>
          <w:p>
            <w:pPr>
              <w:jc w:val="right"/>
              <w:ind w:right="6"/>
              <w:spacing w:after="0"/>
              <w:rPr>
                <w:sz w:val="20"/>
                <w:szCs w:val="20"/>
                <w:color w:val="auto"/>
              </w:rPr>
            </w:pPr>
            <w:r>
              <w:rPr>
                <w:rFonts w:ascii="Arial" w:cs="Arial" w:eastAsia="Arial" w:hAnsi="Arial"/>
                <w:sz w:val="11"/>
                <w:szCs w:val="11"/>
                <w:i w:val="1"/>
                <w:iCs w:val="1"/>
                <w:color w:val="auto"/>
              </w:rPr>
              <w:t>(2)</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94"/>
              <w:spacing w:after="0"/>
              <w:rPr>
                <w:sz w:val="20"/>
                <w:szCs w:val="20"/>
                <w:color w:val="auto"/>
              </w:rPr>
            </w:pPr>
            <w:r>
              <w:rPr>
                <w:rFonts w:ascii="Arial" w:cs="Arial" w:eastAsia="Arial" w:hAnsi="Arial"/>
                <w:sz w:val="18"/>
                <w:szCs w:val="18"/>
                <w:color w:val="auto"/>
              </w:rPr>
              <w:t>2</w:t>
            </w:r>
          </w:p>
        </w:tc>
        <w:tc>
          <w:tcPr>
            <w:tcW w:w="680" w:type="dxa"/>
            <w:vAlign w:val="bottom"/>
          </w:tcPr>
          <w:p>
            <w:pPr>
              <w:jc w:val="right"/>
              <w:spacing w:after="0"/>
              <w:rPr>
                <w:sz w:val="20"/>
                <w:szCs w:val="20"/>
                <w:color w:val="auto"/>
              </w:rPr>
            </w:pPr>
            <w:r>
              <w:rPr>
                <w:rFonts w:ascii="Arial" w:cs="Arial" w:eastAsia="Arial" w:hAnsi="Arial"/>
                <w:sz w:val="18"/>
                <w:szCs w:val="18"/>
                <w:color w:val="auto"/>
              </w:rPr>
              <w:t>5,263</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250</w:t>
            </w:r>
          </w:p>
        </w:tc>
        <w:tc>
          <w:tcPr>
            <w:tcW w:w="240" w:type="dxa"/>
            <w:vAlign w:val="bottom"/>
          </w:tcPr>
          <w:p>
            <w:pPr>
              <w:jc w:val="right"/>
              <w:ind w:right="26"/>
              <w:spacing w:after="0"/>
              <w:rPr>
                <w:sz w:val="20"/>
                <w:szCs w:val="20"/>
                <w:color w:val="auto"/>
              </w:rPr>
            </w:pPr>
            <w:r>
              <w:rPr>
                <w:rFonts w:ascii="Arial" w:cs="Arial" w:eastAsia="Arial" w:hAnsi="Arial"/>
                <w:sz w:val="11"/>
                <w:szCs w:val="11"/>
                <w:i w:val="1"/>
                <w:iCs w:val="1"/>
                <w:color w:val="auto"/>
              </w:rPr>
              <w:t>(3)</w:t>
            </w:r>
          </w:p>
        </w:tc>
        <w:tc>
          <w:tcPr>
            <w:tcW w:w="840" w:type="dxa"/>
            <w:vAlign w:val="bottom"/>
          </w:tcPr>
          <w:p>
            <w:pPr>
              <w:jc w:val="right"/>
              <w:spacing w:after="0"/>
              <w:rPr>
                <w:sz w:val="20"/>
                <w:szCs w:val="20"/>
                <w:color w:val="auto"/>
              </w:rPr>
            </w:pPr>
            <w:r>
              <w:rPr>
                <w:rFonts w:ascii="Arial" w:cs="Arial" w:eastAsia="Arial" w:hAnsi="Arial"/>
                <w:sz w:val="18"/>
                <w:szCs w:val="18"/>
                <w:color w:val="auto"/>
              </w:rPr>
              <w:t>116</w:t>
            </w:r>
          </w:p>
        </w:tc>
        <w:tc>
          <w:tcPr>
            <w:tcW w:w="400" w:type="dxa"/>
            <w:vAlign w:val="bottom"/>
          </w:tcPr>
          <w:p>
            <w:pPr>
              <w:jc w:val="right"/>
              <w:ind w:right="166"/>
              <w:spacing w:after="0"/>
              <w:rPr>
                <w:sz w:val="20"/>
                <w:szCs w:val="20"/>
                <w:color w:val="auto"/>
              </w:rPr>
            </w:pPr>
            <w:r>
              <w:rPr>
                <w:rFonts w:ascii="Arial" w:cs="Arial" w:eastAsia="Arial" w:hAnsi="Arial"/>
                <w:sz w:val="11"/>
                <w:szCs w:val="11"/>
                <w:i w:val="1"/>
                <w:iCs w:val="1"/>
                <w:color w:val="auto"/>
              </w:rPr>
              <w:t>(2)</w:t>
            </w:r>
          </w:p>
        </w:tc>
        <w:tc>
          <w:tcPr>
            <w:tcW w:w="820" w:type="dxa"/>
            <w:vAlign w:val="bottom"/>
          </w:tcPr>
          <w:p>
            <w:pPr>
              <w:ind w:left="5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11,993</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12,359</w:t>
            </w:r>
          </w:p>
        </w:tc>
        <w:tc>
          <w:tcPr>
            <w:tcW w:w="0" w:type="dxa"/>
            <w:vAlign w:val="bottom"/>
          </w:tcPr>
          <w:p>
            <w:pPr>
              <w:spacing w:after="0"/>
              <w:rPr>
                <w:sz w:val="1"/>
                <w:szCs w:val="1"/>
                <w:color w:val="auto"/>
              </w:rPr>
            </w:pPr>
          </w:p>
        </w:tc>
      </w:tr>
      <w:tr>
        <w:trPr>
          <w:trHeight w:val="229"/>
        </w:trPr>
        <w:tc>
          <w:tcPr>
            <w:tcW w:w="2440" w:type="dxa"/>
            <w:vAlign w:val="bottom"/>
          </w:tcPr>
          <w:p>
            <w:pPr>
              <w:ind w:left="480"/>
              <w:spacing w:after="0"/>
              <w:rPr>
                <w:sz w:val="20"/>
                <w:szCs w:val="20"/>
                <w:color w:val="auto"/>
              </w:rPr>
            </w:pPr>
            <w:r>
              <w:rPr>
                <w:rFonts w:ascii="Arial" w:cs="Arial" w:eastAsia="Arial" w:hAnsi="Arial"/>
                <w:sz w:val="18"/>
                <w:szCs w:val="18"/>
                <w:color w:val="auto"/>
              </w:rPr>
              <w:t>Asset-backed</w:t>
            </w:r>
          </w:p>
        </w:tc>
        <w:tc>
          <w:tcPr>
            <w:tcW w:w="700" w:type="dxa"/>
            <w:vAlign w:val="bottom"/>
          </w:tcPr>
          <w:p>
            <w:pPr>
              <w:ind w:left="4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94"/>
              <w:spacing w:after="0"/>
              <w:rPr>
                <w:sz w:val="20"/>
                <w:szCs w:val="20"/>
                <w:color w:val="auto"/>
              </w:rPr>
            </w:pPr>
            <w:r>
              <w:rPr>
                <w:rFonts w:ascii="Arial" w:cs="Arial" w:eastAsia="Arial" w:hAnsi="Arial"/>
                <w:sz w:val="18"/>
                <w:szCs w:val="18"/>
                <w:color w:val="auto"/>
              </w:rPr>
              <w:t>1</w:t>
            </w: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w:t>
            </w:r>
          </w:p>
        </w:tc>
        <w:tc>
          <w:tcPr>
            <w:tcW w:w="400" w:type="dxa"/>
            <w:vAlign w:val="bottom"/>
          </w:tcPr>
          <w:p>
            <w:pPr>
              <w:jc w:val="right"/>
              <w:ind w:right="166"/>
              <w:spacing w:after="0"/>
              <w:rPr>
                <w:sz w:val="20"/>
                <w:szCs w:val="20"/>
                <w:color w:val="auto"/>
              </w:rPr>
            </w:pPr>
            <w:r>
              <w:rPr>
                <w:rFonts w:ascii="Arial" w:cs="Arial" w:eastAsia="Arial" w:hAnsi="Arial"/>
                <w:sz w:val="11"/>
                <w:szCs w:val="11"/>
                <w:i w:val="1"/>
                <w:iCs w:val="1"/>
                <w:color w:val="auto"/>
              </w:rPr>
              <w:t>(2)</w:t>
            </w:r>
          </w:p>
        </w:tc>
        <w:tc>
          <w:tcPr>
            <w:tcW w:w="820" w:type="dxa"/>
            <w:vAlign w:val="bottom"/>
          </w:tcPr>
          <w:p>
            <w:pPr>
              <w:ind w:left="5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30"/>
        </w:trPr>
        <w:tc>
          <w:tcPr>
            <w:tcW w:w="2440" w:type="dxa"/>
            <w:vAlign w:val="bottom"/>
          </w:tcPr>
          <w:p>
            <w:pPr>
              <w:ind w:left="220"/>
              <w:spacing w:after="0"/>
              <w:rPr>
                <w:sz w:val="20"/>
                <w:szCs w:val="20"/>
                <w:color w:val="auto"/>
              </w:rPr>
            </w:pPr>
            <w:r>
              <w:rPr>
                <w:rFonts w:ascii="Arial" w:cs="Arial" w:eastAsia="Arial" w:hAnsi="Arial"/>
                <w:sz w:val="18"/>
                <w:szCs w:val="18"/>
                <w:color w:val="auto"/>
              </w:rPr>
              <w:t>Cash</w:t>
            </w:r>
          </w:p>
        </w:tc>
        <w:tc>
          <w:tcPr>
            <w:tcW w:w="70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308</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w:t>
            </w: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69</w:t>
            </w: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40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i w:val="1"/>
                <w:iCs w:val="1"/>
                <w:color w:val="auto"/>
              </w:rPr>
              <w:t>(4)</w:t>
            </w:r>
          </w:p>
        </w:tc>
        <w:tc>
          <w:tcPr>
            <w:tcW w:w="82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23"/>
        </w:trPr>
        <w:tc>
          <w:tcPr>
            <w:tcW w:w="2440" w:type="dxa"/>
            <w:vAlign w:val="bottom"/>
          </w:tcPr>
          <w:p>
            <w:pPr>
              <w:ind w:left="20"/>
              <w:spacing w:after="0"/>
              <w:rPr>
                <w:sz w:val="20"/>
                <w:szCs w:val="20"/>
                <w:color w:val="auto"/>
              </w:rPr>
            </w:pPr>
            <w:r>
              <w:rPr>
                <w:rFonts w:ascii="Arial" w:cs="Arial" w:eastAsia="Arial" w:hAnsi="Arial"/>
                <w:sz w:val="18"/>
                <w:szCs w:val="18"/>
                <w:color w:val="auto"/>
              </w:rPr>
              <w:t>Total at fair value</w:t>
            </w:r>
          </w:p>
        </w:tc>
        <w:tc>
          <w:tcPr>
            <w:tcW w:w="700" w:type="dxa"/>
            <w:vAlign w:val="bottom"/>
          </w:tcPr>
          <w:p>
            <w:pPr>
              <w:ind w:left="4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10,407</w:t>
            </w:r>
          </w:p>
        </w:tc>
        <w:tc>
          <w:tcPr>
            <w:tcW w:w="220" w:type="dxa"/>
            <w:vAlign w:val="bottom"/>
          </w:tcPr>
          <w:p>
            <w:pPr>
              <w:spacing w:after="0"/>
              <w:rPr>
                <w:sz w:val="19"/>
                <w:szCs w:val="19"/>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94"/>
              <w:spacing w:after="0"/>
              <w:rPr>
                <w:sz w:val="20"/>
                <w:szCs w:val="20"/>
                <w:color w:val="auto"/>
              </w:rPr>
            </w:pPr>
            <w:r>
              <w:rPr>
                <w:rFonts w:ascii="Arial" w:cs="Arial" w:eastAsia="Arial" w:hAnsi="Arial"/>
                <w:sz w:val="18"/>
                <w:szCs w:val="18"/>
                <w:color w:val="auto"/>
              </w:rPr>
              <w:t>4,886</w:t>
            </w:r>
          </w:p>
        </w:tc>
        <w:tc>
          <w:tcPr>
            <w:tcW w:w="680" w:type="dxa"/>
            <w:vAlign w:val="bottom"/>
          </w:tcPr>
          <w:p>
            <w:pPr>
              <w:jc w:val="right"/>
              <w:spacing w:after="0"/>
              <w:rPr>
                <w:sz w:val="20"/>
                <w:szCs w:val="20"/>
                <w:color w:val="auto"/>
              </w:rPr>
            </w:pPr>
            <w:r>
              <w:rPr>
                <w:rFonts w:ascii="Arial" w:cs="Arial" w:eastAsia="Arial" w:hAnsi="Arial"/>
                <w:sz w:val="18"/>
                <w:szCs w:val="18"/>
                <w:color w:val="auto"/>
              </w:rPr>
              <w:t>15,293</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408</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299</w:t>
            </w:r>
          </w:p>
        </w:tc>
        <w:tc>
          <w:tcPr>
            <w:tcW w:w="400" w:type="dxa"/>
            <w:vAlign w:val="bottom"/>
          </w:tcPr>
          <w:p>
            <w:pPr>
              <w:spacing w:after="0"/>
              <w:rPr>
                <w:sz w:val="19"/>
                <w:szCs w:val="19"/>
                <w:color w:val="auto"/>
              </w:rPr>
            </w:pPr>
          </w:p>
        </w:tc>
        <w:tc>
          <w:tcPr>
            <w:tcW w:w="820" w:type="dxa"/>
            <w:vAlign w:val="bottom"/>
          </w:tcPr>
          <w:p>
            <w:pPr>
              <w:ind w:left="5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25,486</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26,193</w:t>
            </w:r>
          </w:p>
        </w:tc>
        <w:tc>
          <w:tcPr>
            <w:tcW w:w="0" w:type="dxa"/>
            <w:vAlign w:val="bottom"/>
          </w:tcPr>
          <w:p>
            <w:pPr>
              <w:spacing w:after="0"/>
              <w:rPr>
                <w:sz w:val="1"/>
                <w:szCs w:val="1"/>
                <w:color w:val="auto"/>
              </w:rPr>
            </w:pPr>
          </w:p>
        </w:tc>
      </w:tr>
      <w:tr>
        <w:trPr>
          <w:trHeight w:val="155"/>
        </w:trPr>
        <w:tc>
          <w:tcPr>
            <w:tcW w:w="2440" w:type="dxa"/>
            <w:vAlign w:val="bottom"/>
          </w:tcPr>
          <w:p>
            <w:pPr>
              <w:ind w:left="480"/>
              <w:spacing w:after="0" w:line="156" w:lineRule="exact"/>
              <w:rPr>
                <w:sz w:val="20"/>
                <w:szCs w:val="20"/>
                <w:color w:val="auto"/>
              </w:rPr>
            </w:pPr>
            <w:r>
              <w:rPr>
                <w:rFonts w:ascii="Arial" w:cs="Arial" w:eastAsia="Arial" w:hAnsi="Arial"/>
                <w:sz w:val="18"/>
                <w:szCs w:val="18"/>
                <w:color w:val="auto"/>
              </w:rPr>
              <w:t>Insurance contracts at</w:t>
            </w:r>
          </w:p>
        </w:tc>
        <w:tc>
          <w:tcPr>
            <w:tcW w:w="7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5"/>
        </w:trPr>
        <w:tc>
          <w:tcPr>
            <w:tcW w:w="2440" w:type="dxa"/>
            <w:vAlign w:val="bottom"/>
          </w:tcPr>
          <w:p>
            <w:pPr>
              <w:ind w:left="480"/>
              <w:spacing w:after="0"/>
              <w:rPr>
                <w:sz w:val="20"/>
                <w:szCs w:val="20"/>
                <w:color w:val="auto"/>
              </w:rPr>
            </w:pPr>
            <w:r>
              <w:rPr>
                <w:rFonts w:ascii="Arial" w:cs="Arial" w:eastAsia="Arial" w:hAnsi="Arial"/>
                <w:sz w:val="18"/>
                <w:szCs w:val="18"/>
                <w:color w:val="auto"/>
              </w:rPr>
              <w:t>contract value</w:t>
            </w: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8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40" w:type="dxa"/>
            <w:vAlign w:val="bottom"/>
          </w:tcPr>
          <w:p>
            <w:pPr>
              <w:ind w:left="20"/>
              <w:spacing w:after="0"/>
              <w:rPr>
                <w:sz w:val="20"/>
                <w:szCs w:val="20"/>
                <w:color w:val="auto"/>
              </w:rPr>
            </w:pPr>
            <w:r>
              <w:rPr>
                <w:rFonts w:ascii="Arial" w:cs="Arial" w:eastAsia="Arial" w:hAnsi="Arial"/>
                <w:sz w:val="18"/>
                <w:szCs w:val="18"/>
                <w:color w:val="auto"/>
              </w:rPr>
              <w:t>Total plan assets</w:t>
            </w: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15,300</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26,216</w:t>
            </w:r>
          </w:p>
        </w:tc>
        <w:tc>
          <w:tcPr>
            <w:tcW w:w="0" w:type="dxa"/>
            <w:vAlign w:val="bottom"/>
          </w:tcPr>
          <w:p>
            <w:pPr>
              <w:spacing w:after="0"/>
              <w:rPr>
                <w:sz w:val="1"/>
                <w:szCs w:val="1"/>
                <w:color w:val="auto"/>
              </w:rPr>
            </w:pPr>
          </w:p>
        </w:tc>
      </w:tr>
    </w:tbl>
    <w:p>
      <w:pPr>
        <w:spacing w:after="0" w:line="337" w:lineRule="exact"/>
        <w:rPr>
          <w:sz w:val="20"/>
          <w:szCs w:val="20"/>
          <w:color w:val="auto"/>
        </w:rPr>
      </w:pPr>
    </w:p>
    <w:p>
      <w:pPr>
        <w:ind w:left="320" w:hanging="312"/>
        <w:spacing w:after="0"/>
        <w:tabs>
          <w:tab w:leader="none" w:pos="320" w:val="left"/>
        </w:tabs>
        <w:numPr>
          <w:ilvl w:val="0"/>
          <w:numId w:val="29"/>
        </w:numPr>
        <w:rPr>
          <w:rFonts w:ascii="Arial" w:cs="Arial" w:eastAsia="Arial" w:hAnsi="Arial"/>
          <w:sz w:val="18"/>
          <w:szCs w:val="18"/>
          <w:i w:val="1"/>
          <w:iCs w:val="1"/>
          <w:color w:val="auto"/>
        </w:rPr>
      </w:pPr>
      <w:r>
        <w:rPr>
          <w:rFonts w:ascii="Arial" w:cs="Arial" w:eastAsia="Arial" w:hAnsi="Arial"/>
          <w:sz w:val="18"/>
          <w:szCs w:val="18"/>
          <w:i w:val="1"/>
          <w:iCs w:val="1"/>
          <w:color w:val="auto"/>
        </w:rPr>
        <w:t>For non-U.S. equity securities held in separate accounts, fair value is based on observable quoted prices on active exchanges.</w:t>
      </w:r>
    </w:p>
    <w:p>
      <w:pPr>
        <w:spacing w:after="0" w:line="63" w:lineRule="exact"/>
        <w:rPr>
          <w:rFonts w:ascii="Arial" w:cs="Arial" w:eastAsia="Arial" w:hAnsi="Arial"/>
          <w:sz w:val="18"/>
          <w:szCs w:val="18"/>
          <w:i w:val="1"/>
          <w:iCs w:val="1"/>
          <w:color w:val="auto"/>
        </w:rPr>
      </w:pPr>
    </w:p>
    <w:p>
      <w:pPr>
        <w:ind w:left="320" w:hanging="312"/>
        <w:spacing w:after="0"/>
        <w:tabs>
          <w:tab w:leader="none" w:pos="320" w:val="left"/>
        </w:tabs>
        <w:numPr>
          <w:ilvl w:val="0"/>
          <w:numId w:val="29"/>
        </w:numPr>
        <w:rPr>
          <w:rFonts w:ascii="Arial" w:cs="Arial" w:eastAsia="Arial" w:hAnsi="Arial"/>
          <w:sz w:val="17"/>
          <w:szCs w:val="17"/>
          <w:i w:val="1"/>
          <w:iCs w:val="1"/>
          <w:color w:val="auto"/>
        </w:rPr>
      </w:pPr>
      <w:r>
        <w:rPr>
          <w:rFonts w:ascii="Arial" w:cs="Arial" w:eastAsia="Arial" w:hAnsi="Arial"/>
          <w:sz w:val="17"/>
          <w:szCs w:val="17"/>
          <w:i w:val="1"/>
          <w:iCs w:val="1"/>
          <w:color w:val="auto"/>
        </w:rPr>
        <w:t>For corporate, government and asset-backed debt securities, fair value is based on observable inputs of comparable market transactions.</w:t>
      </w:r>
    </w:p>
    <w:p>
      <w:pPr>
        <w:spacing w:after="0" w:line="74" w:lineRule="exact"/>
        <w:rPr>
          <w:rFonts w:ascii="Arial" w:cs="Arial" w:eastAsia="Arial" w:hAnsi="Arial"/>
          <w:sz w:val="17"/>
          <w:szCs w:val="17"/>
          <w:i w:val="1"/>
          <w:iCs w:val="1"/>
          <w:color w:val="auto"/>
        </w:rPr>
      </w:pPr>
    </w:p>
    <w:p>
      <w:pPr>
        <w:ind w:left="320" w:hanging="312"/>
        <w:spacing w:after="0"/>
        <w:tabs>
          <w:tab w:leader="none" w:pos="320" w:val="left"/>
        </w:tabs>
        <w:numPr>
          <w:ilvl w:val="0"/>
          <w:numId w:val="29"/>
        </w:numPr>
        <w:rPr>
          <w:rFonts w:ascii="Arial" w:cs="Arial" w:eastAsia="Arial" w:hAnsi="Arial"/>
          <w:sz w:val="18"/>
          <w:szCs w:val="18"/>
          <w:i w:val="1"/>
          <w:iCs w:val="1"/>
          <w:color w:val="auto"/>
        </w:rPr>
      </w:pPr>
      <w:r>
        <w:rPr>
          <w:rFonts w:ascii="Arial" w:cs="Arial" w:eastAsia="Arial" w:hAnsi="Arial"/>
          <w:sz w:val="18"/>
          <w:szCs w:val="18"/>
          <w:i w:val="1"/>
          <w:iCs w:val="1"/>
          <w:color w:val="auto"/>
        </w:rPr>
        <w:t>For government debt securities that are traded on active exchanges, fair value is based on observable quoted prices.</w:t>
      </w:r>
    </w:p>
    <w:p>
      <w:pPr>
        <w:spacing w:after="0" w:line="63" w:lineRule="exact"/>
        <w:rPr>
          <w:rFonts w:ascii="Arial" w:cs="Arial" w:eastAsia="Arial" w:hAnsi="Arial"/>
          <w:sz w:val="18"/>
          <w:szCs w:val="18"/>
          <w:i w:val="1"/>
          <w:iCs w:val="1"/>
          <w:color w:val="auto"/>
        </w:rPr>
      </w:pPr>
    </w:p>
    <w:p>
      <w:pPr>
        <w:ind w:left="320" w:hanging="312"/>
        <w:spacing w:after="0"/>
        <w:tabs>
          <w:tab w:leader="none" w:pos="320" w:val="left"/>
        </w:tabs>
        <w:numPr>
          <w:ilvl w:val="0"/>
          <w:numId w:val="29"/>
        </w:numPr>
        <w:rPr>
          <w:rFonts w:ascii="Arial" w:cs="Arial" w:eastAsia="Arial" w:hAnsi="Arial"/>
          <w:sz w:val="18"/>
          <w:szCs w:val="18"/>
          <w:i w:val="1"/>
          <w:iCs w:val="1"/>
          <w:color w:val="auto"/>
        </w:rPr>
      </w:pPr>
      <w:r>
        <w:rPr>
          <w:rFonts w:ascii="Arial" w:cs="Arial" w:eastAsia="Arial" w:hAnsi="Arial"/>
          <w:sz w:val="18"/>
          <w:szCs w:val="18"/>
          <w:i w:val="1"/>
          <w:iCs w:val="1"/>
          <w:color w:val="auto"/>
        </w:rPr>
        <w:t>For cash balances that are subject to withdrawal penalties or other adjustments, the fair value is treated as a Level 2 input.</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6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7"/>
              </w:rPr>
              <w:t>Other Postretirement</w:t>
            </w:r>
          </w:p>
        </w:tc>
        <w:tc>
          <w:tcPr>
            <w:tcW w:w="1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r>
      <w:tr>
        <w:trPr>
          <w:trHeight w:val="209"/>
        </w:trPr>
        <w:tc>
          <w:tcPr>
            <w:tcW w:w="5060" w:type="dxa"/>
            <w:vAlign w:val="bottom"/>
          </w:tcPr>
          <w:p>
            <w:pPr>
              <w:spacing w:after="0"/>
              <w:rPr>
                <w:sz w:val="18"/>
                <w:szCs w:val="18"/>
                <w:color w:val="auto"/>
              </w:rPr>
            </w:pPr>
          </w:p>
        </w:tc>
        <w:tc>
          <w:tcPr>
            <w:tcW w:w="4940" w:type="dxa"/>
            <w:vAlign w:val="bottom"/>
            <w:tcBorders>
              <w:bottom w:val="single" w:sz="8" w:color="auto"/>
            </w:tcBorders>
            <w:gridSpan w:val="6"/>
          </w:tcPr>
          <w:p>
            <w:pPr>
              <w:jc w:val="right"/>
              <w:ind w:right="712"/>
              <w:spacing w:after="0"/>
              <w:rPr>
                <w:sz w:val="20"/>
                <w:szCs w:val="20"/>
                <w:color w:val="auto"/>
              </w:rPr>
            </w:pPr>
            <w:r>
              <w:rPr>
                <w:rFonts w:ascii="Arial" w:cs="Arial" w:eastAsia="Arial" w:hAnsi="Arial"/>
                <w:sz w:val="14"/>
                <w:szCs w:val="14"/>
                <w:b w:val="1"/>
                <w:bCs w:val="1"/>
                <w:color w:val="auto"/>
              </w:rPr>
              <w:t>Fair Value Measurement at December 31, 2020, Using:</w:t>
            </w:r>
          </w:p>
        </w:tc>
        <w:tc>
          <w:tcPr>
            <w:tcW w:w="1240" w:type="dxa"/>
            <w:vAlign w:val="bottom"/>
          </w:tcPr>
          <w:p>
            <w:pPr>
              <w:spacing w:after="0"/>
              <w:rPr>
                <w:sz w:val="18"/>
                <w:szCs w:val="18"/>
                <w:color w:val="auto"/>
              </w:rPr>
            </w:pPr>
          </w:p>
        </w:tc>
      </w:tr>
      <w:tr>
        <w:trPr>
          <w:trHeight w:val="210"/>
        </w:trPr>
        <w:tc>
          <w:tcPr>
            <w:tcW w:w="50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Level 1</w:t>
            </w: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Level 2</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Level 3</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Net Asset Value</w:t>
            </w:r>
          </w:p>
        </w:tc>
        <w:tc>
          <w:tcPr>
            <w:tcW w:w="12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Total</w:t>
            </w:r>
          </w:p>
        </w:tc>
      </w:tr>
      <w:tr>
        <w:trPr>
          <w:trHeight w:val="190"/>
        </w:trPr>
        <w:tc>
          <w:tcPr>
            <w:tcW w:w="50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ind w:left="120"/>
              <w:spacing w:after="0"/>
              <w:rPr>
                <w:sz w:val="20"/>
                <w:szCs w:val="20"/>
                <w:color w:val="auto"/>
              </w:rPr>
            </w:pPr>
            <w:r>
              <w:rPr>
                <w:rFonts w:ascii="Arial" w:cs="Arial" w:eastAsia="Arial" w:hAnsi="Arial"/>
                <w:sz w:val="14"/>
                <w:szCs w:val="14"/>
                <w:i w:val="1"/>
                <w:iCs w:val="1"/>
                <w:color w:val="auto"/>
              </w:rPr>
              <w:t>(millions of dollars)</w:t>
            </w:r>
          </w:p>
        </w:tc>
        <w:tc>
          <w:tcPr>
            <w:tcW w:w="11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68"/>
        </w:trPr>
        <w:tc>
          <w:tcPr>
            <w:tcW w:w="5060" w:type="dxa"/>
            <w:vAlign w:val="bottom"/>
          </w:tcPr>
          <w:p>
            <w:pPr>
              <w:ind w:left="20"/>
              <w:spacing w:after="0"/>
              <w:rPr>
                <w:sz w:val="20"/>
                <w:szCs w:val="20"/>
                <w:color w:val="auto"/>
              </w:rPr>
            </w:pPr>
            <w:r>
              <w:rPr>
                <w:rFonts w:ascii="Arial" w:cs="Arial" w:eastAsia="Arial" w:hAnsi="Arial"/>
                <w:sz w:val="18"/>
                <w:szCs w:val="18"/>
                <w:color w:val="auto"/>
              </w:rPr>
              <w:t>Asset category:</w:t>
            </w:r>
          </w:p>
        </w:tc>
        <w:tc>
          <w:tcPr>
            <w:tcW w:w="9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30"/>
        </w:trPr>
        <w:tc>
          <w:tcPr>
            <w:tcW w:w="5060" w:type="dxa"/>
            <w:vAlign w:val="bottom"/>
          </w:tcPr>
          <w:p>
            <w:pPr>
              <w:ind w:left="220"/>
              <w:spacing w:after="0"/>
              <w:rPr>
                <w:sz w:val="20"/>
                <w:szCs w:val="20"/>
                <w:color w:val="auto"/>
              </w:rPr>
            </w:pPr>
            <w:r>
              <w:rPr>
                <w:rFonts w:ascii="Arial" w:cs="Arial" w:eastAsia="Arial" w:hAnsi="Arial"/>
                <w:sz w:val="18"/>
                <w:szCs w:val="18"/>
                <w:color w:val="auto"/>
              </w:rPr>
              <w:t>Equity securities</w:t>
            </w: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5060" w:type="dxa"/>
            <w:vAlign w:val="bottom"/>
          </w:tcPr>
          <w:p>
            <w:pPr>
              <w:ind w:left="480"/>
              <w:spacing w:after="0"/>
              <w:rPr>
                <w:sz w:val="20"/>
                <w:szCs w:val="20"/>
                <w:color w:val="auto"/>
              </w:rPr>
            </w:pPr>
            <w:r>
              <w:rPr>
                <w:rFonts w:ascii="Arial" w:cs="Arial" w:eastAsia="Arial" w:hAnsi="Arial"/>
                <w:sz w:val="18"/>
                <w:szCs w:val="18"/>
                <w:color w:val="auto"/>
              </w:rPr>
              <w:t>U.S.</w:t>
            </w:r>
          </w:p>
        </w:tc>
        <w:tc>
          <w:tcPr>
            <w:tcW w:w="940" w:type="dxa"/>
            <w:vAlign w:val="bottom"/>
          </w:tcPr>
          <w:p>
            <w:pPr>
              <w:jc w:val="right"/>
              <w:spacing w:after="0"/>
              <w:rPr>
                <w:sz w:val="20"/>
                <w:szCs w:val="20"/>
                <w:color w:val="auto"/>
              </w:rPr>
            </w:pPr>
            <w:r>
              <w:rPr>
                <w:rFonts w:ascii="Arial" w:cs="Arial" w:eastAsia="Arial" w:hAnsi="Arial"/>
                <w:sz w:val="18"/>
                <w:szCs w:val="18"/>
                <w:color w:val="auto"/>
              </w:rPr>
              <w:t>88</w:t>
            </w:r>
          </w:p>
        </w:tc>
        <w:tc>
          <w:tcPr>
            <w:tcW w:w="360" w:type="dxa"/>
            <w:vAlign w:val="bottom"/>
          </w:tcPr>
          <w:p>
            <w:pPr>
              <w:jc w:val="right"/>
              <w:ind w:right="126"/>
              <w:spacing w:after="0"/>
              <w:rPr>
                <w:sz w:val="20"/>
                <w:szCs w:val="20"/>
                <w:color w:val="auto"/>
              </w:rPr>
            </w:pPr>
            <w:r>
              <w:rPr>
                <w:rFonts w:ascii="Arial" w:cs="Arial" w:eastAsia="Arial" w:hAnsi="Arial"/>
                <w:sz w:val="11"/>
                <w:szCs w:val="11"/>
                <w:i w:val="1"/>
                <w:iCs w:val="1"/>
                <w:color w:val="auto"/>
              </w:rPr>
              <w:t>(1)</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20" w:type="dxa"/>
            <w:vAlign w:val="bottom"/>
          </w:tcPr>
          <w:p>
            <w:pPr>
              <w:ind w:left="10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29"/>
        </w:trPr>
        <w:tc>
          <w:tcPr>
            <w:tcW w:w="5060" w:type="dxa"/>
            <w:vAlign w:val="bottom"/>
          </w:tcPr>
          <w:p>
            <w:pPr>
              <w:ind w:left="480"/>
              <w:spacing w:after="0"/>
              <w:rPr>
                <w:sz w:val="20"/>
                <w:szCs w:val="20"/>
                <w:color w:val="auto"/>
              </w:rPr>
            </w:pPr>
            <w:r>
              <w:rPr>
                <w:rFonts w:ascii="Arial" w:cs="Arial" w:eastAsia="Arial" w:hAnsi="Arial"/>
                <w:sz w:val="18"/>
                <w:szCs w:val="18"/>
                <w:color w:val="auto"/>
              </w:rPr>
              <w:t>Non-U.S.</w:t>
            </w:r>
          </w:p>
        </w:tc>
        <w:tc>
          <w:tcPr>
            <w:tcW w:w="940" w:type="dxa"/>
            <w:vAlign w:val="bottom"/>
          </w:tcPr>
          <w:p>
            <w:pPr>
              <w:jc w:val="right"/>
              <w:spacing w:after="0"/>
              <w:rPr>
                <w:sz w:val="20"/>
                <w:szCs w:val="20"/>
                <w:color w:val="auto"/>
              </w:rPr>
            </w:pPr>
            <w:r>
              <w:rPr>
                <w:rFonts w:ascii="Arial" w:cs="Arial" w:eastAsia="Arial" w:hAnsi="Arial"/>
                <w:sz w:val="18"/>
                <w:szCs w:val="18"/>
                <w:color w:val="auto"/>
              </w:rPr>
              <w:t>48</w:t>
            </w:r>
          </w:p>
        </w:tc>
        <w:tc>
          <w:tcPr>
            <w:tcW w:w="360" w:type="dxa"/>
            <w:vAlign w:val="bottom"/>
          </w:tcPr>
          <w:p>
            <w:pPr>
              <w:jc w:val="right"/>
              <w:ind w:right="126"/>
              <w:spacing w:after="0"/>
              <w:rPr>
                <w:sz w:val="20"/>
                <w:szCs w:val="20"/>
                <w:color w:val="auto"/>
              </w:rPr>
            </w:pPr>
            <w:r>
              <w:rPr>
                <w:rFonts w:ascii="Arial" w:cs="Arial" w:eastAsia="Arial" w:hAnsi="Arial"/>
                <w:sz w:val="11"/>
                <w:szCs w:val="11"/>
                <w:i w:val="1"/>
                <w:iCs w:val="1"/>
                <w:color w:val="auto"/>
              </w:rPr>
              <w:t>(1)</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20" w:type="dxa"/>
            <w:vAlign w:val="bottom"/>
          </w:tcPr>
          <w:p>
            <w:pPr>
              <w:ind w:left="10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30"/>
        </w:trPr>
        <w:tc>
          <w:tcPr>
            <w:tcW w:w="5060" w:type="dxa"/>
            <w:vAlign w:val="bottom"/>
          </w:tcPr>
          <w:p>
            <w:pPr>
              <w:ind w:left="220"/>
              <w:spacing w:after="0"/>
              <w:rPr>
                <w:sz w:val="20"/>
                <w:szCs w:val="20"/>
                <w:color w:val="auto"/>
              </w:rPr>
            </w:pPr>
            <w:r>
              <w:rPr>
                <w:rFonts w:ascii="Arial" w:cs="Arial" w:eastAsia="Arial" w:hAnsi="Arial"/>
                <w:sz w:val="18"/>
                <w:szCs w:val="18"/>
                <w:color w:val="auto"/>
              </w:rPr>
              <w:t>Debt securities</w:t>
            </w: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5060" w:type="dxa"/>
            <w:vAlign w:val="bottom"/>
          </w:tcPr>
          <w:p>
            <w:pPr>
              <w:ind w:left="480"/>
              <w:spacing w:after="0"/>
              <w:rPr>
                <w:sz w:val="20"/>
                <w:szCs w:val="20"/>
                <w:color w:val="auto"/>
              </w:rPr>
            </w:pPr>
            <w:r>
              <w:rPr>
                <w:rFonts w:ascii="Arial" w:cs="Arial" w:eastAsia="Arial" w:hAnsi="Arial"/>
                <w:sz w:val="18"/>
                <w:szCs w:val="18"/>
                <w:color w:val="auto"/>
              </w:rPr>
              <w:t>Corporate</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103</w:t>
            </w:r>
          </w:p>
        </w:tc>
        <w:tc>
          <w:tcPr>
            <w:tcW w:w="220" w:type="dxa"/>
            <w:vAlign w:val="bottom"/>
          </w:tcPr>
          <w:p>
            <w:pPr>
              <w:jc w:val="right"/>
              <w:spacing w:after="0"/>
              <w:rPr>
                <w:sz w:val="20"/>
                <w:szCs w:val="20"/>
                <w:color w:val="auto"/>
              </w:rPr>
            </w:pPr>
            <w:r>
              <w:rPr>
                <w:rFonts w:ascii="Arial" w:cs="Arial" w:eastAsia="Arial" w:hAnsi="Arial"/>
                <w:sz w:val="11"/>
                <w:szCs w:val="11"/>
                <w:i w:val="1"/>
                <w:iCs w:val="1"/>
                <w:color w:val="auto"/>
              </w:rPr>
              <w:t>(2)</w:t>
            </w:r>
          </w:p>
        </w:tc>
        <w:tc>
          <w:tcPr>
            <w:tcW w:w="1420" w:type="dxa"/>
            <w:vAlign w:val="bottom"/>
          </w:tcPr>
          <w:p>
            <w:pPr>
              <w:ind w:left="10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30"/>
        </w:trPr>
        <w:tc>
          <w:tcPr>
            <w:tcW w:w="5060" w:type="dxa"/>
            <w:vAlign w:val="bottom"/>
          </w:tcPr>
          <w:p>
            <w:pPr>
              <w:ind w:left="480"/>
              <w:spacing w:after="0"/>
              <w:rPr>
                <w:sz w:val="20"/>
                <w:szCs w:val="20"/>
                <w:color w:val="auto"/>
              </w:rPr>
            </w:pPr>
            <w:r>
              <w:rPr>
                <w:rFonts w:ascii="Arial" w:cs="Arial" w:eastAsia="Arial" w:hAnsi="Arial"/>
                <w:sz w:val="18"/>
                <w:szCs w:val="18"/>
                <w:color w:val="auto"/>
              </w:rPr>
              <w:t>Government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204</w:t>
            </w:r>
          </w:p>
        </w:tc>
        <w:tc>
          <w:tcPr>
            <w:tcW w:w="220" w:type="dxa"/>
            <w:vAlign w:val="bottom"/>
          </w:tcPr>
          <w:p>
            <w:pPr>
              <w:jc w:val="right"/>
              <w:spacing w:after="0"/>
              <w:rPr>
                <w:sz w:val="20"/>
                <w:szCs w:val="20"/>
                <w:color w:val="auto"/>
              </w:rPr>
            </w:pPr>
            <w:r>
              <w:rPr>
                <w:rFonts w:ascii="Arial" w:cs="Arial" w:eastAsia="Arial" w:hAnsi="Arial"/>
                <w:sz w:val="11"/>
                <w:szCs w:val="11"/>
                <w:i w:val="1"/>
                <w:iCs w:val="1"/>
                <w:color w:val="auto"/>
              </w:rPr>
              <w:t>(2)</w:t>
            </w:r>
          </w:p>
        </w:tc>
        <w:tc>
          <w:tcPr>
            <w:tcW w:w="1420" w:type="dxa"/>
            <w:vAlign w:val="bottom"/>
          </w:tcPr>
          <w:p>
            <w:pPr>
              <w:ind w:left="10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204</w:t>
            </w:r>
          </w:p>
        </w:tc>
      </w:tr>
      <w:tr>
        <w:trPr>
          <w:trHeight w:val="230"/>
        </w:trPr>
        <w:tc>
          <w:tcPr>
            <w:tcW w:w="5060" w:type="dxa"/>
            <w:vAlign w:val="bottom"/>
          </w:tcPr>
          <w:p>
            <w:pPr>
              <w:ind w:left="480"/>
              <w:spacing w:after="0"/>
              <w:rPr>
                <w:sz w:val="20"/>
                <w:szCs w:val="20"/>
                <w:color w:val="auto"/>
              </w:rPr>
            </w:pPr>
            <w:r>
              <w:rPr>
                <w:rFonts w:ascii="Arial" w:cs="Arial" w:eastAsia="Arial" w:hAnsi="Arial"/>
                <w:sz w:val="18"/>
                <w:szCs w:val="18"/>
                <w:color w:val="auto"/>
              </w:rPr>
              <w:t>Asset-backed</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20" w:type="dxa"/>
            <w:vAlign w:val="bottom"/>
          </w:tcPr>
          <w:p>
            <w:pPr>
              <w:ind w:left="10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060" w:type="dxa"/>
            <w:vAlign w:val="bottom"/>
          </w:tcPr>
          <w:p>
            <w:pPr>
              <w:ind w:left="220"/>
              <w:spacing w:after="0"/>
              <w:rPr>
                <w:sz w:val="20"/>
                <w:szCs w:val="20"/>
                <w:color w:val="auto"/>
              </w:rPr>
            </w:pPr>
            <w:r>
              <w:rPr>
                <w:rFonts w:ascii="Arial" w:cs="Arial" w:eastAsia="Arial" w:hAnsi="Arial"/>
                <w:sz w:val="18"/>
                <w:szCs w:val="18"/>
                <w:color w:val="auto"/>
              </w:rPr>
              <w:t>Cash</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ind w:left="10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5060" w:type="dxa"/>
            <w:vAlign w:val="bottom"/>
          </w:tcPr>
          <w:p>
            <w:pPr>
              <w:ind w:left="20"/>
              <w:spacing w:after="0"/>
              <w:rPr>
                <w:sz w:val="20"/>
                <w:szCs w:val="20"/>
                <w:color w:val="auto"/>
              </w:rPr>
            </w:pPr>
            <w:r>
              <w:rPr>
                <w:rFonts w:ascii="Arial" w:cs="Arial" w:eastAsia="Arial" w:hAnsi="Arial"/>
                <w:sz w:val="18"/>
                <w:szCs w:val="18"/>
                <w:color w:val="auto"/>
              </w:rPr>
              <w:t>Total at fair value</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ind w:left="10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20" w:hanging="312"/>
        <w:spacing w:after="0"/>
        <w:tabs>
          <w:tab w:leader="none" w:pos="320" w:val="left"/>
        </w:tabs>
        <w:numPr>
          <w:ilvl w:val="0"/>
          <w:numId w:val="30"/>
        </w:numPr>
        <w:rPr>
          <w:rFonts w:ascii="Arial" w:cs="Arial" w:eastAsia="Arial" w:hAnsi="Arial"/>
          <w:sz w:val="18"/>
          <w:szCs w:val="18"/>
          <w:i w:val="1"/>
          <w:iCs w:val="1"/>
          <w:color w:val="auto"/>
        </w:rPr>
      </w:pPr>
      <w:r>
        <w:rPr>
          <w:rFonts w:ascii="Arial" w:cs="Arial" w:eastAsia="Arial" w:hAnsi="Arial"/>
          <w:sz w:val="18"/>
          <w:szCs w:val="18"/>
          <w:i w:val="1"/>
          <w:iCs w:val="1"/>
          <w:color w:val="auto"/>
        </w:rPr>
        <w:t>For equity securities held in separate accounts, fair value is based on observable quoted prices on active exchanges.</w:t>
      </w:r>
    </w:p>
    <w:p>
      <w:pPr>
        <w:spacing w:after="0" w:line="63" w:lineRule="exact"/>
        <w:rPr>
          <w:rFonts w:ascii="Arial" w:cs="Arial" w:eastAsia="Arial" w:hAnsi="Arial"/>
          <w:sz w:val="18"/>
          <w:szCs w:val="18"/>
          <w:i w:val="1"/>
          <w:iCs w:val="1"/>
          <w:color w:val="auto"/>
        </w:rPr>
      </w:pPr>
    </w:p>
    <w:p>
      <w:pPr>
        <w:ind w:left="320" w:hanging="312"/>
        <w:spacing w:after="0"/>
        <w:tabs>
          <w:tab w:leader="none" w:pos="320" w:val="left"/>
        </w:tabs>
        <w:numPr>
          <w:ilvl w:val="0"/>
          <w:numId w:val="30"/>
        </w:numPr>
        <w:rPr>
          <w:rFonts w:ascii="Arial" w:cs="Arial" w:eastAsia="Arial" w:hAnsi="Arial"/>
          <w:sz w:val="17"/>
          <w:szCs w:val="17"/>
          <w:i w:val="1"/>
          <w:iCs w:val="1"/>
          <w:color w:val="auto"/>
        </w:rPr>
      </w:pPr>
      <w:r>
        <w:rPr>
          <w:rFonts w:ascii="Arial" w:cs="Arial" w:eastAsia="Arial" w:hAnsi="Arial"/>
          <w:sz w:val="17"/>
          <w:szCs w:val="17"/>
          <w:i w:val="1"/>
          <w:iCs w:val="1"/>
          <w:color w:val="auto"/>
        </w:rPr>
        <w:t>For corporate, government and asset-backed debt securities, fair value is based on observable inputs of comparable market transactions.</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color w:val="auto"/>
        </w:rPr>
        <w:t>A summary of pension plans with an accumulated benefit obligation and projected benefit obligation in excess of plan assets is shown in the table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820" w:type="dxa"/>
            <w:vAlign w:val="bottom"/>
            <w:gridSpan w:val="5"/>
          </w:tcPr>
          <w:p>
            <w:pPr>
              <w:jc w:val="right"/>
              <w:ind w:right="734"/>
              <w:spacing w:after="0"/>
              <w:rPr>
                <w:sz w:val="20"/>
                <w:szCs w:val="20"/>
                <w:color w:val="auto"/>
              </w:rPr>
            </w:pPr>
            <w:r>
              <w:rPr>
                <w:rFonts w:ascii="Arial" w:cs="Arial" w:eastAsia="Arial" w:hAnsi="Arial"/>
                <w:sz w:val="14"/>
                <w:szCs w:val="14"/>
                <w:b w:val="1"/>
                <w:bCs w:val="1"/>
                <w:color w:val="auto"/>
              </w:rPr>
              <w:t>Pension Benefits</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gridSpan w:val="2"/>
          </w:tcPr>
          <w:p>
            <w:pPr>
              <w:spacing w:after="0"/>
              <w:rPr>
                <w:sz w:val="3"/>
                <w:szCs w:val="3"/>
                <w:color w:val="auto"/>
              </w:rPr>
            </w:pPr>
          </w:p>
        </w:tc>
        <w:tc>
          <w:tcPr>
            <w:tcW w:w="262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540" w:type="dxa"/>
            <w:vAlign w:val="bottom"/>
            <w:gridSpan w:val="4"/>
          </w:tcPr>
          <w:p>
            <w:pPr>
              <w:spacing w:after="0"/>
              <w:rPr>
                <w:sz w:val="20"/>
                <w:szCs w:val="20"/>
                <w:color w:val="auto"/>
              </w:rPr>
            </w:pPr>
            <w:r>
              <w:rPr>
                <w:rFonts w:ascii="Arial" w:cs="Arial" w:eastAsia="Arial" w:hAnsi="Arial"/>
                <w:sz w:val="14"/>
                <w:szCs w:val="14"/>
                <w:b w:val="1"/>
                <w:bCs w:val="1"/>
                <w:color w:val="auto"/>
              </w:rPr>
              <w:t>U.S.</w:t>
            </w:r>
          </w:p>
        </w:tc>
        <w:tc>
          <w:tcPr>
            <w:tcW w:w="2620" w:type="dxa"/>
            <w:vAlign w:val="bottom"/>
            <w:gridSpan w:val="2"/>
          </w:tcPr>
          <w:p>
            <w:pPr>
              <w:jc w:val="right"/>
              <w:ind w:right="933"/>
              <w:spacing w:after="0"/>
              <w:rPr>
                <w:sz w:val="20"/>
                <w:szCs w:val="20"/>
                <w:color w:val="auto"/>
              </w:rPr>
            </w:pPr>
            <w:r>
              <w:rPr>
                <w:rFonts w:ascii="Arial" w:cs="Arial" w:eastAsia="Arial" w:hAnsi="Arial"/>
                <w:sz w:val="14"/>
                <w:szCs w:val="14"/>
                <w:b w:val="1"/>
                <w:bCs w:val="1"/>
                <w:color w:val="auto"/>
              </w:rPr>
              <w:t>Non-U.S.</w:t>
            </w:r>
          </w:p>
        </w:tc>
        <w:tc>
          <w:tcPr>
            <w:tcW w:w="0" w:type="dxa"/>
            <w:vAlign w:val="bottom"/>
          </w:tcPr>
          <w:p>
            <w:pPr>
              <w:spacing w:after="0"/>
              <w:rPr>
                <w:sz w:val="1"/>
                <w:szCs w:val="1"/>
                <w:color w:val="auto"/>
              </w:rPr>
            </w:pPr>
          </w:p>
        </w:tc>
      </w:tr>
      <w:tr>
        <w:trPr>
          <w:trHeight w:val="26"/>
        </w:trPr>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80" w:type="dxa"/>
            <w:vAlign w:val="bottom"/>
          </w:tcPr>
          <w:p>
            <w:pPr>
              <w:ind w:left="480"/>
              <w:spacing w:after="0"/>
              <w:rPr>
                <w:sz w:val="20"/>
                <w:szCs w:val="20"/>
                <w:color w:val="auto"/>
              </w:rPr>
            </w:pPr>
            <w:r>
              <w:rPr>
                <w:rFonts w:ascii="Arial" w:cs="Arial" w:eastAsia="Arial" w:hAnsi="Arial"/>
                <w:sz w:val="14"/>
                <w:szCs w:val="14"/>
                <w:b w:val="1"/>
                <w:bCs w:val="1"/>
                <w:color w:val="auto"/>
              </w:rPr>
              <w:t>2021</w:t>
            </w:r>
          </w:p>
        </w:tc>
        <w:tc>
          <w:tcPr>
            <w:tcW w:w="1220" w:type="dxa"/>
            <w:vAlign w:val="bottom"/>
          </w:tcPr>
          <w:p>
            <w:pPr>
              <w:jc w:val="right"/>
              <w:ind w:right="196"/>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right"/>
              <w:ind w:right="414"/>
              <w:spacing w:after="0"/>
              <w:rPr>
                <w:sz w:val="20"/>
                <w:szCs w:val="20"/>
                <w:color w:val="auto"/>
              </w:rPr>
            </w:pPr>
            <w:r>
              <w:rPr>
                <w:rFonts w:ascii="Arial" w:cs="Arial" w:eastAsia="Arial" w:hAnsi="Arial"/>
                <w:sz w:val="14"/>
                <w:szCs w:val="14"/>
                <w:b w:val="1"/>
                <w:bCs w:val="1"/>
                <w:color w:val="auto"/>
              </w:rPr>
              <w:t>2021</w:t>
            </w:r>
          </w:p>
        </w:tc>
        <w:tc>
          <w:tcPr>
            <w:tcW w:w="1340" w:type="dxa"/>
            <w:vAlign w:val="bottom"/>
          </w:tcPr>
          <w:p>
            <w:pPr>
              <w:jc w:val="right"/>
              <w:ind w:right="39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6"/>
        </w:trPr>
        <w:tc>
          <w:tcPr>
            <w:tcW w:w="3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820" w:type="dxa"/>
            <w:vAlign w:val="bottom"/>
            <w:gridSpan w:val="5"/>
          </w:tcPr>
          <w:p>
            <w:pPr>
              <w:jc w:val="right"/>
              <w:ind w:right="674"/>
              <w:spacing w:after="0"/>
              <w:rPr>
                <w:sz w:val="20"/>
                <w:szCs w:val="20"/>
                <w:color w:val="auto"/>
              </w:rPr>
            </w:pPr>
            <w:r>
              <w:rPr>
                <w:rFonts w:ascii="Arial" w:cs="Arial" w:eastAsia="Arial" w:hAnsi="Arial"/>
                <w:sz w:val="14"/>
                <w:szCs w:val="14"/>
                <w:i w:val="1"/>
                <w:iCs w:val="1"/>
                <w:color w:val="auto"/>
              </w:rPr>
              <w:t>(millions of dollars)</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900" w:type="dxa"/>
            <w:vAlign w:val="bottom"/>
            <w:gridSpan w:val="5"/>
          </w:tcPr>
          <w:p>
            <w:pPr>
              <w:ind w:left="20"/>
              <w:spacing w:after="0"/>
              <w:rPr>
                <w:sz w:val="20"/>
                <w:szCs w:val="20"/>
                <w:color w:val="auto"/>
              </w:rPr>
            </w:pPr>
            <w:r>
              <w:rPr>
                <w:rFonts w:ascii="Arial" w:cs="Arial" w:eastAsia="Arial" w:hAnsi="Arial"/>
                <w:sz w:val="18"/>
                <w:szCs w:val="18"/>
                <w:color w:val="auto"/>
              </w:rPr>
              <w:t>For funded pension plans with an accumulated benefit obligation</w:t>
            </w:r>
          </w:p>
        </w:tc>
        <w:tc>
          <w:tcPr>
            <w:tcW w:w="1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900" w:type="dxa"/>
            <w:vAlign w:val="bottom"/>
            <w:gridSpan w:val="5"/>
          </w:tcPr>
          <w:p>
            <w:pPr>
              <w:ind w:left="220"/>
              <w:spacing w:after="0"/>
              <w:rPr>
                <w:sz w:val="20"/>
                <w:szCs w:val="20"/>
                <w:color w:val="auto"/>
              </w:rPr>
            </w:pPr>
            <w:r>
              <w:rPr>
                <w:rFonts w:ascii="Arial" w:cs="Arial" w:eastAsia="Arial" w:hAnsi="Arial"/>
                <w:sz w:val="18"/>
                <w:szCs w:val="18"/>
                <w:color w:val="auto"/>
              </w:rPr>
              <w:t>in excess of plan assets:</w:t>
            </w:r>
          </w:p>
        </w:tc>
        <w:tc>
          <w:tcPr>
            <w:tcW w:w="1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900" w:type="dxa"/>
            <w:vAlign w:val="bottom"/>
            <w:gridSpan w:val="5"/>
          </w:tcPr>
          <w:p>
            <w:pPr>
              <w:ind w:left="220"/>
              <w:spacing w:after="0"/>
              <w:rPr>
                <w:sz w:val="20"/>
                <w:szCs w:val="20"/>
                <w:color w:val="auto"/>
              </w:rPr>
            </w:pPr>
            <w:r>
              <w:rPr>
                <w:rFonts w:ascii="Arial" w:cs="Arial" w:eastAsia="Arial" w:hAnsi="Arial"/>
                <w:sz w:val="18"/>
                <w:szCs w:val="18"/>
                <w:color w:val="auto"/>
              </w:rPr>
              <w:t>Accumulated benefit obligation</w:t>
            </w:r>
          </w:p>
        </w:tc>
        <w:tc>
          <w:tcPr>
            <w:tcW w:w="1180" w:type="dxa"/>
            <w:vAlign w:val="bottom"/>
          </w:tcPr>
          <w:p>
            <w:pPr>
              <w:jc w:val="right"/>
              <w:spacing w:after="0"/>
              <w:rPr>
                <w:sz w:val="20"/>
                <w:szCs w:val="20"/>
                <w:color w:val="auto"/>
              </w:rPr>
            </w:pPr>
            <w:r>
              <w:rPr>
                <w:rFonts w:ascii="Arial" w:cs="Arial" w:eastAsia="Arial" w:hAnsi="Arial"/>
                <w:sz w:val="18"/>
                <w:szCs w:val="18"/>
                <w:color w:val="auto"/>
              </w:rPr>
              <w:t>14,511</w:t>
            </w:r>
          </w:p>
        </w:tc>
        <w:tc>
          <w:tcPr>
            <w:tcW w:w="1440" w:type="dxa"/>
            <w:vAlign w:val="bottom"/>
            <w:gridSpan w:val="3"/>
          </w:tcPr>
          <w:p>
            <w:pPr>
              <w:jc w:val="right"/>
              <w:ind w:right="80"/>
              <w:spacing w:after="0"/>
              <w:rPr>
                <w:sz w:val="20"/>
                <w:szCs w:val="20"/>
                <w:color w:val="auto"/>
              </w:rPr>
            </w:pPr>
            <w:r>
              <w:rPr>
                <w:rFonts w:ascii="Arial" w:cs="Arial" w:eastAsia="Arial" w:hAnsi="Arial"/>
                <w:sz w:val="18"/>
                <w:szCs w:val="18"/>
                <w:color w:val="auto"/>
              </w:rPr>
              <w:t>16,129</w:t>
            </w:r>
          </w:p>
        </w:tc>
        <w:tc>
          <w:tcPr>
            <w:tcW w:w="100" w:type="dxa"/>
            <w:vAlign w:val="bottom"/>
          </w:tcPr>
          <w:p>
            <w:pPr>
              <w:spacing w:after="0"/>
              <w:rPr>
                <w:sz w:val="19"/>
                <w:szCs w:val="19"/>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3,108</w:t>
            </w:r>
          </w:p>
        </w:tc>
        <w:tc>
          <w:tcPr>
            <w:tcW w:w="1340" w:type="dxa"/>
            <w:vAlign w:val="bottom"/>
          </w:tcPr>
          <w:p>
            <w:pPr>
              <w:jc w:val="right"/>
              <w:spacing w:after="0"/>
              <w:rPr>
                <w:sz w:val="20"/>
                <w:szCs w:val="20"/>
                <w:color w:val="auto"/>
              </w:rPr>
            </w:pPr>
            <w:r>
              <w:rPr>
                <w:rFonts w:ascii="Arial" w:cs="Arial" w:eastAsia="Arial" w:hAnsi="Arial"/>
                <w:sz w:val="18"/>
                <w:szCs w:val="18"/>
                <w:color w:val="auto"/>
              </w:rPr>
              <w:t>4,602</w:t>
            </w:r>
          </w:p>
        </w:tc>
        <w:tc>
          <w:tcPr>
            <w:tcW w:w="0" w:type="dxa"/>
            <w:vAlign w:val="bottom"/>
          </w:tcPr>
          <w:p>
            <w:pPr>
              <w:spacing w:after="0"/>
              <w:rPr>
                <w:sz w:val="1"/>
                <w:szCs w:val="1"/>
                <w:color w:val="auto"/>
              </w:rPr>
            </w:pPr>
          </w:p>
        </w:tc>
      </w:tr>
      <w:tr>
        <w:trPr>
          <w:trHeight w:val="230"/>
        </w:trPr>
        <w:tc>
          <w:tcPr>
            <w:tcW w:w="5900" w:type="dxa"/>
            <w:vAlign w:val="bottom"/>
            <w:gridSpan w:val="5"/>
          </w:tcPr>
          <w:p>
            <w:pPr>
              <w:ind w:left="220"/>
              <w:spacing w:after="0"/>
              <w:rPr>
                <w:sz w:val="20"/>
                <w:szCs w:val="20"/>
                <w:color w:val="auto"/>
              </w:rPr>
            </w:pPr>
            <w:r>
              <w:rPr>
                <w:rFonts w:ascii="Arial" w:cs="Arial" w:eastAsia="Arial" w:hAnsi="Arial"/>
                <w:sz w:val="18"/>
                <w:szCs w:val="18"/>
                <w:color w:val="auto"/>
              </w:rPr>
              <w:t>Fair value of plan assets</w:t>
            </w:r>
          </w:p>
        </w:tc>
        <w:tc>
          <w:tcPr>
            <w:tcW w:w="1180" w:type="dxa"/>
            <w:vAlign w:val="bottom"/>
          </w:tcPr>
          <w:p>
            <w:pPr>
              <w:jc w:val="right"/>
              <w:spacing w:after="0"/>
              <w:rPr>
                <w:sz w:val="20"/>
                <w:szCs w:val="20"/>
                <w:color w:val="auto"/>
              </w:rPr>
            </w:pPr>
            <w:r>
              <w:rPr>
                <w:rFonts w:ascii="Arial" w:cs="Arial" w:eastAsia="Arial" w:hAnsi="Arial"/>
                <w:sz w:val="18"/>
                <w:szCs w:val="18"/>
                <w:color w:val="auto"/>
              </w:rPr>
              <w:t>13,266</w:t>
            </w:r>
          </w:p>
        </w:tc>
        <w:tc>
          <w:tcPr>
            <w:tcW w:w="1440" w:type="dxa"/>
            <w:vAlign w:val="bottom"/>
            <w:gridSpan w:val="3"/>
          </w:tcPr>
          <w:p>
            <w:pPr>
              <w:jc w:val="right"/>
              <w:ind w:right="80"/>
              <w:spacing w:after="0"/>
              <w:rPr>
                <w:sz w:val="20"/>
                <w:szCs w:val="20"/>
                <w:color w:val="auto"/>
              </w:rPr>
            </w:pPr>
            <w:r>
              <w:rPr>
                <w:rFonts w:ascii="Arial" w:cs="Arial" w:eastAsia="Arial" w:hAnsi="Arial"/>
                <w:sz w:val="18"/>
                <w:szCs w:val="18"/>
                <w:color w:val="auto"/>
              </w:rPr>
              <w:t>15,300</w:t>
            </w:r>
          </w:p>
        </w:tc>
        <w:tc>
          <w:tcPr>
            <w:tcW w:w="100" w:type="dxa"/>
            <w:vAlign w:val="bottom"/>
          </w:tcPr>
          <w:p>
            <w:pPr>
              <w:spacing w:after="0"/>
              <w:rPr>
                <w:sz w:val="20"/>
                <w:szCs w:val="20"/>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1,711</w:t>
            </w:r>
          </w:p>
        </w:tc>
        <w:tc>
          <w:tcPr>
            <w:tcW w:w="1340" w:type="dxa"/>
            <w:vAlign w:val="bottom"/>
          </w:tcPr>
          <w:p>
            <w:pPr>
              <w:jc w:val="right"/>
              <w:spacing w:after="0"/>
              <w:rPr>
                <w:sz w:val="20"/>
                <w:szCs w:val="20"/>
                <w:color w:val="auto"/>
              </w:rPr>
            </w:pPr>
            <w:r>
              <w:rPr>
                <w:rFonts w:ascii="Arial" w:cs="Arial" w:eastAsia="Arial" w:hAnsi="Arial"/>
                <w:sz w:val="18"/>
                <w:szCs w:val="18"/>
                <w:color w:val="auto"/>
              </w:rPr>
              <w:t>2,652</w:t>
            </w:r>
          </w:p>
        </w:tc>
        <w:tc>
          <w:tcPr>
            <w:tcW w:w="0" w:type="dxa"/>
            <w:vAlign w:val="bottom"/>
          </w:tcPr>
          <w:p>
            <w:pPr>
              <w:spacing w:after="0"/>
              <w:rPr>
                <w:sz w:val="1"/>
                <w:szCs w:val="1"/>
                <w:color w:val="auto"/>
              </w:rPr>
            </w:pPr>
          </w:p>
        </w:tc>
      </w:tr>
      <w:tr>
        <w:trPr>
          <w:trHeight w:val="459"/>
        </w:trPr>
        <w:tc>
          <w:tcPr>
            <w:tcW w:w="5900" w:type="dxa"/>
            <w:vAlign w:val="bottom"/>
            <w:gridSpan w:val="5"/>
          </w:tcPr>
          <w:p>
            <w:pPr>
              <w:ind w:left="20"/>
              <w:spacing w:after="0"/>
              <w:rPr>
                <w:sz w:val="20"/>
                <w:szCs w:val="20"/>
                <w:color w:val="auto"/>
              </w:rPr>
            </w:pPr>
            <w:r>
              <w:rPr>
                <w:rFonts w:ascii="Arial" w:cs="Arial" w:eastAsia="Arial" w:hAnsi="Arial"/>
                <w:sz w:val="18"/>
                <w:szCs w:val="18"/>
                <w:color w:val="auto"/>
              </w:rPr>
              <w:t>For funded pension plans with a projected benefit obligation</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80" w:type="dxa"/>
            <w:vAlign w:val="bottom"/>
            <w:gridSpan w:val="3"/>
            <w:vMerge w:val="restart"/>
          </w:tcPr>
          <w:p>
            <w:pPr>
              <w:ind w:left="120"/>
              <w:spacing w:after="0"/>
              <w:rPr>
                <w:sz w:val="20"/>
                <w:szCs w:val="20"/>
                <w:color w:val="auto"/>
              </w:rPr>
            </w:pPr>
            <w:r>
              <w:rPr>
                <w:rFonts w:ascii="Arial" w:cs="Arial" w:eastAsia="Arial" w:hAnsi="Arial"/>
                <w:sz w:val="18"/>
                <w:szCs w:val="18"/>
                <w:color w:val="auto"/>
              </w:rPr>
              <w:t>of plan assets:</w:t>
            </w:r>
          </w:p>
        </w:tc>
        <w:tc>
          <w:tcPr>
            <w:tcW w:w="1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820" w:type="dxa"/>
            <w:vAlign w:val="bottom"/>
            <w:gridSpan w:val="2"/>
          </w:tcPr>
          <w:p>
            <w:pPr>
              <w:ind w:left="240"/>
              <w:spacing w:after="0" w:line="195" w:lineRule="exact"/>
              <w:rPr>
                <w:sz w:val="20"/>
                <w:szCs w:val="20"/>
                <w:color w:val="auto"/>
              </w:rPr>
            </w:pPr>
            <w:r>
              <w:rPr>
                <w:rFonts w:ascii="Arial" w:cs="Arial" w:eastAsia="Arial" w:hAnsi="Arial"/>
                <w:sz w:val="18"/>
                <w:szCs w:val="18"/>
                <w:color w:val="auto"/>
                <w:w w:val="74"/>
              </w:rPr>
              <w:t>in excess</w:t>
            </w:r>
          </w:p>
        </w:tc>
        <w:tc>
          <w:tcPr>
            <w:tcW w:w="5080" w:type="dxa"/>
            <w:vAlign w:val="bottom"/>
            <w:gridSpan w:val="3"/>
            <w:vMerge w:val="continue"/>
          </w:tcPr>
          <w:p>
            <w:pPr>
              <w:spacing w:after="0"/>
              <w:rPr>
                <w:sz w:val="16"/>
                <w:szCs w:val="16"/>
                <w:color w:val="auto"/>
              </w:rPr>
            </w:pPr>
          </w:p>
        </w:tc>
        <w:tc>
          <w:tcPr>
            <w:tcW w:w="1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900" w:type="dxa"/>
            <w:vAlign w:val="bottom"/>
            <w:gridSpan w:val="5"/>
          </w:tcPr>
          <w:p>
            <w:pPr>
              <w:ind w:left="220"/>
              <w:spacing w:after="0"/>
              <w:rPr>
                <w:sz w:val="20"/>
                <w:szCs w:val="20"/>
                <w:color w:val="auto"/>
              </w:rPr>
            </w:pPr>
            <w:r>
              <w:rPr>
                <w:rFonts w:ascii="Arial" w:cs="Arial" w:eastAsia="Arial" w:hAnsi="Arial"/>
                <w:sz w:val="18"/>
                <w:szCs w:val="18"/>
                <w:color w:val="auto"/>
              </w:rPr>
              <w:t>Projected benefit obligation</w:t>
            </w:r>
          </w:p>
        </w:tc>
        <w:tc>
          <w:tcPr>
            <w:tcW w:w="1180" w:type="dxa"/>
            <w:vAlign w:val="bottom"/>
          </w:tcPr>
          <w:p>
            <w:pPr>
              <w:jc w:val="right"/>
              <w:spacing w:after="0"/>
              <w:rPr>
                <w:sz w:val="20"/>
                <w:szCs w:val="20"/>
                <w:color w:val="auto"/>
              </w:rPr>
            </w:pPr>
            <w:r>
              <w:rPr>
                <w:rFonts w:ascii="Arial" w:cs="Arial" w:eastAsia="Arial" w:hAnsi="Arial"/>
                <w:sz w:val="18"/>
                <w:szCs w:val="18"/>
                <w:color w:val="auto"/>
              </w:rPr>
              <w:t>16,836</w:t>
            </w:r>
          </w:p>
        </w:tc>
        <w:tc>
          <w:tcPr>
            <w:tcW w:w="1440" w:type="dxa"/>
            <w:vAlign w:val="bottom"/>
            <w:gridSpan w:val="3"/>
          </w:tcPr>
          <w:p>
            <w:pPr>
              <w:jc w:val="right"/>
              <w:ind w:right="80"/>
              <w:spacing w:after="0"/>
              <w:rPr>
                <w:sz w:val="20"/>
                <w:szCs w:val="20"/>
                <w:color w:val="auto"/>
              </w:rPr>
            </w:pPr>
            <w:r>
              <w:rPr>
                <w:rFonts w:ascii="Arial" w:cs="Arial" w:eastAsia="Arial" w:hAnsi="Arial"/>
                <w:sz w:val="18"/>
                <w:szCs w:val="18"/>
                <w:color w:val="auto"/>
              </w:rPr>
              <w:t>19,456</w:t>
            </w:r>
          </w:p>
        </w:tc>
        <w:tc>
          <w:tcPr>
            <w:tcW w:w="100" w:type="dxa"/>
            <w:vAlign w:val="bottom"/>
          </w:tcPr>
          <w:p>
            <w:pPr>
              <w:spacing w:after="0"/>
              <w:rPr>
                <w:sz w:val="19"/>
                <w:szCs w:val="19"/>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4,840</w:t>
            </w:r>
          </w:p>
        </w:tc>
        <w:tc>
          <w:tcPr>
            <w:tcW w:w="1340" w:type="dxa"/>
            <w:vAlign w:val="bottom"/>
          </w:tcPr>
          <w:p>
            <w:pPr>
              <w:jc w:val="right"/>
              <w:spacing w:after="0"/>
              <w:rPr>
                <w:sz w:val="20"/>
                <w:szCs w:val="20"/>
                <w:color w:val="auto"/>
              </w:rPr>
            </w:pPr>
            <w:r>
              <w:rPr>
                <w:rFonts w:ascii="Arial" w:cs="Arial" w:eastAsia="Arial" w:hAnsi="Arial"/>
                <w:sz w:val="18"/>
                <w:szCs w:val="18"/>
                <w:color w:val="auto"/>
              </w:rPr>
              <w:t>13,836</w:t>
            </w:r>
          </w:p>
        </w:tc>
        <w:tc>
          <w:tcPr>
            <w:tcW w:w="0" w:type="dxa"/>
            <w:vAlign w:val="bottom"/>
          </w:tcPr>
          <w:p>
            <w:pPr>
              <w:spacing w:after="0"/>
              <w:rPr>
                <w:sz w:val="1"/>
                <w:szCs w:val="1"/>
                <w:color w:val="auto"/>
              </w:rPr>
            </w:pPr>
          </w:p>
        </w:tc>
      </w:tr>
      <w:tr>
        <w:trPr>
          <w:trHeight w:val="230"/>
        </w:trPr>
        <w:tc>
          <w:tcPr>
            <w:tcW w:w="5900" w:type="dxa"/>
            <w:vAlign w:val="bottom"/>
            <w:gridSpan w:val="5"/>
          </w:tcPr>
          <w:p>
            <w:pPr>
              <w:ind w:left="220"/>
              <w:spacing w:after="0"/>
              <w:rPr>
                <w:sz w:val="20"/>
                <w:szCs w:val="20"/>
                <w:color w:val="auto"/>
              </w:rPr>
            </w:pPr>
            <w:r>
              <w:rPr>
                <w:rFonts w:ascii="Arial" w:cs="Arial" w:eastAsia="Arial" w:hAnsi="Arial"/>
                <w:sz w:val="18"/>
                <w:szCs w:val="18"/>
                <w:color w:val="auto"/>
              </w:rPr>
              <w:t>Fair value of plan assets</w:t>
            </w:r>
          </w:p>
        </w:tc>
        <w:tc>
          <w:tcPr>
            <w:tcW w:w="1180" w:type="dxa"/>
            <w:vAlign w:val="bottom"/>
          </w:tcPr>
          <w:p>
            <w:pPr>
              <w:jc w:val="right"/>
              <w:spacing w:after="0"/>
              <w:rPr>
                <w:sz w:val="20"/>
                <w:szCs w:val="20"/>
                <w:color w:val="auto"/>
              </w:rPr>
            </w:pPr>
            <w:r>
              <w:rPr>
                <w:rFonts w:ascii="Arial" w:cs="Arial" w:eastAsia="Arial" w:hAnsi="Arial"/>
                <w:sz w:val="18"/>
                <w:szCs w:val="18"/>
                <w:color w:val="auto"/>
              </w:rPr>
              <w:t>13,266</w:t>
            </w:r>
          </w:p>
        </w:tc>
        <w:tc>
          <w:tcPr>
            <w:tcW w:w="1440" w:type="dxa"/>
            <w:vAlign w:val="bottom"/>
            <w:gridSpan w:val="3"/>
          </w:tcPr>
          <w:p>
            <w:pPr>
              <w:jc w:val="right"/>
              <w:ind w:right="80"/>
              <w:spacing w:after="0"/>
              <w:rPr>
                <w:sz w:val="20"/>
                <w:szCs w:val="20"/>
                <w:color w:val="auto"/>
              </w:rPr>
            </w:pPr>
            <w:r>
              <w:rPr>
                <w:rFonts w:ascii="Arial" w:cs="Arial" w:eastAsia="Arial" w:hAnsi="Arial"/>
                <w:sz w:val="18"/>
                <w:szCs w:val="18"/>
                <w:color w:val="auto"/>
              </w:rPr>
              <w:t>15,300</w:t>
            </w:r>
          </w:p>
        </w:tc>
        <w:tc>
          <w:tcPr>
            <w:tcW w:w="100" w:type="dxa"/>
            <w:vAlign w:val="bottom"/>
          </w:tcPr>
          <w:p>
            <w:pPr>
              <w:spacing w:after="0"/>
              <w:rPr>
                <w:sz w:val="20"/>
                <w:szCs w:val="20"/>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2,849</w:t>
            </w:r>
          </w:p>
        </w:tc>
        <w:tc>
          <w:tcPr>
            <w:tcW w:w="1340" w:type="dxa"/>
            <w:vAlign w:val="bottom"/>
          </w:tcPr>
          <w:p>
            <w:pPr>
              <w:jc w:val="right"/>
              <w:spacing w:after="0"/>
              <w:rPr>
                <w:sz w:val="20"/>
                <w:szCs w:val="20"/>
                <w:color w:val="auto"/>
              </w:rPr>
            </w:pPr>
            <w:r>
              <w:rPr>
                <w:rFonts w:ascii="Arial" w:cs="Arial" w:eastAsia="Arial" w:hAnsi="Arial"/>
                <w:sz w:val="18"/>
                <w:szCs w:val="18"/>
                <w:color w:val="auto"/>
              </w:rPr>
              <w:t>10,681</w:t>
            </w:r>
          </w:p>
        </w:tc>
        <w:tc>
          <w:tcPr>
            <w:tcW w:w="0" w:type="dxa"/>
            <w:vAlign w:val="bottom"/>
          </w:tcPr>
          <w:p>
            <w:pPr>
              <w:spacing w:after="0"/>
              <w:rPr>
                <w:sz w:val="1"/>
                <w:szCs w:val="1"/>
                <w:color w:val="auto"/>
              </w:rPr>
            </w:pPr>
          </w:p>
        </w:tc>
      </w:tr>
      <w:tr>
        <w:trPr>
          <w:trHeight w:val="445"/>
        </w:trPr>
        <w:tc>
          <w:tcPr>
            <w:tcW w:w="5900" w:type="dxa"/>
            <w:vAlign w:val="bottom"/>
            <w:gridSpan w:val="5"/>
          </w:tcPr>
          <w:p>
            <w:pPr>
              <w:ind w:left="20"/>
              <w:spacing w:after="0"/>
              <w:rPr>
                <w:sz w:val="20"/>
                <w:szCs w:val="20"/>
                <w:color w:val="auto"/>
              </w:rPr>
            </w:pPr>
            <w:r>
              <w:rPr>
                <w:rFonts w:ascii="Arial" w:cs="Arial" w:eastAsia="Arial" w:hAnsi="Arial"/>
                <w:sz w:val="18"/>
                <w:szCs w:val="18"/>
                <w:color w:val="auto"/>
              </w:rPr>
              <w:t>For unfunded pension plans:</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900" w:type="dxa"/>
            <w:vAlign w:val="bottom"/>
            <w:gridSpan w:val="5"/>
          </w:tcPr>
          <w:p>
            <w:pPr>
              <w:ind w:left="220"/>
              <w:spacing w:after="0"/>
              <w:rPr>
                <w:sz w:val="20"/>
                <w:szCs w:val="20"/>
                <w:color w:val="auto"/>
              </w:rPr>
            </w:pPr>
            <w:r>
              <w:rPr>
                <w:rFonts w:ascii="Arial" w:cs="Arial" w:eastAsia="Arial" w:hAnsi="Arial"/>
                <w:sz w:val="18"/>
                <w:szCs w:val="18"/>
                <w:color w:val="auto"/>
              </w:rPr>
              <w:t>Projected benefit obligation</w:t>
            </w:r>
          </w:p>
        </w:tc>
        <w:tc>
          <w:tcPr>
            <w:tcW w:w="1180" w:type="dxa"/>
            <w:vAlign w:val="bottom"/>
          </w:tcPr>
          <w:p>
            <w:pPr>
              <w:jc w:val="right"/>
              <w:spacing w:after="0"/>
              <w:rPr>
                <w:sz w:val="20"/>
                <w:szCs w:val="20"/>
                <w:color w:val="auto"/>
              </w:rPr>
            </w:pPr>
            <w:r>
              <w:rPr>
                <w:rFonts w:ascii="Arial" w:cs="Arial" w:eastAsia="Arial" w:hAnsi="Arial"/>
                <w:sz w:val="18"/>
                <w:szCs w:val="18"/>
                <w:color w:val="auto"/>
              </w:rPr>
              <w:t>1,675</w:t>
            </w:r>
          </w:p>
        </w:tc>
        <w:tc>
          <w:tcPr>
            <w:tcW w:w="1440" w:type="dxa"/>
            <w:vAlign w:val="bottom"/>
            <w:gridSpan w:val="3"/>
          </w:tcPr>
          <w:p>
            <w:pPr>
              <w:jc w:val="right"/>
              <w:ind w:right="80"/>
              <w:spacing w:after="0"/>
              <w:rPr>
                <w:sz w:val="20"/>
                <w:szCs w:val="20"/>
                <w:color w:val="auto"/>
              </w:rPr>
            </w:pPr>
            <w:r>
              <w:rPr>
                <w:rFonts w:ascii="Arial" w:cs="Arial" w:eastAsia="Arial" w:hAnsi="Arial"/>
                <w:sz w:val="18"/>
                <w:szCs w:val="18"/>
                <w:color w:val="auto"/>
              </w:rPr>
              <w:t>2,206</w:t>
            </w:r>
          </w:p>
        </w:tc>
        <w:tc>
          <w:tcPr>
            <w:tcW w:w="1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5,166</w:t>
            </w:r>
          </w:p>
        </w:tc>
        <w:tc>
          <w:tcPr>
            <w:tcW w:w="1340" w:type="dxa"/>
            <w:vAlign w:val="bottom"/>
          </w:tcPr>
          <w:p>
            <w:pPr>
              <w:jc w:val="right"/>
              <w:spacing w:after="0"/>
              <w:rPr>
                <w:sz w:val="20"/>
                <w:szCs w:val="20"/>
                <w:color w:val="auto"/>
              </w:rPr>
            </w:pPr>
            <w:r>
              <w:rPr>
                <w:rFonts w:ascii="Arial" w:cs="Arial" w:eastAsia="Arial" w:hAnsi="Arial"/>
                <w:sz w:val="18"/>
                <w:szCs w:val="18"/>
                <w:color w:val="auto"/>
              </w:rPr>
              <w:t>6,187</w:t>
            </w:r>
          </w:p>
        </w:tc>
        <w:tc>
          <w:tcPr>
            <w:tcW w:w="0" w:type="dxa"/>
            <w:vAlign w:val="bottom"/>
          </w:tcPr>
          <w:p>
            <w:pPr>
              <w:spacing w:after="0"/>
              <w:rPr>
                <w:sz w:val="1"/>
                <w:szCs w:val="1"/>
                <w:color w:val="auto"/>
              </w:rPr>
            </w:pPr>
          </w:p>
        </w:tc>
      </w:tr>
      <w:tr>
        <w:trPr>
          <w:trHeight w:val="230"/>
        </w:trPr>
        <w:tc>
          <w:tcPr>
            <w:tcW w:w="5900" w:type="dxa"/>
            <w:vAlign w:val="bottom"/>
            <w:gridSpan w:val="5"/>
          </w:tcPr>
          <w:p>
            <w:pPr>
              <w:ind w:left="220"/>
              <w:spacing w:after="0"/>
              <w:rPr>
                <w:sz w:val="20"/>
                <w:szCs w:val="20"/>
                <w:color w:val="auto"/>
              </w:rPr>
            </w:pPr>
            <w:r>
              <w:rPr>
                <w:rFonts w:ascii="Arial" w:cs="Arial" w:eastAsia="Arial" w:hAnsi="Arial"/>
                <w:sz w:val="18"/>
                <w:szCs w:val="18"/>
                <w:color w:val="auto"/>
              </w:rPr>
              <w:t>Accumulated benefit obligation</w:t>
            </w:r>
          </w:p>
        </w:tc>
        <w:tc>
          <w:tcPr>
            <w:tcW w:w="1180" w:type="dxa"/>
            <w:vAlign w:val="bottom"/>
          </w:tcPr>
          <w:p>
            <w:pPr>
              <w:jc w:val="right"/>
              <w:spacing w:after="0"/>
              <w:rPr>
                <w:sz w:val="20"/>
                <w:szCs w:val="20"/>
                <w:color w:val="auto"/>
              </w:rPr>
            </w:pPr>
            <w:r>
              <w:rPr>
                <w:rFonts w:ascii="Arial" w:cs="Arial" w:eastAsia="Arial" w:hAnsi="Arial"/>
                <w:sz w:val="18"/>
                <w:szCs w:val="18"/>
                <w:color w:val="auto"/>
              </w:rPr>
              <w:t>1,270</w:t>
            </w:r>
          </w:p>
        </w:tc>
        <w:tc>
          <w:tcPr>
            <w:tcW w:w="1440" w:type="dxa"/>
            <w:vAlign w:val="bottom"/>
            <w:gridSpan w:val="3"/>
          </w:tcPr>
          <w:p>
            <w:pPr>
              <w:jc w:val="right"/>
              <w:ind w:right="80"/>
              <w:spacing w:after="0"/>
              <w:rPr>
                <w:sz w:val="20"/>
                <w:szCs w:val="20"/>
                <w:color w:val="auto"/>
              </w:rPr>
            </w:pPr>
            <w:r>
              <w:rPr>
                <w:rFonts w:ascii="Arial" w:cs="Arial" w:eastAsia="Arial" w:hAnsi="Arial"/>
                <w:sz w:val="18"/>
                <w:szCs w:val="18"/>
                <w:color w:val="auto"/>
              </w:rPr>
              <w:t>1,373</w:t>
            </w:r>
          </w:p>
        </w:tc>
        <w:tc>
          <w:tcPr>
            <w:tcW w:w="100" w:type="dxa"/>
            <w:vAlign w:val="bottom"/>
          </w:tcPr>
          <w:p>
            <w:pPr>
              <w:spacing w:after="0"/>
              <w:rPr>
                <w:sz w:val="20"/>
                <w:szCs w:val="20"/>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4,685</w:t>
            </w:r>
          </w:p>
        </w:tc>
        <w:tc>
          <w:tcPr>
            <w:tcW w:w="1340" w:type="dxa"/>
            <w:vAlign w:val="bottom"/>
          </w:tcPr>
          <w:p>
            <w:pPr>
              <w:jc w:val="right"/>
              <w:spacing w:after="0"/>
              <w:rPr>
                <w:sz w:val="20"/>
                <w:szCs w:val="20"/>
                <w:color w:val="auto"/>
              </w:rPr>
            </w:pPr>
            <w:r>
              <w:rPr>
                <w:rFonts w:ascii="Arial" w:cs="Arial" w:eastAsia="Arial" w:hAnsi="Arial"/>
                <w:sz w:val="18"/>
                <w:szCs w:val="18"/>
                <w:color w:val="auto"/>
              </w:rPr>
              <w:t>5,469</w:t>
            </w:r>
          </w:p>
        </w:tc>
        <w:tc>
          <w:tcPr>
            <w:tcW w:w="0" w:type="dxa"/>
            <w:vAlign w:val="bottom"/>
          </w:tcPr>
          <w:p>
            <w:pPr>
              <w:spacing w:after="0"/>
              <w:rPr>
                <w:sz w:val="1"/>
                <w:szCs w:val="1"/>
                <w:color w:val="auto"/>
              </w:rPr>
            </w:pPr>
          </w:p>
        </w:tc>
      </w:tr>
      <w:tr>
        <w:trPr>
          <w:trHeight w:val="567"/>
        </w:trPr>
        <w:tc>
          <w:tcPr>
            <w:tcW w:w="5900" w:type="dxa"/>
            <w:vAlign w:val="bottom"/>
            <w:gridSpan w:val="5"/>
          </w:tcPr>
          <w:p>
            <w:pPr>
              <w:spacing w:after="0"/>
              <w:rPr>
                <w:sz w:val="20"/>
                <w:szCs w:val="20"/>
                <w:color w:val="auto"/>
              </w:rPr>
            </w:pPr>
            <w:r>
              <w:rPr>
                <w:rFonts w:ascii="Arial" w:cs="Arial" w:eastAsia="Arial" w:hAnsi="Arial"/>
                <w:sz w:val="18"/>
                <w:szCs w:val="18"/>
                <w:color w:val="auto"/>
              </w:rPr>
              <w:t>All other postretirement benefit plans are unfunded or underfunded.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9"/>
        </w:trPr>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720" w:type="dxa"/>
            <w:vAlign w:val="bottom"/>
            <w:gridSpan w:val="5"/>
          </w:tcPr>
          <w:p>
            <w:pPr>
              <w:ind w:left="480"/>
              <w:spacing w:after="0"/>
              <w:rPr>
                <w:sz w:val="20"/>
                <w:szCs w:val="20"/>
                <w:color w:val="auto"/>
              </w:rPr>
            </w:pPr>
            <w:r>
              <w:rPr>
                <w:rFonts w:ascii="Arial" w:cs="Arial" w:eastAsia="Arial" w:hAnsi="Arial"/>
                <w:sz w:val="14"/>
                <w:szCs w:val="14"/>
                <w:b w:val="1"/>
                <w:bCs w:val="1"/>
                <w:color w:val="auto"/>
              </w:rPr>
              <w:t>Pension Benefits</w:t>
            </w:r>
          </w:p>
        </w:tc>
        <w:tc>
          <w:tcPr>
            <w:tcW w:w="2620" w:type="dxa"/>
            <w:vAlign w:val="bottom"/>
            <w:gridSpan w:val="2"/>
          </w:tcPr>
          <w:p>
            <w:pPr>
              <w:jc w:val="right"/>
              <w:ind w:right="413"/>
              <w:spacing w:after="0"/>
              <w:rPr>
                <w:sz w:val="20"/>
                <w:szCs w:val="20"/>
                <w:color w:val="auto"/>
              </w:rPr>
            </w:pPr>
            <w:r>
              <w:rPr>
                <w:rFonts w:ascii="Arial" w:cs="Arial" w:eastAsia="Arial" w:hAnsi="Arial"/>
                <w:sz w:val="14"/>
                <w:szCs w:val="14"/>
                <w:b w:val="1"/>
                <w:bCs w:val="1"/>
                <w:color w:val="auto"/>
              </w:rPr>
              <w:t>Other Postretirement Benefits</w:t>
            </w:r>
          </w:p>
        </w:tc>
        <w:tc>
          <w:tcPr>
            <w:tcW w:w="0" w:type="dxa"/>
            <w:vAlign w:val="bottom"/>
          </w:tcPr>
          <w:p>
            <w:pPr>
              <w:spacing w:after="0"/>
              <w:rPr>
                <w:sz w:val="1"/>
                <w:szCs w:val="1"/>
                <w:color w:val="auto"/>
              </w:rPr>
            </w:pPr>
          </w:p>
        </w:tc>
      </w:tr>
      <w:tr>
        <w:trPr>
          <w:trHeight w:val="39"/>
        </w:trPr>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48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29"/>
        </w:trPr>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80" w:type="dxa"/>
            <w:vAlign w:val="bottom"/>
            <w:vMerge w:val="restart"/>
          </w:tcPr>
          <w:p>
            <w:pPr>
              <w:jc w:val="right"/>
              <w:ind w:right="693"/>
              <w:spacing w:after="0"/>
              <w:rPr>
                <w:sz w:val="20"/>
                <w:szCs w:val="20"/>
                <w:color w:val="auto"/>
              </w:rPr>
            </w:pPr>
            <w:r>
              <w:rPr>
                <w:rFonts w:ascii="Arial" w:cs="Arial" w:eastAsia="Arial" w:hAnsi="Arial"/>
                <w:sz w:val="14"/>
                <w:szCs w:val="14"/>
                <w:b w:val="1"/>
                <w:bCs w:val="1"/>
                <w:color w:val="auto"/>
              </w:rPr>
              <w:t>U.S.</w:t>
            </w:r>
          </w:p>
        </w:tc>
        <w:tc>
          <w:tcPr>
            <w:tcW w:w="1540" w:type="dxa"/>
            <w:vAlign w:val="bottom"/>
            <w:gridSpan w:val="4"/>
            <w:vMerge w:val="restart"/>
          </w:tcPr>
          <w:p>
            <w:pPr>
              <w:ind w:left="260"/>
              <w:spacing w:after="0"/>
              <w:rPr>
                <w:sz w:val="20"/>
                <w:szCs w:val="20"/>
                <w:color w:val="auto"/>
              </w:rPr>
            </w:pPr>
            <w:r>
              <w:rPr>
                <w:rFonts w:ascii="Arial" w:cs="Arial" w:eastAsia="Arial" w:hAnsi="Arial"/>
                <w:sz w:val="14"/>
                <w:szCs w:val="14"/>
                <w:b w:val="1"/>
                <w:bCs w:val="1"/>
                <w:color w:val="auto"/>
              </w:rPr>
              <w:t>Non-U.S.</w:t>
            </w:r>
          </w:p>
        </w:tc>
        <w:tc>
          <w:tcPr>
            <w:tcW w:w="1280" w:type="dxa"/>
            <w:vAlign w:val="bottom"/>
            <w:vMerge w:val="restart"/>
          </w:tcPr>
          <w:p>
            <w:pPr>
              <w:jc w:val="right"/>
              <w:ind w:right="554"/>
              <w:spacing w:after="0"/>
              <w:rPr>
                <w:sz w:val="20"/>
                <w:szCs w:val="20"/>
                <w:color w:val="auto"/>
              </w:rPr>
            </w:pPr>
            <w:r>
              <w:rPr>
                <w:rFonts w:ascii="Arial" w:cs="Arial" w:eastAsia="Arial" w:hAnsi="Arial"/>
                <w:sz w:val="14"/>
                <w:szCs w:val="14"/>
                <w:b w:val="1"/>
                <w:bCs w:val="1"/>
                <w:color w:val="auto"/>
              </w:rPr>
              <w:t>Gross</w:t>
            </w:r>
          </w:p>
        </w:tc>
        <w:tc>
          <w:tcPr>
            <w:tcW w:w="1340" w:type="dxa"/>
            <w:vAlign w:val="bottom"/>
          </w:tcPr>
          <w:p>
            <w:pPr>
              <w:jc w:val="right"/>
              <w:ind w:right="33"/>
              <w:spacing w:after="0" w:line="129" w:lineRule="exact"/>
              <w:rPr>
                <w:sz w:val="20"/>
                <w:szCs w:val="20"/>
                <w:color w:val="auto"/>
              </w:rPr>
            </w:pPr>
            <w:r>
              <w:rPr>
                <w:rFonts w:ascii="Arial" w:cs="Arial" w:eastAsia="Arial" w:hAnsi="Arial"/>
                <w:sz w:val="14"/>
                <w:szCs w:val="14"/>
                <w:b w:val="1"/>
                <w:bCs w:val="1"/>
                <w:color w:val="auto"/>
              </w:rPr>
              <w:t>Medicare Subsidy</w:t>
            </w:r>
          </w:p>
        </w:tc>
        <w:tc>
          <w:tcPr>
            <w:tcW w:w="0" w:type="dxa"/>
            <w:vAlign w:val="bottom"/>
          </w:tcPr>
          <w:p>
            <w:pPr>
              <w:spacing w:after="0"/>
              <w:rPr>
                <w:sz w:val="1"/>
                <w:szCs w:val="1"/>
                <w:color w:val="auto"/>
              </w:rPr>
            </w:pPr>
          </w:p>
        </w:tc>
      </w:tr>
      <w:tr>
        <w:trPr>
          <w:trHeight w:val="109"/>
        </w:trPr>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540" w:type="dxa"/>
            <w:vAlign w:val="bottom"/>
            <w:gridSpan w:val="4"/>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134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Receipt</w:t>
            </w:r>
          </w:p>
        </w:tc>
        <w:tc>
          <w:tcPr>
            <w:tcW w:w="0" w:type="dxa"/>
            <w:vAlign w:val="bottom"/>
          </w:tcPr>
          <w:p>
            <w:pPr>
              <w:spacing w:after="0"/>
              <w:rPr>
                <w:sz w:val="1"/>
                <w:szCs w:val="1"/>
                <w:color w:val="auto"/>
              </w:rPr>
            </w:pPr>
          </w:p>
        </w:tc>
      </w:tr>
      <w:tr>
        <w:trPr>
          <w:trHeight w:val="78"/>
        </w:trPr>
        <w:tc>
          <w:tcPr>
            <w:tcW w:w="32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448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2"/>
        </w:trPr>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20" w:type="dxa"/>
            <w:vAlign w:val="bottom"/>
            <w:gridSpan w:val="5"/>
          </w:tcPr>
          <w:p>
            <w:pPr>
              <w:jc w:val="right"/>
              <w:ind w:right="874"/>
              <w:spacing w:after="0"/>
              <w:rPr>
                <w:sz w:val="20"/>
                <w:szCs w:val="20"/>
                <w:color w:val="auto"/>
              </w:rPr>
            </w:pPr>
            <w:r>
              <w:rPr>
                <w:rFonts w:ascii="Arial" w:cs="Arial" w:eastAsia="Arial" w:hAnsi="Arial"/>
                <w:sz w:val="14"/>
                <w:szCs w:val="14"/>
                <w:i w:val="1"/>
                <w:iCs w:val="1"/>
                <w:color w:val="auto"/>
              </w:rPr>
              <w:t>(millions of dollars)</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900" w:type="dxa"/>
            <w:vAlign w:val="bottom"/>
            <w:gridSpan w:val="5"/>
          </w:tcPr>
          <w:p>
            <w:pPr>
              <w:ind w:left="20"/>
              <w:spacing w:after="0"/>
              <w:rPr>
                <w:sz w:val="20"/>
                <w:szCs w:val="20"/>
                <w:color w:val="auto"/>
              </w:rPr>
            </w:pPr>
            <w:r>
              <w:rPr>
                <w:rFonts w:ascii="Arial" w:cs="Arial" w:eastAsia="Arial" w:hAnsi="Arial"/>
                <w:sz w:val="18"/>
                <w:szCs w:val="18"/>
                <w:color w:val="auto"/>
              </w:rPr>
              <w:t>Contributions expected in 2022</w:t>
            </w:r>
          </w:p>
        </w:tc>
        <w:tc>
          <w:tcPr>
            <w:tcW w:w="1180" w:type="dxa"/>
            <w:vAlign w:val="bottom"/>
          </w:tcPr>
          <w:p>
            <w:pPr>
              <w:jc w:val="right"/>
              <w:ind w:right="233"/>
              <w:spacing w:after="0"/>
              <w:rPr>
                <w:sz w:val="20"/>
                <w:szCs w:val="20"/>
                <w:color w:val="auto"/>
              </w:rPr>
            </w:pPr>
            <w:r>
              <w:rPr>
                <w:rFonts w:ascii="Arial" w:cs="Arial" w:eastAsia="Arial" w:hAnsi="Arial"/>
                <w:sz w:val="18"/>
                <w:szCs w:val="18"/>
                <w:color w:val="auto"/>
              </w:rPr>
              <w:t>640</w:t>
            </w:r>
          </w:p>
        </w:tc>
        <w:tc>
          <w:tcPr>
            <w:tcW w:w="1220" w:type="dxa"/>
            <w:vAlign w:val="bottom"/>
          </w:tcPr>
          <w:p>
            <w:pPr>
              <w:jc w:val="right"/>
              <w:spacing w:after="0"/>
              <w:rPr>
                <w:sz w:val="20"/>
                <w:szCs w:val="20"/>
                <w:color w:val="auto"/>
              </w:rPr>
            </w:pPr>
            <w:r>
              <w:rPr>
                <w:rFonts w:ascii="Arial" w:cs="Arial" w:eastAsia="Arial" w:hAnsi="Arial"/>
                <w:sz w:val="18"/>
                <w:szCs w:val="18"/>
                <w:color w:val="auto"/>
              </w:rPr>
              <w:t>405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900" w:type="dxa"/>
            <w:vAlign w:val="bottom"/>
            <w:gridSpan w:val="5"/>
          </w:tcPr>
          <w:p>
            <w:pPr>
              <w:ind w:left="20"/>
              <w:spacing w:after="0"/>
              <w:rPr>
                <w:sz w:val="20"/>
                <w:szCs w:val="20"/>
                <w:color w:val="auto"/>
              </w:rPr>
            </w:pPr>
            <w:r>
              <w:rPr>
                <w:rFonts w:ascii="Arial" w:cs="Arial" w:eastAsia="Arial" w:hAnsi="Arial"/>
                <w:sz w:val="18"/>
                <w:szCs w:val="18"/>
                <w:color w:val="auto"/>
              </w:rPr>
              <w:t>Benefit payments expected in:</w:t>
            </w:r>
          </w:p>
        </w:tc>
        <w:tc>
          <w:tcPr>
            <w:tcW w:w="1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0" w:type="dxa"/>
            <w:vAlign w:val="bottom"/>
            <w:gridSpan w:val="2"/>
          </w:tcPr>
          <w:p>
            <w:pPr>
              <w:ind w:left="220"/>
              <w:spacing w:after="0"/>
              <w:rPr>
                <w:sz w:val="20"/>
                <w:szCs w:val="20"/>
                <w:color w:val="auto"/>
              </w:rPr>
            </w:pPr>
            <w:r>
              <w:rPr>
                <w:rFonts w:ascii="Arial" w:cs="Arial" w:eastAsia="Arial" w:hAnsi="Arial"/>
                <w:sz w:val="18"/>
                <w:szCs w:val="18"/>
                <w:color w:val="auto"/>
              </w:rPr>
              <w:t>2022</w:t>
            </w:r>
          </w:p>
        </w:tc>
        <w:tc>
          <w:tcPr>
            <w:tcW w:w="18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tcPr>
          <w:p>
            <w:pPr>
              <w:jc w:val="right"/>
              <w:ind w:right="233"/>
              <w:spacing w:after="0"/>
              <w:rPr>
                <w:sz w:val="20"/>
                <w:szCs w:val="20"/>
                <w:color w:val="auto"/>
              </w:rPr>
            </w:pPr>
            <w:r>
              <w:rPr>
                <w:rFonts w:ascii="Arial" w:cs="Arial" w:eastAsia="Arial" w:hAnsi="Arial"/>
                <w:sz w:val="18"/>
                <w:szCs w:val="18"/>
                <w:color w:val="auto"/>
              </w:rPr>
              <w:t>1,306</w:t>
            </w:r>
          </w:p>
        </w:tc>
        <w:tc>
          <w:tcPr>
            <w:tcW w:w="1220" w:type="dxa"/>
            <w:vAlign w:val="bottom"/>
          </w:tcPr>
          <w:p>
            <w:pPr>
              <w:jc w:val="right"/>
              <w:spacing w:after="0"/>
              <w:rPr>
                <w:sz w:val="20"/>
                <w:szCs w:val="20"/>
                <w:color w:val="auto"/>
              </w:rPr>
            </w:pPr>
            <w:r>
              <w:rPr>
                <w:rFonts w:ascii="Arial" w:cs="Arial" w:eastAsia="Arial" w:hAnsi="Arial"/>
                <w:sz w:val="18"/>
                <w:szCs w:val="18"/>
                <w:color w:val="auto"/>
              </w:rPr>
              <w:t>1,173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ind w:right="114"/>
              <w:spacing w:after="0"/>
              <w:rPr>
                <w:sz w:val="20"/>
                <w:szCs w:val="20"/>
                <w:color w:val="auto"/>
              </w:rPr>
            </w:pPr>
            <w:r>
              <w:rPr>
                <w:rFonts w:ascii="Arial" w:cs="Arial" w:eastAsia="Arial" w:hAnsi="Arial"/>
                <w:sz w:val="18"/>
                <w:szCs w:val="18"/>
                <w:color w:val="auto"/>
              </w:rPr>
              <w:t>423</w:t>
            </w:r>
          </w:p>
        </w:tc>
        <w:tc>
          <w:tcPr>
            <w:tcW w:w="134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820" w:type="dxa"/>
            <w:vAlign w:val="bottom"/>
            <w:gridSpan w:val="2"/>
          </w:tcPr>
          <w:p>
            <w:pPr>
              <w:ind w:left="220"/>
              <w:spacing w:after="0"/>
              <w:rPr>
                <w:sz w:val="20"/>
                <w:szCs w:val="20"/>
                <w:color w:val="auto"/>
              </w:rPr>
            </w:pPr>
            <w:r>
              <w:rPr>
                <w:rFonts w:ascii="Arial" w:cs="Arial" w:eastAsia="Arial" w:hAnsi="Arial"/>
                <w:sz w:val="18"/>
                <w:szCs w:val="18"/>
                <w:color w:val="auto"/>
              </w:rPr>
              <w:t>2023</w:t>
            </w:r>
          </w:p>
        </w:tc>
        <w:tc>
          <w:tcPr>
            <w:tcW w:w="18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tcPr>
          <w:p>
            <w:pPr>
              <w:jc w:val="right"/>
              <w:ind w:right="233"/>
              <w:spacing w:after="0"/>
              <w:rPr>
                <w:sz w:val="20"/>
                <w:szCs w:val="20"/>
                <w:color w:val="auto"/>
              </w:rPr>
            </w:pPr>
            <w:r>
              <w:rPr>
                <w:rFonts w:ascii="Arial" w:cs="Arial" w:eastAsia="Arial" w:hAnsi="Arial"/>
                <w:sz w:val="18"/>
                <w:szCs w:val="18"/>
                <w:color w:val="auto"/>
              </w:rPr>
              <w:t>1,188</w:t>
            </w:r>
          </w:p>
        </w:tc>
        <w:tc>
          <w:tcPr>
            <w:tcW w:w="1220" w:type="dxa"/>
            <w:vAlign w:val="bottom"/>
          </w:tcPr>
          <w:p>
            <w:pPr>
              <w:jc w:val="right"/>
              <w:spacing w:after="0"/>
              <w:rPr>
                <w:sz w:val="20"/>
                <w:szCs w:val="20"/>
                <w:color w:val="auto"/>
              </w:rPr>
            </w:pPr>
            <w:r>
              <w:rPr>
                <w:rFonts w:ascii="Arial" w:cs="Arial" w:eastAsia="Arial" w:hAnsi="Arial"/>
                <w:sz w:val="18"/>
                <w:szCs w:val="18"/>
                <w:color w:val="auto"/>
              </w:rPr>
              <w:t>1,176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ind w:right="114"/>
              <w:spacing w:after="0"/>
              <w:rPr>
                <w:sz w:val="20"/>
                <w:szCs w:val="20"/>
                <w:color w:val="auto"/>
              </w:rPr>
            </w:pPr>
            <w:r>
              <w:rPr>
                <w:rFonts w:ascii="Arial" w:cs="Arial" w:eastAsia="Arial" w:hAnsi="Arial"/>
                <w:sz w:val="18"/>
                <w:szCs w:val="18"/>
                <w:color w:val="auto"/>
              </w:rPr>
              <w:t>414</w:t>
            </w:r>
          </w:p>
        </w:tc>
        <w:tc>
          <w:tcPr>
            <w:tcW w:w="134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820" w:type="dxa"/>
            <w:vAlign w:val="bottom"/>
            <w:gridSpan w:val="2"/>
          </w:tcPr>
          <w:p>
            <w:pPr>
              <w:ind w:left="220"/>
              <w:spacing w:after="0"/>
              <w:rPr>
                <w:sz w:val="20"/>
                <w:szCs w:val="20"/>
                <w:color w:val="auto"/>
              </w:rPr>
            </w:pPr>
            <w:r>
              <w:rPr>
                <w:rFonts w:ascii="Arial" w:cs="Arial" w:eastAsia="Arial" w:hAnsi="Arial"/>
                <w:sz w:val="18"/>
                <w:szCs w:val="18"/>
                <w:color w:val="auto"/>
              </w:rPr>
              <w:t>2024</w:t>
            </w:r>
          </w:p>
        </w:tc>
        <w:tc>
          <w:tcPr>
            <w:tcW w:w="18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tcPr>
          <w:p>
            <w:pPr>
              <w:jc w:val="right"/>
              <w:ind w:right="233"/>
              <w:spacing w:after="0"/>
              <w:rPr>
                <w:sz w:val="20"/>
                <w:szCs w:val="20"/>
                <w:color w:val="auto"/>
              </w:rPr>
            </w:pPr>
            <w:r>
              <w:rPr>
                <w:rFonts w:ascii="Arial" w:cs="Arial" w:eastAsia="Arial" w:hAnsi="Arial"/>
                <w:sz w:val="18"/>
                <w:szCs w:val="18"/>
                <w:color w:val="auto"/>
              </w:rPr>
              <w:t>1,179</w:t>
            </w:r>
          </w:p>
        </w:tc>
        <w:tc>
          <w:tcPr>
            <w:tcW w:w="1220" w:type="dxa"/>
            <w:vAlign w:val="bottom"/>
          </w:tcPr>
          <w:p>
            <w:pPr>
              <w:jc w:val="right"/>
              <w:spacing w:after="0"/>
              <w:rPr>
                <w:sz w:val="20"/>
                <w:szCs w:val="20"/>
                <w:color w:val="auto"/>
              </w:rPr>
            </w:pPr>
            <w:r>
              <w:rPr>
                <w:rFonts w:ascii="Arial" w:cs="Arial" w:eastAsia="Arial" w:hAnsi="Arial"/>
                <w:sz w:val="18"/>
                <w:szCs w:val="18"/>
                <w:color w:val="auto"/>
              </w:rPr>
              <w:t>1,205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ind w:right="114"/>
              <w:spacing w:after="0"/>
              <w:rPr>
                <w:sz w:val="20"/>
                <w:szCs w:val="20"/>
                <w:color w:val="auto"/>
              </w:rPr>
            </w:pPr>
            <w:r>
              <w:rPr>
                <w:rFonts w:ascii="Arial" w:cs="Arial" w:eastAsia="Arial" w:hAnsi="Arial"/>
                <w:sz w:val="18"/>
                <w:szCs w:val="18"/>
                <w:color w:val="auto"/>
              </w:rPr>
              <w:t>409</w:t>
            </w:r>
          </w:p>
        </w:tc>
        <w:tc>
          <w:tcPr>
            <w:tcW w:w="134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820" w:type="dxa"/>
            <w:vAlign w:val="bottom"/>
            <w:gridSpan w:val="2"/>
          </w:tcPr>
          <w:p>
            <w:pPr>
              <w:ind w:left="220"/>
              <w:spacing w:after="0"/>
              <w:rPr>
                <w:sz w:val="20"/>
                <w:szCs w:val="20"/>
                <w:color w:val="auto"/>
              </w:rPr>
            </w:pPr>
            <w:r>
              <w:rPr>
                <w:rFonts w:ascii="Arial" w:cs="Arial" w:eastAsia="Arial" w:hAnsi="Arial"/>
                <w:sz w:val="18"/>
                <w:szCs w:val="18"/>
                <w:color w:val="auto"/>
              </w:rPr>
              <w:t>2025</w:t>
            </w:r>
          </w:p>
        </w:tc>
        <w:tc>
          <w:tcPr>
            <w:tcW w:w="18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tcPr>
          <w:p>
            <w:pPr>
              <w:jc w:val="right"/>
              <w:ind w:right="233"/>
              <w:spacing w:after="0"/>
              <w:rPr>
                <w:sz w:val="20"/>
                <w:szCs w:val="20"/>
                <w:color w:val="auto"/>
              </w:rPr>
            </w:pPr>
            <w:r>
              <w:rPr>
                <w:rFonts w:ascii="Arial" w:cs="Arial" w:eastAsia="Arial" w:hAnsi="Arial"/>
                <w:sz w:val="18"/>
                <w:szCs w:val="18"/>
                <w:color w:val="auto"/>
              </w:rPr>
              <w:t>1,157</w:t>
            </w:r>
          </w:p>
        </w:tc>
        <w:tc>
          <w:tcPr>
            <w:tcW w:w="1220" w:type="dxa"/>
            <w:vAlign w:val="bottom"/>
          </w:tcPr>
          <w:p>
            <w:pPr>
              <w:jc w:val="right"/>
              <w:spacing w:after="0"/>
              <w:rPr>
                <w:sz w:val="20"/>
                <w:szCs w:val="20"/>
                <w:color w:val="auto"/>
              </w:rPr>
            </w:pPr>
            <w:r>
              <w:rPr>
                <w:rFonts w:ascii="Arial" w:cs="Arial" w:eastAsia="Arial" w:hAnsi="Arial"/>
                <w:sz w:val="18"/>
                <w:szCs w:val="18"/>
                <w:color w:val="auto"/>
              </w:rPr>
              <w:t>1,173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ind w:right="114"/>
              <w:spacing w:after="0"/>
              <w:rPr>
                <w:sz w:val="20"/>
                <w:szCs w:val="20"/>
                <w:color w:val="auto"/>
              </w:rPr>
            </w:pPr>
            <w:r>
              <w:rPr>
                <w:rFonts w:ascii="Arial" w:cs="Arial" w:eastAsia="Arial" w:hAnsi="Arial"/>
                <w:sz w:val="18"/>
                <w:szCs w:val="18"/>
                <w:color w:val="auto"/>
              </w:rPr>
              <w:t>405</w:t>
            </w:r>
          </w:p>
        </w:tc>
        <w:tc>
          <w:tcPr>
            <w:tcW w:w="134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9"/>
        </w:trPr>
        <w:tc>
          <w:tcPr>
            <w:tcW w:w="820" w:type="dxa"/>
            <w:vAlign w:val="bottom"/>
            <w:gridSpan w:val="2"/>
          </w:tcPr>
          <w:p>
            <w:pPr>
              <w:ind w:left="220"/>
              <w:spacing w:after="0"/>
              <w:rPr>
                <w:sz w:val="20"/>
                <w:szCs w:val="20"/>
                <w:color w:val="auto"/>
              </w:rPr>
            </w:pPr>
            <w:r>
              <w:rPr>
                <w:rFonts w:ascii="Arial" w:cs="Arial" w:eastAsia="Arial" w:hAnsi="Arial"/>
                <w:sz w:val="18"/>
                <w:szCs w:val="18"/>
                <w:color w:val="auto"/>
              </w:rPr>
              <w:t>2026</w:t>
            </w:r>
          </w:p>
        </w:tc>
        <w:tc>
          <w:tcPr>
            <w:tcW w:w="18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tcPr>
          <w:p>
            <w:pPr>
              <w:jc w:val="right"/>
              <w:ind w:right="233"/>
              <w:spacing w:after="0"/>
              <w:rPr>
                <w:sz w:val="20"/>
                <w:szCs w:val="20"/>
                <w:color w:val="auto"/>
              </w:rPr>
            </w:pPr>
            <w:r>
              <w:rPr>
                <w:rFonts w:ascii="Arial" w:cs="Arial" w:eastAsia="Arial" w:hAnsi="Arial"/>
                <w:sz w:val="18"/>
                <w:szCs w:val="18"/>
                <w:color w:val="auto"/>
              </w:rPr>
              <w:t>1,154</w:t>
            </w:r>
          </w:p>
        </w:tc>
        <w:tc>
          <w:tcPr>
            <w:tcW w:w="1220" w:type="dxa"/>
            <w:vAlign w:val="bottom"/>
          </w:tcPr>
          <w:p>
            <w:pPr>
              <w:jc w:val="right"/>
              <w:spacing w:after="0"/>
              <w:rPr>
                <w:sz w:val="20"/>
                <w:szCs w:val="20"/>
                <w:color w:val="auto"/>
              </w:rPr>
            </w:pPr>
            <w:r>
              <w:rPr>
                <w:rFonts w:ascii="Arial" w:cs="Arial" w:eastAsia="Arial" w:hAnsi="Arial"/>
                <w:sz w:val="18"/>
                <w:szCs w:val="18"/>
                <w:color w:val="auto"/>
              </w:rPr>
              <w:t>1,155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ind w:right="114"/>
              <w:spacing w:after="0"/>
              <w:rPr>
                <w:sz w:val="20"/>
                <w:szCs w:val="20"/>
                <w:color w:val="auto"/>
              </w:rPr>
            </w:pPr>
            <w:r>
              <w:rPr>
                <w:rFonts w:ascii="Arial" w:cs="Arial" w:eastAsia="Arial" w:hAnsi="Arial"/>
                <w:sz w:val="18"/>
                <w:szCs w:val="18"/>
                <w:color w:val="auto"/>
              </w:rPr>
              <w:t>396</w:t>
            </w:r>
          </w:p>
        </w:tc>
        <w:tc>
          <w:tcPr>
            <w:tcW w:w="134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5480" w:type="dxa"/>
            <w:vAlign w:val="bottom"/>
            <w:gridSpan w:val="4"/>
          </w:tcPr>
          <w:p>
            <w:pPr>
              <w:ind w:left="220"/>
              <w:spacing w:after="0"/>
              <w:rPr>
                <w:sz w:val="20"/>
                <w:szCs w:val="20"/>
                <w:color w:val="auto"/>
              </w:rPr>
            </w:pPr>
            <w:r>
              <w:rPr>
                <w:rFonts w:ascii="Arial" w:cs="Arial" w:eastAsia="Arial" w:hAnsi="Arial"/>
                <w:sz w:val="18"/>
                <w:szCs w:val="18"/>
                <w:color w:val="auto"/>
              </w:rPr>
              <w:t>2027 - 2031</w:t>
            </w:r>
          </w:p>
        </w:tc>
        <w:tc>
          <w:tcPr>
            <w:tcW w:w="420" w:type="dxa"/>
            <w:vAlign w:val="bottom"/>
          </w:tcPr>
          <w:p>
            <w:pPr>
              <w:spacing w:after="0"/>
              <w:rPr>
                <w:sz w:val="20"/>
                <w:szCs w:val="20"/>
                <w:color w:val="auto"/>
              </w:rPr>
            </w:pPr>
          </w:p>
        </w:tc>
        <w:tc>
          <w:tcPr>
            <w:tcW w:w="1180" w:type="dxa"/>
            <w:vAlign w:val="bottom"/>
          </w:tcPr>
          <w:p>
            <w:pPr>
              <w:jc w:val="right"/>
              <w:ind w:right="233"/>
              <w:spacing w:after="0"/>
              <w:rPr>
                <w:sz w:val="20"/>
                <w:szCs w:val="20"/>
                <w:color w:val="auto"/>
              </w:rPr>
            </w:pPr>
            <w:r>
              <w:rPr>
                <w:rFonts w:ascii="Arial" w:cs="Arial" w:eastAsia="Arial" w:hAnsi="Arial"/>
                <w:sz w:val="18"/>
                <w:szCs w:val="18"/>
                <w:color w:val="auto"/>
              </w:rPr>
              <w:t>5,803</w:t>
            </w:r>
          </w:p>
        </w:tc>
        <w:tc>
          <w:tcPr>
            <w:tcW w:w="1220" w:type="dxa"/>
            <w:vAlign w:val="bottom"/>
          </w:tcPr>
          <w:p>
            <w:pPr>
              <w:jc w:val="right"/>
              <w:spacing w:after="0"/>
              <w:rPr>
                <w:sz w:val="20"/>
                <w:szCs w:val="20"/>
                <w:color w:val="auto"/>
              </w:rPr>
            </w:pPr>
            <w:r>
              <w:rPr>
                <w:rFonts w:ascii="Arial" w:cs="Arial" w:eastAsia="Arial" w:hAnsi="Arial"/>
                <w:sz w:val="18"/>
                <w:szCs w:val="18"/>
                <w:color w:val="auto"/>
              </w:rPr>
              <w:t>6,145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jc w:val="right"/>
              <w:ind w:right="114"/>
              <w:spacing w:after="0"/>
              <w:rPr>
                <w:sz w:val="20"/>
                <w:szCs w:val="20"/>
                <w:color w:val="auto"/>
              </w:rPr>
            </w:pPr>
            <w:r>
              <w:rPr>
                <w:rFonts w:ascii="Arial" w:cs="Arial" w:eastAsia="Arial" w:hAnsi="Arial"/>
                <w:sz w:val="18"/>
                <w:szCs w:val="18"/>
                <w:color w:val="auto"/>
              </w:rPr>
              <w:t>1,981</w:t>
            </w:r>
          </w:p>
        </w:tc>
        <w:tc>
          <w:tcPr>
            <w:tcW w:w="1340" w:type="dxa"/>
            <w:vAlign w:val="bottom"/>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Disclosures about Segments and Related Information</w:t>
      </w:r>
    </w:p>
    <w:p>
      <w:pPr>
        <w:spacing w:after="0" w:line="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Upstream, Downstream and Chemical functions best define the operating segments of the business that are reported separately. The factors used to identify these reportable segments are based on the nature of the operations that are undertaken by each segment. The Upstream segment is organized and operates to explore for and produce crude oil and natural gas. The Downstream segment is organized and operates to manufacture and sell petroleum products. The Chemical segment is organized and operates to manufacture and sell petrochemicals. These segments are broadly understood across the petroleum and petrochemical industries.</w:t>
      </w:r>
    </w:p>
    <w:p>
      <w:pPr>
        <w:spacing w:after="0" w:line="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functions have been defined as the operating segments of the Corporation because they are the segments (1) that engage in business activities from which revenues are recognized and expenses are incurred; (2) whose operating results are regularly reviewed by the Corporation’s chief operating decision maker to make decisions about resources to be allocated to the segment and to assess its performance; and (3) for which discrete financial information is available.</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auto"/>
        </w:rPr>
        <w:t>Earnings after income tax include transfers at estimated market prices.</w:t>
      </w:r>
    </w:p>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Corporate and Financing, interest revenue relates to interest earned on cash deposits and marketable securities. Interest expense includes non-debt-related interest expense of $103 million in 2021, $148 million in 2020 and $105 million in 2019.</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1920" w:type="dxa"/>
            <w:vAlign w:val="bottom"/>
            <w:gridSpan w:val="3"/>
            <w:vMerge w:val="restart"/>
          </w:tcPr>
          <w:p>
            <w:pPr>
              <w:ind w:left="600"/>
              <w:spacing w:after="0"/>
              <w:rPr>
                <w:sz w:val="20"/>
                <w:szCs w:val="20"/>
                <w:color w:val="auto"/>
              </w:rPr>
            </w:pPr>
            <w:r>
              <w:rPr>
                <w:rFonts w:ascii="Arial" w:cs="Arial" w:eastAsia="Arial" w:hAnsi="Arial"/>
                <w:sz w:val="14"/>
                <w:szCs w:val="14"/>
                <w:b w:val="1"/>
                <w:bCs w:val="1"/>
                <w:color w:val="auto"/>
              </w:rPr>
              <w:t>Upstream</w:t>
            </w:r>
          </w:p>
        </w:tc>
        <w:tc>
          <w:tcPr>
            <w:tcW w:w="1860" w:type="dxa"/>
            <w:vAlign w:val="bottom"/>
            <w:gridSpan w:val="3"/>
            <w:vMerge w:val="restart"/>
          </w:tcPr>
          <w:p>
            <w:pPr>
              <w:ind w:left="480"/>
              <w:spacing w:after="0"/>
              <w:rPr>
                <w:sz w:val="20"/>
                <w:szCs w:val="20"/>
                <w:color w:val="auto"/>
              </w:rPr>
            </w:pPr>
            <w:r>
              <w:rPr>
                <w:rFonts w:ascii="Arial" w:cs="Arial" w:eastAsia="Arial" w:hAnsi="Arial"/>
                <w:sz w:val="14"/>
                <w:szCs w:val="14"/>
                <w:b w:val="1"/>
                <w:bCs w:val="1"/>
                <w:color w:val="auto"/>
              </w:rPr>
              <w:t>Downstream</w:t>
            </w:r>
          </w:p>
        </w:tc>
        <w:tc>
          <w:tcPr>
            <w:tcW w:w="1740" w:type="dxa"/>
            <w:vAlign w:val="bottom"/>
            <w:gridSpan w:val="2"/>
            <w:vMerge w:val="restart"/>
          </w:tcPr>
          <w:p>
            <w:pPr>
              <w:jc w:val="right"/>
              <w:ind w:right="499"/>
              <w:spacing w:after="0"/>
              <w:rPr>
                <w:sz w:val="20"/>
                <w:szCs w:val="20"/>
                <w:color w:val="auto"/>
              </w:rPr>
            </w:pPr>
            <w:r>
              <w:rPr>
                <w:rFonts w:ascii="Arial" w:cs="Arial" w:eastAsia="Arial" w:hAnsi="Arial"/>
                <w:sz w:val="14"/>
                <w:szCs w:val="14"/>
                <w:b w:val="1"/>
                <w:bCs w:val="1"/>
                <w:color w:val="auto"/>
              </w:rPr>
              <w:t>Chemical</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5"/>
              </w:rPr>
              <w:t>Corporate</w:t>
            </w:r>
          </w:p>
        </w:tc>
        <w:tc>
          <w:tcPr>
            <w:tcW w:w="900" w:type="dxa"/>
            <w:vAlign w:val="bottom"/>
            <w:vMerge w:val="restart"/>
          </w:tcPr>
          <w:p>
            <w:pPr>
              <w:jc w:val="right"/>
              <w:ind w:right="40"/>
              <w:spacing w:after="0"/>
              <w:rPr>
                <w:sz w:val="20"/>
                <w:szCs w:val="20"/>
                <w:color w:val="auto"/>
              </w:rPr>
            </w:pPr>
            <w:r>
              <w:rPr>
                <w:rFonts w:ascii="Arial" w:cs="Arial" w:eastAsia="Arial" w:hAnsi="Arial"/>
                <w:sz w:val="14"/>
                <w:szCs w:val="14"/>
                <w:b w:val="1"/>
                <w:bCs w:val="1"/>
                <w:color w:val="auto"/>
              </w:rPr>
              <w:t>Corporate</w:t>
            </w:r>
          </w:p>
        </w:tc>
        <w:tc>
          <w:tcPr>
            <w:tcW w:w="0" w:type="dxa"/>
            <w:vAlign w:val="bottom"/>
          </w:tcPr>
          <w:p>
            <w:pPr>
              <w:spacing w:after="0"/>
              <w:rPr>
                <w:sz w:val="1"/>
                <w:szCs w:val="1"/>
                <w:color w:val="auto"/>
              </w:rPr>
            </w:pPr>
          </w:p>
        </w:tc>
      </w:tr>
      <w:tr>
        <w:trPr>
          <w:trHeight w:val="186"/>
        </w:trPr>
        <w:tc>
          <w:tcPr>
            <w:tcW w:w="3740" w:type="dxa"/>
            <w:vAlign w:val="bottom"/>
          </w:tcPr>
          <w:p>
            <w:pPr>
              <w:spacing w:after="0"/>
              <w:rPr>
                <w:sz w:val="16"/>
                <w:szCs w:val="16"/>
                <w:color w:val="auto"/>
              </w:rPr>
            </w:pPr>
          </w:p>
        </w:tc>
        <w:tc>
          <w:tcPr>
            <w:tcW w:w="1920" w:type="dxa"/>
            <w:vAlign w:val="bottom"/>
            <w:gridSpan w:val="3"/>
            <w:vMerge w:val="continue"/>
          </w:tcPr>
          <w:p>
            <w:pPr>
              <w:spacing w:after="0"/>
              <w:rPr>
                <w:sz w:val="16"/>
                <w:szCs w:val="16"/>
                <w:color w:val="auto"/>
              </w:rPr>
            </w:pPr>
          </w:p>
        </w:tc>
        <w:tc>
          <w:tcPr>
            <w:tcW w:w="1860" w:type="dxa"/>
            <w:vAlign w:val="bottom"/>
            <w:gridSpan w:val="3"/>
            <w:vMerge w:val="continue"/>
          </w:tcPr>
          <w:p>
            <w:pPr>
              <w:spacing w:after="0"/>
              <w:rPr>
                <w:sz w:val="16"/>
                <w:szCs w:val="16"/>
                <w:color w:val="auto"/>
              </w:rPr>
            </w:pPr>
          </w:p>
        </w:tc>
        <w:tc>
          <w:tcPr>
            <w:tcW w:w="1740" w:type="dxa"/>
            <w:vAlign w:val="bottom"/>
            <w:gridSpan w:val="2"/>
            <w:vMerge w:val="continue"/>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6"/>
              </w:rPr>
              <w:t>and</w:t>
            </w: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740" w:type="dxa"/>
            <w:vAlign w:val="bottom"/>
          </w:tcPr>
          <w:p>
            <w:pPr>
              <w:spacing w:after="0"/>
              <w:rPr>
                <w:sz w:val="15"/>
                <w:szCs w:val="15"/>
                <w:color w:val="auto"/>
              </w:rPr>
            </w:pPr>
          </w:p>
        </w:tc>
        <w:tc>
          <w:tcPr>
            <w:tcW w:w="960" w:type="dxa"/>
            <w:vAlign w:val="bottom"/>
            <w:tcBorders>
              <w:top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U.S.</w:t>
            </w:r>
          </w:p>
        </w:tc>
        <w:tc>
          <w:tcPr>
            <w:tcW w:w="840" w:type="dxa"/>
            <w:vAlign w:val="bottom"/>
            <w:tcBorders>
              <w:top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Non-U.S.</w:t>
            </w:r>
          </w:p>
        </w:tc>
        <w:tc>
          <w:tcPr>
            <w:tcW w:w="120" w:type="dxa"/>
            <w:vAlign w:val="bottom"/>
          </w:tcPr>
          <w:p>
            <w:pPr>
              <w:spacing w:after="0"/>
              <w:rPr>
                <w:sz w:val="15"/>
                <w:szCs w:val="15"/>
                <w:color w:val="auto"/>
              </w:rPr>
            </w:pPr>
          </w:p>
        </w:tc>
        <w:tc>
          <w:tcPr>
            <w:tcW w:w="920" w:type="dxa"/>
            <w:vAlign w:val="bottom"/>
            <w:tcBorders>
              <w:top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U.S.</w:t>
            </w:r>
          </w:p>
        </w:tc>
        <w:tc>
          <w:tcPr>
            <w:tcW w:w="840" w:type="dxa"/>
            <w:vAlign w:val="bottom"/>
            <w:tcBorders>
              <w:top w:val="single" w:sz="8" w:color="auto"/>
            </w:tcBorders>
          </w:tcPr>
          <w:p>
            <w:pPr>
              <w:jc w:val="right"/>
              <w:ind w:right="60"/>
              <w:spacing w:after="0"/>
              <w:rPr>
                <w:sz w:val="20"/>
                <w:szCs w:val="20"/>
                <w:color w:val="auto"/>
              </w:rPr>
            </w:pPr>
            <w:r>
              <w:rPr>
                <w:rFonts w:ascii="Arial" w:cs="Arial" w:eastAsia="Arial" w:hAnsi="Arial"/>
                <w:sz w:val="14"/>
                <w:szCs w:val="14"/>
                <w:b w:val="1"/>
                <w:bCs w:val="1"/>
                <w:color w:val="auto"/>
              </w:rPr>
              <w:t>Non-U.S.</w:t>
            </w:r>
          </w:p>
        </w:tc>
        <w:tc>
          <w:tcPr>
            <w:tcW w:w="100" w:type="dxa"/>
            <w:vAlign w:val="bottom"/>
          </w:tcPr>
          <w:p>
            <w:pPr>
              <w:spacing w:after="0"/>
              <w:rPr>
                <w:sz w:val="15"/>
                <w:szCs w:val="15"/>
                <w:color w:val="auto"/>
              </w:rPr>
            </w:pPr>
          </w:p>
        </w:tc>
        <w:tc>
          <w:tcPr>
            <w:tcW w:w="920" w:type="dxa"/>
            <w:vAlign w:val="bottom"/>
            <w:tcBorders>
              <w:top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U.S.</w:t>
            </w:r>
          </w:p>
        </w:tc>
        <w:tc>
          <w:tcPr>
            <w:tcW w:w="820" w:type="dxa"/>
            <w:vAlign w:val="bottom"/>
            <w:tcBorders>
              <w:top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Non-U.S.</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3"/>
              </w:rPr>
              <w:t>Financing</w:t>
            </w:r>
          </w:p>
        </w:tc>
        <w:tc>
          <w:tcPr>
            <w:tcW w:w="900" w:type="dxa"/>
            <w:vAlign w:val="bottom"/>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30"/>
        </w:trPr>
        <w:tc>
          <w:tcPr>
            <w:tcW w:w="37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60" w:type="dxa"/>
            <w:vAlign w:val="bottom"/>
            <w:gridSpan w:val="3"/>
          </w:tcPr>
          <w:p>
            <w:pPr>
              <w:jc w:val="right"/>
              <w:ind w:right="300"/>
              <w:spacing w:after="0"/>
              <w:rPr>
                <w:sz w:val="20"/>
                <w:szCs w:val="20"/>
                <w:color w:val="auto"/>
              </w:rPr>
            </w:pPr>
            <w:r>
              <w:rPr>
                <w:rFonts w:ascii="Arial" w:cs="Arial" w:eastAsia="Arial" w:hAnsi="Arial"/>
                <w:sz w:val="14"/>
                <w:szCs w:val="14"/>
                <w:i w:val="1"/>
                <w:iCs w:val="1"/>
                <w:color w:val="auto"/>
              </w:rPr>
              <w:t>(millions of dollars)</w:t>
            </w:r>
          </w:p>
        </w:tc>
        <w:tc>
          <w:tcPr>
            <w:tcW w:w="8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740" w:type="dxa"/>
            <w:vAlign w:val="bottom"/>
          </w:tcPr>
          <w:p>
            <w:pPr>
              <w:ind w:left="20"/>
              <w:spacing w:after="0"/>
              <w:rPr>
                <w:sz w:val="20"/>
                <w:szCs w:val="20"/>
                <w:color w:val="auto"/>
              </w:rPr>
            </w:pPr>
            <w:r>
              <w:rPr>
                <w:rFonts w:ascii="Arial" w:cs="Arial" w:eastAsia="Arial" w:hAnsi="Arial"/>
                <w:sz w:val="16"/>
                <w:szCs w:val="16"/>
                <w:color w:val="auto"/>
              </w:rPr>
              <w:t>As of December 31, 2021</w:t>
            </w:r>
          </w:p>
        </w:tc>
        <w:tc>
          <w:tcPr>
            <w:tcW w:w="9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740" w:type="dxa"/>
            <w:vAlign w:val="bottom"/>
          </w:tcPr>
          <w:p>
            <w:pPr>
              <w:ind w:left="20"/>
              <w:spacing w:after="0"/>
              <w:rPr>
                <w:sz w:val="20"/>
                <w:szCs w:val="20"/>
                <w:color w:val="auto"/>
              </w:rPr>
            </w:pPr>
            <w:r>
              <w:rPr>
                <w:rFonts w:ascii="Arial" w:cs="Arial" w:eastAsia="Arial" w:hAnsi="Arial"/>
                <w:sz w:val="16"/>
                <w:szCs w:val="16"/>
                <w:color w:val="auto"/>
              </w:rPr>
              <w:t>Earnings (loss) after income tax</w:t>
            </w: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3,663</w:t>
            </w:r>
          </w:p>
        </w:tc>
        <w:tc>
          <w:tcPr>
            <w:tcW w:w="840" w:type="dxa"/>
            <w:vAlign w:val="bottom"/>
          </w:tcPr>
          <w:p>
            <w:pPr>
              <w:jc w:val="right"/>
              <w:spacing w:after="0"/>
              <w:rPr>
                <w:sz w:val="20"/>
                <w:szCs w:val="20"/>
                <w:color w:val="auto"/>
              </w:rPr>
            </w:pPr>
            <w:r>
              <w:rPr>
                <w:rFonts w:ascii="Arial" w:cs="Arial" w:eastAsia="Arial" w:hAnsi="Arial"/>
                <w:sz w:val="16"/>
                <w:szCs w:val="16"/>
                <w:color w:val="auto"/>
              </w:rPr>
              <w:t>12,112</w:t>
            </w:r>
          </w:p>
        </w:tc>
        <w:tc>
          <w:tcPr>
            <w:tcW w:w="120" w:type="dxa"/>
            <w:vAlign w:val="bottom"/>
          </w:tcPr>
          <w:p>
            <w:pPr>
              <w:spacing w:after="0"/>
              <w:rPr>
                <w:sz w:val="19"/>
                <w:szCs w:val="19"/>
                <w:color w:val="auto"/>
              </w:rPr>
            </w:pPr>
          </w:p>
        </w:tc>
        <w:tc>
          <w:tcPr>
            <w:tcW w:w="920" w:type="dxa"/>
            <w:vAlign w:val="bottom"/>
          </w:tcPr>
          <w:p>
            <w:pPr>
              <w:jc w:val="right"/>
              <w:ind w:right="100"/>
              <w:spacing w:after="0"/>
              <w:rPr>
                <w:sz w:val="20"/>
                <w:szCs w:val="20"/>
                <w:color w:val="auto"/>
              </w:rPr>
            </w:pPr>
            <w:r>
              <w:rPr>
                <w:rFonts w:ascii="Arial" w:cs="Arial" w:eastAsia="Arial" w:hAnsi="Arial"/>
                <w:sz w:val="16"/>
                <w:szCs w:val="16"/>
                <w:color w:val="auto"/>
              </w:rPr>
              <w:t>1,314</w:t>
            </w:r>
          </w:p>
        </w:tc>
        <w:tc>
          <w:tcPr>
            <w:tcW w:w="840" w:type="dxa"/>
            <w:vAlign w:val="bottom"/>
          </w:tcPr>
          <w:p>
            <w:pPr>
              <w:jc w:val="right"/>
              <w:spacing w:after="0"/>
              <w:rPr>
                <w:sz w:val="20"/>
                <w:szCs w:val="20"/>
                <w:color w:val="auto"/>
              </w:rPr>
            </w:pPr>
            <w:r>
              <w:rPr>
                <w:rFonts w:ascii="Arial" w:cs="Arial" w:eastAsia="Arial" w:hAnsi="Arial"/>
                <w:sz w:val="16"/>
                <w:szCs w:val="16"/>
                <w:color w:val="auto"/>
              </w:rPr>
              <w:t>791</w:t>
            </w:r>
          </w:p>
        </w:tc>
        <w:tc>
          <w:tcPr>
            <w:tcW w:w="100" w:type="dxa"/>
            <w:vAlign w:val="bottom"/>
          </w:tcPr>
          <w:p>
            <w:pPr>
              <w:spacing w:after="0"/>
              <w:rPr>
                <w:sz w:val="19"/>
                <w:szCs w:val="19"/>
                <w:color w:val="auto"/>
              </w:rPr>
            </w:pPr>
          </w:p>
        </w:tc>
        <w:tc>
          <w:tcPr>
            <w:tcW w:w="920" w:type="dxa"/>
            <w:vAlign w:val="bottom"/>
          </w:tcPr>
          <w:p>
            <w:pPr>
              <w:jc w:val="right"/>
              <w:ind w:right="100"/>
              <w:spacing w:after="0"/>
              <w:rPr>
                <w:sz w:val="20"/>
                <w:szCs w:val="20"/>
                <w:color w:val="auto"/>
              </w:rPr>
            </w:pPr>
            <w:r>
              <w:rPr>
                <w:rFonts w:ascii="Arial" w:cs="Arial" w:eastAsia="Arial" w:hAnsi="Arial"/>
                <w:sz w:val="16"/>
                <w:szCs w:val="16"/>
                <w:color w:val="auto"/>
              </w:rPr>
              <w:t>4,502</w:t>
            </w:r>
          </w:p>
        </w:tc>
        <w:tc>
          <w:tcPr>
            <w:tcW w:w="820" w:type="dxa"/>
            <w:vAlign w:val="bottom"/>
          </w:tcPr>
          <w:p>
            <w:pPr>
              <w:jc w:val="right"/>
              <w:spacing w:after="0"/>
              <w:rPr>
                <w:sz w:val="20"/>
                <w:szCs w:val="20"/>
                <w:color w:val="auto"/>
              </w:rPr>
            </w:pPr>
            <w:r>
              <w:rPr>
                <w:rFonts w:ascii="Arial" w:cs="Arial" w:eastAsia="Arial" w:hAnsi="Arial"/>
                <w:sz w:val="16"/>
                <w:szCs w:val="16"/>
                <w:color w:val="auto"/>
              </w:rPr>
              <w:t>3,294</w:t>
            </w: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(2,636)</w:t>
            </w:r>
          </w:p>
        </w:tc>
        <w:tc>
          <w:tcPr>
            <w:tcW w:w="900" w:type="dxa"/>
            <w:vAlign w:val="bottom"/>
          </w:tcPr>
          <w:p>
            <w:pPr>
              <w:jc w:val="right"/>
              <w:spacing w:after="0"/>
              <w:rPr>
                <w:sz w:val="20"/>
                <w:szCs w:val="20"/>
                <w:color w:val="auto"/>
              </w:rPr>
            </w:pPr>
            <w:r>
              <w:rPr>
                <w:rFonts w:ascii="Arial" w:cs="Arial" w:eastAsia="Arial" w:hAnsi="Arial"/>
                <w:sz w:val="16"/>
                <w:szCs w:val="16"/>
                <w:color w:val="auto"/>
              </w:rPr>
              <w:t>23,040</w:t>
            </w:r>
          </w:p>
        </w:tc>
        <w:tc>
          <w:tcPr>
            <w:tcW w:w="0" w:type="dxa"/>
            <w:vAlign w:val="bottom"/>
          </w:tcPr>
          <w:p>
            <w:pPr>
              <w:spacing w:after="0"/>
              <w:rPr>
                <w:sz w:val="1"/>
                <w:szCs w:val="1"/>
                <w:color w:val="auto"/>
              </w:rPr>
            </w:pPr>
          </w:p>
        </w:tc>
      </w:tr>
      <w:tr>
        <w:trPr>
          <w:trHeight w:val="216"/>
        </w:trPr>
        <w:tc>
          <w:tcPr>
            <w:tcW w:w="3740" w:type="dxa"/>
            <w:vAlign w:val="bottom"/>
          </w:tcPr>
          <w:p>
            <w:pPr>
              <w:ind w:left="20"/>
              <w:spacing w:after="0"/>
              <w:rPr>
                <w:sz w:val="20"/>
                <w:szCs w:val="20"/>
                <w:color w:val="auto"/>
              </w:rPr>
            </w:pPr>
            <w:r>
              <w:rPr>
                <w:rFonts w:ascii="Arial" w:cs="Arial" w:eastAsia="Arial" w:hAnsi="Arial"/>
                <w:sz w:val="16"/>
                <w:szCs w:val="16"/>
                <w:color w:val="auto"/>
              </w:rPr>
              <w:t>Earnings of equity companies included above</w:t>
            </w: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288</w:t>
            </w:r>
          </w:p>
        </w:tc>
        <w:tc>
          <w:tcPr>
            <w:tcW w:w="840" w:type="dxa"/>
            <w:vAlign w:val="bottom"/>
          </w:tcPr>
          <w:p>
            <w:pPr>
              <w:jc w:val="right"/>
              <w:spacing w:after="0"/>
              <w:rPr>
                <w:sz w:val="20"/>
                <w:szCs w:val="20"/>
                <w:color w:val="auto"/>
              </w:rPr>
            </w:pPr>
            <w:r>
              <w:rPr>
                <w:rFonts w:ascii="Arial" w:cs="Arial" w:eastAsia="Arial" w:hAnsi="Arial"/>
                <w:sz w:val="16"/>
                <w:szCs w:val="16"/>
                <w:color w:val="auto"/>
              </w:rPr>
              <w:t>5,535</w:t>
            </w:r>
          </w:p>
        </w:tc>
        <w:tc>
          <w:tcPr>
            <w:tcW w:w="120" w:type="dxa"/>
            <w:vAlign w:val="bottom"/>
          </w:tcPr>
          <w:p>
            <w:pPr>
              <w:spacing w:after="0"/>
              <w:rPr>
                <w:sz w:val="18"/>
                <w:szCs w:val="18"/>
                <w:color w:val="auto"/>
              </w:rPr>
            </w:pPr>
          </w:p>
        </w:tc>
        <w:tc>
          <w:tcPr>
            <w:tcW w:w="920" w:type="dxa"/>
            <w:vAlign w:val="bottom"/>
          </w:tcPr>
          <w:p>
            <w:pPr>
              <w:jc w:val="right"/>
              <w:ind w:right="100"/>
              <w:spacing w:after="0"/>
              <w:rPr>
                <w:sz w:val="20"/>
                <w:szCs w:val="20"/>
                <w:color w:val="auto"/>
              </w:rPr>
            </w:pPr>
            <w:r>
              <w:rPr>
                <w:rFonts w:ascii="Arial" w:cs="Arial" w:eastAsia="Arial" w:hAnsi="Arial"/>
                <w:sz w:val="16"/>
                <w:szCs w:val="16"/>
                <w:color w:val="auto"/>
              </w:rPr>
              <w:t>122</w:t>
            </w:r>
          </w:p>
        </w:tc>
        <w:tc>
          <w:tcPr>
            <w:tcW w:w="840" w:type="dxa"/>
            <w:vAlign w:val="bottom"/>
          </w:tcPr>
          <w:p>
            <w:pPr>
              <w:jc w:val="right"/>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18"/>
                <w:szCs w:val="18"/>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(139)</w:t>
            </w:r>
          </w:p>
        </w:tc>
        <w:tc>
          <w:tcPr>
            <w:tcW w:w="820" w:type="dxa"/>
            <w:vAlign w:val="bottom"/>
          </w:tcPr>
          <w:p>
            <w:pPr>
              <w:jc w:val="right"/>
              <w:spacing w:after="0"/>
              <w:rPr>
                <w:sz w:val="20"/>
                <w:szCs w:val="20"/>
                <w:color w:val="auto"/>
              </w:rPr>
            </w:pPr>
            <w:r>
              <w:rPr>
                <w:rFonts w:ascii="Arial" w:cs="Arial" w:eastAsia="Arial" w:hAnsi="Arial"/>
                <w:sz w:val="16"/>
                <w:szCs w:val="16"/>
                <w:color w:val="auto"/>
              </w:rPr>
              <w:t>1,131</w:t>
            </w: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(354)</w:t>
            </w:r>
          </w:p>
        </w:tc>
        <w:tc>
          <w:tcPr>
            <w:tcW w:w="900" w:type="dxa"/>
            <w:vAlign w:val="bottom"/>
          </w:tcPr>
          <w:p>
            <w:pPr>
              <w:jc w:val="right"/>
              <w:spacing w:after="0"/>
              <w:rPr>
                <w:sz w:val="20"/>
                <w:szCs w:val="20"/>
                <w:color w:val="auto"/>
              </w:rPr>
            </w:pPr>
            <w:r>
              <w:rPr>
                <w:rFonts w:ascii="Arial" w:cs="Arial" w:eastAsia="Arial" w:hAnsi="Arial"/>
                <w:sz w:val="16"/>
                <w:szCs w:val="16"/>
                <w:color w:val="auto"/>
              </w:rPr>
              <w:t>6,657</w:t>
            </w:r>
          </w:p>
        </w:tc>
        <w:tc>
          <w:tcPr>
            <w:tcW w:w="0" w:type="dxa"/>
            <w:vAlign w:val="bottom"/>
          </w:tcPr>
          <w:p>
            <w:pPr>
              <w:spacing w:after="0"/>
              <w:rPr>
                <w:sz w:val="1"/>
                <w:szCs w:val="1"/>
                <w:color w:val="auto"/>
              </w:rPr>
            </w:pPr>
          </w:p>
        </w:tc>
      </w:tr>
      <w:tr>
        <w:trPr>
          <w:trHeight w:val="216"/>
        </w:trPr>
        <w:tc>
          <w:tcPr>
            <w:tcW w:w="3740" w:type="dxa"/>
            <w:vAlign w:val="bottom"/>
          </w:tcPr>
          <w:p>
            <w:pPr>
              <w:ind w:left="20"/>
              <w:spacing w:after="0"/>
              <w:rPr>
                <w:sz w:val="20"/>
                <w:szCs w:val="20"/>
                <w:color w:val="auto"/>
              </w:rPr>
            </w:pPr>
            <w:r>
              <w:rPr>
                <w:rFonts w:ascii="Arial" w:cs="Arial" w:eastAsia="Arial" w:hAnsi="Arial"/>
                <w:sz w:val="16"/>
                <w:szCs w:val="16"/>
                <w:color w:val="auto"/>
              </w:rPr>
              <w:t>Sales and other operating revenue</w:t>
            </w: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8,883</w:t>
            </w:r>
          </w:p>
        </w:tc>
        <w:tc>
          <w:tcPr>
            <w:tcW w:w="840" w:type="dxa"/>
            <w:vAlign w:val="bottom"/>
          </w:tcPr>
          <w:p>
            <w:pPr>
              <w:jc w:val="right"/>
              <w:spacing w:after="0"/>
              <w:rPr>
                <w:sz w:val="20"/>
                <w:szCs w:val="20"/>
                <w:color w:val="auto"/>
              </w:rPr>
            </w:pPr>
            <w:r>
              <w:rPr>
                <w:rFonts w:ascii="Arial" w:cs="Arial" w:eastAsia="Arial" w:hAnsi="Arial"/>
                <w:sz w:val="16"/>
                <w:szCs w:val="16"/>
                <w:color w:val="auto"/>
              </w:rPr>
              <w:t>12,914</w:t>
            </w:r>
          </w:p>
        </w:tc>
        <w:tc>
          <w:tcPr>
            <w:tcW w:w="120" w:type="dxa"/>
            <w:vAlign w:val="bottom"/>
          </w:tcPr>
          <w:p>
            <w:pPr>
              <w:spacing w:after="0"/>
              <w:rPr>
                <w:sz w:val="18"/>
                <w:szCs w:val="18"/>
                <w:color w:val="auto"/>
              </w:rPr>
            </w:pPr>
          </w:p>
        </w:tc>
        <w:tc>
          <w:tcPr>
            <w:tcW w:w="920" w:type="dxa"/>
            <w:vAlign w:val="bottom"/>
          </w:tcPr>
          <w:p>
            <w:pPr>
              <w:jc w:val="right"/>
              <w:ind w:right="100"/>
              <w:spacing w:after="0"/>
              <w:rPr>
                <w:sz w:val="20"/>
                <w:szCs w:val="20"/>
                <w:color w:val="auto"/>
              </w:rPr>
            </w:pPr>
            <w:r>
              <w:rPr>
                <w:rFonts w:ascii="Arial" w:cs="Arial" w:eastAsia="Arial" w:hAnsi="Arial"/>
                <w:sz w:val="16"/>
                <w:szCs w:val="16"/>
                <w:color w:val="auto"/>
              </w:rPr>
              <w:t>80,044</w:t>
            </w:r>
          </w:p>
        </w:tc>
        <w:tc>
          <w:tcPr>
            <w:tcW w:w="840" w:type="dxa"/>
            <w:vAlign w:val="bottom"/>
          </w:tcPr>
          <w:p>
            <w:pPr>
              <w:jc w:val="right"/>
              <w:spacing w:after="0"/>
              <w:rPr>
                <w:sz w:val="20"/>
                <w:szCs w:val="20"/>
                <w:color w:val="auto"/>
              </w:rPr>
            </w:pPr>
            <w:r>
              <w:rPr>
                <w:rFonts w:ascii="Arial" w:cs="Arial" w:eastAsia="Arial" w:hAnsi="Arial"/>
                <w:sz w:val="16"/>
                <w:szCs w:val="16"/>
                <w:color w:val="auto"/>
              </w:rPr>
              <w:t>137,963</w:t>
            </w:r>
          </w:p>
        </w:tc>
        <w:tc>
          <w:tcPr>
            <w:tcW w:w="100" w:type="dxa"/>
            <w:vAlign w:val="bottom"/>
          </w:tcPr>
          <w:p>
            <w:pPr>
              <w:spacing w:after="0"/>
              <w:rPr>
                <w:sz w:val="18"/>
                <w:szCs w:val="18"/>
                <w:color w:val="auto"/>
              </w:rPr>
            </w:pPr>
          </w:p>
        </w:tc>
        <w:tc>
          <w:tcPr>
            <w:tcW w:w="920" w:type="dxa"/>
            <w:vAlign w:val="bottom"/>
          </w:tcPr>
          <w:p>
            <w:pPr>
              <w:jc w:val="right"/>
              <w:ind w:right="100"/>
              <w:spacing w:after="0"/>
              <w:rPr>
                <w:sz w:val="20"/>
                <w:szCs w:val="20"/>
                <w:color w:val="auto"/>
              </w:rPr>
            </w:pPr>
            <w:r>
              <w:rPr>
                <w:rFonts w:ascii="Arial" w:cs="Arial" w:eastAsia="Arial" w:hAnsi="Arial"/>
                <w:sz w:val="16"/>
                <w:szCs w:val="16"/>
                <w:color w:val="auto"/>
              </w:rPr>
              <w:t>15,309</w:t>
            </w:r>
          </w:p>
        </w:tc>
        <w:tc>
          <w:tcPr>
            <w:tcW w:w="820" w:type="dxa"/>
            <w:vAlign w:val="bottom"/>
          </w:tcPr>
          <w:p>
            <w:pPr>
              <w:jc w:val="right"/>
              <w:spacing w:after="0"/>
              <w:rPr>
                <w:sz w:val="20"/>
                <w:szCs w:val="20"/>
                <w:color w:val="auto"/>
              </w:rPr>
            </w:pPr>
            <w:r>
              <w:rPr>
                <w:rFonts w:ascii="Arial" w:cs="Arial" w:eastAsia="Arial" w:hAnsi="Arial"/>
                <w:sz w:val="16"/>
                <w:szCs w:val="16"/>
                <w:color w:val="auto"/>
              </w:rPr>
              <w:t>21,549</w:t>
            </w: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30</w:t>
            </w:r>
          </w:p>
        </w:tc>
        <w:tc>
          <w:tcPr>
            <w:tcW w:w="900" w:type="dxa"/>
            <w:vAlign w:val="bottom"/>
          </w:tcPr>
          <w:p>
            <w:pPr>
              <w:jc w:val="right"/>
              <w:spacing w:after="0"/>
              <w:rPr>
                <w:sz w:val="20"/>
                <w:szCs w:val="20"/>
                <w:color w:val="auto"/>
              </w:rPr>
            </w:pPr>
            <w:r>
              <w:rPr>
                <w:rFonts w:ascii="Arial" w:cs="Arial" w:eastAsia="Arial" w:hAnsi="Arial"/>
                <w:sz w:val="16"/>
                <w:szCs w:val="16"/>
                <w:color w:val="auto"/>
              </w:rPr>
              <w:t>276,692</w:t>
            </w:r>
          </w:p>
        </w:tc>
        <w:tc>
          <w:tcPr>
            <w:tcW w:w="0" w:type="dxa"/>
            <w:vAlign w:val="bottom"/>
          </w:tcPr>
          <w:p>
            <w:pPr>
              <w:spacing w:after="0"/>
              <w:rPr>
                <w:sz w:val="1"/>
                <w:szCs w:val="1"/>
                <w:color w:val="auto"/>
              </w:rPr>
            </w:pPr>
          </w:p>
        </w:tc>
      </w:tr>
      <w:tr>
        <w:trPr>
          <w:trHeight w:val="216"/>
        </w:trPr>
        <w:tc>
          <w:tcPr>
            <w:tcW w:w="3740" w:type="dxa"/>
            <w:vAlign w:val="bottom"/>
          </w:tcPr>
          <w:p>
            <w:pPr>
              <w:ind w:left="20"/>
              <w:spacing w:after="0"/>
              <w:rPr>
                <w:sz w:val="20"/>
                <w:szCs w:val="20"/>
                <w:color w:val="auto"/>
              </w:rPr>
            </w:pPr>
            <w:r>
              <w:rPr>
                <w:rFonts w:ascii="Arial" w:cs="Arial" w:eastAsia="Arial" w:hAnsi="Arial"/>
                <w:sz w:val="16"/>
                <w:szCs w:val="16"/>
                <w:color w:val="auto"/>
              </w:rPr>
              <w:t>Intersegment revenue</w:t>
            </w: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16,692</w:t>
            </w:r>
          </w:p>
        </w:tc>
        <w:tc>
          <w:tcPr>
            <w:tcW w:w="840" w:type="dxa"/>
            <w:vAlign w:val="bottom"/>
          </w:tcPr>
          <w:p>
            <w:pPr>
              <w:jc w:val="right"/>
              <w:spacing w:after="0"/>
              <w:rPr>
                <w:sz w:val="20"/>
                <w:szCs w:val="20"/>
                <w:color w:val="auto"/>
              </w:rPr>
            </w:pPr>
            <w:r>
              <w:rPr>
                <w:rFonts w:ascii="Arial" w:cs="Arial" w:eastAsia="Arial" w:hAnsi="Arial"/>
                <w:sz w:val="16"/>
                <w:szCs w:val="16"/>
                <w:color w:val="auto"/>
              </w:rPr>
              <w:t>33,405</w:t>
            </w:r>
          </w:p>
        </w:tc>
        <w:tc>
          <w:tcPr>
            <w:tcW w:w="120" w:type="dxa"/>
            <w:vAlign w:val="bottom"/>
          </w:tcPr>
          <w:p>
            <w:pPr>
              <w:spacing w:after="0"/>
              <w:rPr>
                <w:sz w:val="18"/>
                <w:szCs w:val="18"/>
                <w:color w:val="auto"/>
              </w:rPr>
            </w:pPr>
          </w:p>
        </w:tc>
        <w:tc>
          <w:tcPr>
            <w:tcW w:w="920" w:type="dxa"/>
            <w:vAlign w:val="bottom"/>
          </w:tcPr>
          <w:p>
            <w:pPr>
              <w:jc w:val="right"/>
              <w:ind w:right="100"/>
              <w:spacing w:after="0"/>
              <w:rPr>
                <w:sz w:val="20"/>
                <w:szCs w:val="20"/>
                <w:color w:val="auto"/>
              </w:rPr>
            </w:pPr>
            <w:r>
              <w:rPr>
                <w:rFonts w:ascii="Arial" w:cs="Arial" w:eastAsia="Arial" w:hAnsi="Arial"/>
                <w:sz w:val="16"/>
                <w:szCs w:val="16"/>
                <w:color w:val="auto"/>
              </w:rPr>
              <w:t>21,622</w:t>
            </w:r>
          </w:p>
        </w:tc>
        <w:tc>
          <w:tcPr>
            <w:tcW w:w="840" w:type="dxa"/>
            <w:vAlign w:val="bottom"/>
          </w:tcPr>
          <w:p>
            <w:pPr>
              <w:jc w:val="right"/>
              <w:spacing w:after="0"/>
              <w:rPr>
                <w:sz w:val="20"/>
                <w:szCs w:val="20"/>
                <w:color w:val="auto"/>
              </w:rPr>
            </w:pPr>
            <w:r>
              <w:rPr>
                <w:rFonts w:ascii="Arial" w:cs="Arial" w:eastAsia="Arial" w:hAnsi="Arial"/>
                <w:sz w:val="16"/>
                <w:szCs w:val="16"/>
                <w:color w:val="auto"/>
              </w:rPr>
              <w:t>27,065</w:t>
            </w:r>
          </w:p>
        </w:tc>
        <w:tc>
          <w:tcPr>
            <w:tcW w:w="100" w:type="dxa"/>
            <w:vAlign w:val="bottom"/>
          </w:tcPr>
          <w:p>
            <w:pPr>
              <w:spacing w:after="0"/>
              <w:rPr>
                <w:sz w:val="18"/>
                <w:szCs w:val="18"/>
                <w:color w:val="auto"/>
              </w:rPr>
            </w:pPr>
          </w:p>
        </w:tc>
        <w:tc>
          <w:tcPr>
            <w:tcW w:w="920" w:type="dxa"/>
            <w:vAlign w:val="bottom"/>
          </w:tcPr>
          <w:p>
            <w:pPr>
              <w:jc w:val="right"/>
              <w:ind w:right="100"/>
              <w:spacing w:after="0"/>
              <w:rPr>
                <w:sz w:val="20"/>
                <w:szCs w:val="20"/>
                <w:color w:val="auto"/>
              </w:rPr>
            </w:pPr>
            <w:r>
              <w:rPr>
                <w:rFonts w:ascii="Arial" w:cs="Arial" w:eastAsia="Arial" w:hAnsi="Arial"/>
                <w:sz w:val="16"/>
                <w:szCs w:val="16"/>
                <w:color w:val="auto"/>
              </w:rPr>
              <w:t>9,639</w:t>
            </w:r>
          </w:p>
        </w:tc>
        <w:tc>
          <w:tcPr>
            <w:tcW w:w="820" w:type="dxa"/>
            <w:vAlign w:val="bottom"/>
          </w:tcPr>
          <w:p>
            <w:pPr>
              <w:jc w:val="right"/>
              <w:spacing w:after="0"/>
              <w:rPr>
                <w:sz w:val="20"/>
                <w:szCs w:val="20"/>
                <w:color w:val="auto"/>
              </w:rPr>
            </w:pPr>
            <w:r>
              <w:rPr>
                <w:rFonts w:ascii="Arial" w:cs="Arial" w:eastAsia="Arial" w:hAnsi="Arial"/>
                <w:sz w:val="16"/>
                <w:szCs w:val="16"/>
                <w:color w:val="auto"/>
              </w:rPr>
              <w:t>6,047</w:t>
            </w: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227</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740" w:type="dxa"/>
            <w:vAlign w:val="bottom"/>
          </w:tcPr>
          <w:p>
            <w:pPr>
              <w:ind w:left="20"/>
              <w:spacing w:after="0"/>
              <w:rPr>
                <w:sz w:val="20"/>
                <w:szCs w:val="20"/>
                <w:color w:val="auto"/>
              </w:rPr>
            </w:pPr>
            <w:r>
              <w:rPr>
                <w:rFonts w:ascii="Arial" w:cs="Arial" w:eastAsia="Arial" w:hAnsi="Arial"/>
                <w:sz w:val="16"/>
                <w:szCs w:val="16"/>
                <w:color w:val="auto"/>
              </w:rPr>
              <w:t>Depreciation and depletion expense</w:t>
            </w: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6,831</w:t>
            </w:r>
          </w:p>
        </w:tc>
        <w:tc>
          <w:tcPr>
            <w:tcW w:w="840" w:type="dxa"/>
            <w:vAlign w:val="bottom"/>
          </w:tcPr>
          <w:p>
            <w:pPr>
              <w:jc w:val="right"/>
              <w:spacing w:after="0"/>
              <w:rPr>
                <w:sz w:val="20"/>
                <w:szCs w:val="20"/>
                <w:color w:val="auto"/>
              </w:rPr>
            </w:pPr>
            <w:r>
              <w:rPr>
                <w:rFonts w:ascii="Arial" w:cs="Arial" w:eastAsia="Arial" w:hAnsi="Arial"/>
                <w:sz w:val="16"/>
                <w:szCs w:val="16"/>
                <w:color w:val="auto"/>
              </w:rPr>
              <w:t>9,918</w:t>
            </w:r>
          </w:p>
        </w:tc>
        <w:tc>
          <w:tcPr>
            <w:tcW w:w="120" w:type="dxa"/>
            <w:vAlign w:val="bottom"/>
          </w:tcPr>
          <w:p>
            <w:pPr>
              <w:spacing w:after="0"/>
              <w:rPr>
                <w:sz w:val="18"/>
                <w:szCs w:val="18"/>
                <w:color w:val="auto"/>
              </w:rPr>
            </w:pPr>
          </w:p>
        </w:tc>
        <w:tc>
          <w:tcPr>
            <w:tcW w:w="920" w:type="dxa"/>
            <w:vAlign w:val="bottom"/>
          </w:tcPr>
          <w:p>
            <w:pPr>
              <w:jc w:val="right"/>
              <w:ind w:right="100"/>
              <w:spacing w:after="0"/>
              <w:rPr>
                <w:sz w:val="20"/>
                <w:szCs w:val="20"/>
                <w:color w:val="auto"/>
              </w:rPr>
            </w:pPr>
            <w:r>
              <w:rPr>
                <w:rFonts w:ascii="Arial" w:cs="Arial" w:eastAsia="Arial" w:hAnsi="Arial"/>
                <w:sz w:val="16"/>
                <w:szCs w:val="16"/>
                <w:color w:val="auto"/>
              </w:rPr>
              <w:t>724</w:t>
            </w:r>
          </w:p>
        </w:tc>
        <w:tc>
          <w:tcPr>
            <w:tcW w:w="840" w:type="dxa"/>
            <w:vAlign w:val="bottom"/>
          </w:tcPr>
          <w:p>
            <w:pPr>
              <w:jc w:val="right"/>
              <w:spacing w:after="0"/>
              <w:rPr>
                <w:sz w:val="20"/>
                <w:szCs w:val="20"/>
                <w:color w:val="auto"/>
              </w:rPr>
            </w:pPr>
            <w:r>
              <w:rPr>
                <w:rFonts w:ascii="Arial" w:cs="Arial" w:eastAsia="Arial" w:hAnsi="Arial"/>
                <w:sz w:val="16"/>
                <w:szCs w:val="16"/>
                <w:color w:val="auto"/>
              </w:rPr>
              <w:t>1,031</w:t>
            </w:r>
          </w:p>
        </w:tc>
        <w:tc>
          <w:tcPr>
            <w:tcW w:w="100" w:type="dxa"/>
            <w:vAlign w:val="bottom"/>
          </w:tcPr>
          <w:p>
            <w:pPr>
              <w:spacing w:after="0"/>
              <w:rPr>
                <w:sz w:val="18"/>
                <w:szCs w:val="18"/>
                <w:color w:val="auto"/>
              </w:rPr>
            </w:pPr>
          </w:p>
        </w:tc>
        <w:tc>
          <w:tcPr>
            <w:tcW w:w="920" w:type="dxa"/>
            <w:vAlign w:val="bottom"/>
          </w:tcPr>
          <w:p>
            <w:pPr>
              <w:jc w:val="right"/>
              <w:ind w:right="100"/>
              <w:spacing w:after="0"/>
              <w:rPr>
                <w:sz w:val="20"/>
                <w:szCs w:val="20"/>
                <w:color w:val="auto"/>
              </w:rPr>
            </w:pPr>
            <w:r>
              <w:rPr>
                <w:rFonts w:ascii="Arial" w:cs="Arial" w:eastAsia="Arial" w:hAnsi="Arial"/>
                <w:sz w:val="16"/>
                <w:szCs w:val="16"/>
                <w:color w:val="auto"/>
              </w:rPr>
              <w:t>578</w:t>
            </w:r>
          </w:p>
        </w:tc>
        <w:tc>
          <w:tcPr>
            <w:tcW w:w="820" w:type="dxa"/>
            <w:vAlign w:val="bottom"/>
          </w:tcPr>
          <w:p>
            <w:pPr>
              <w:jc w:val="right"/>
              <w:spacing w:after="0"/>
              <w:rPr>
                <w:sz w:val="20"/>
                <w:szCs w:val="20"/>
                <w:color w:val="auto"/>
              </w:rPr>
            </w:pPr>
            <w:r>
              <w:rPr>
                <w:rFonts w:ascii="Arial" w:cs="Arial" w:eastAsia="Arial" w:hAnsi="Arial"/>
                <w:sz w:val="16"/>
                <w:szCs w:val="16"/>
                <w:color w:val="auto"/>
              </w:rPr>
              <w:t>650</w:t>
            </w: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875</w:t>
            </w:r>
          </w:p>
        </w:tc>
        <w:tc>
          <w:tcPr>
            <w:tcW w:w="900" w:type="dxa"/>
            <w:vAlign w:val="bottom"/>
          </w:tcPr>
          <w:p>
            <w:pPr>
              <w:jc w:val="right"/>
              <w:spacing w:after="0"/>
              <w:rPr>
                <w:sz w:val="20"/>
                <w:szCs w:val="20"/>
                <w:color w:val="auto"/>
              </w:rPr>
            </w:pPr>
            <w:r>
              <w:rPr>
                <w:rFonts w:ascii="Arial" w:cs="Arial" w:eastAsia="Arial" w:hAnsi="Arial"/>
                <w:sz w:val="16"/>
                <w:szCs w:val="16"/>
                <w:color w:val="auto"/>
              </w:rPr>
              <w:t>20,607</w:t>
            </w:r>
          </w:p>
        </w:tc>
        <w:tc>
          <w:tcPr>
            <w:tcW w:w="0" w:type="dxa"/>
            <w:vAlign w:val="bottom"/>
          </w:tcPr>
          <w:p>
            <w:pPr>
              <w:spacing w:after="0"/>
              <w:rPr>
                <w:sz w:val="1"/>
                <w:szCs w:val="1"/>
                <w:color w:val="auto"/>
              </w:rPr>
            </w:pPr>
          </w:p>
        </w:tc>
      </w:tr>
      <w:tr>
        <w:trPr>
          <w:trHeight w:val="216"/>
        </w:trPr>
        <w:tc>
          <w:tcPr>
            <w:tcW w:w="3740" w:type="dxa"/>
            <w:vAlign w:val="bottom"/>
          </w:tcPr>
          <w:p>
            <w:pPr>
              <w:ind w:left="20"/>
              <w:spacing w:after="0"/>
              <w:rPr>
                <w:sz w:val="20"/>
                <w:szCs w:val="20"/>
                <w:color w:val="auto"/>
              </w:rPr>
            </w:pPr>
            <w:r>
              <w:rPr>
                <w:rFonts w:ascii="Arial" w:cs="Arial" w:eastAsia="Arial" w:hAnsi="Arial"/>
                <w:sz w:val="16"/>
                <w:szCs w:val="16"/>
                <w:color w:val="auto"/>
              </w:rPr>
              <w:t>Interest revenue</w:t>
            </w: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33</w:t>
            </w:r>
          </w:p>
        </w:tc>
        <w:tc>
          <w:tcPr>
            <w:tcW w:w="900" w:type="dxa"/>
            <w:vAlign w:val="bottom"/>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16"/>
        </w:trPr>
        <w:tc>
          <w:tcPr>
            <w:tcW w:w="374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58</w:t>
            </w:r>
          </w:p>
        </w:tc>
        <w:tc>
          <w:tcPr>
            <w:tcW w:w="840" w:type="dxa"/>
            <w:vAlign w:val="bottom"/>
          </w:tcPr>
          <w:p>
            <w:pPr>
              <w:jc w:val="right"/>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18"/>
                <w:szCs w:val="18"/>
                <w:color w:val="auto"/>
              </w:rPr>
            </w:pPr>
          </w:p>
        </w:tc>
        <w:tc>
          <w:tcPr>
            <w:tcW w:w="920" w:type="dxa"/>
            <w:vAlign w:val="bottom"/>
          </w:tcPr>
          <w:p>
            <w:pPr>
              <w:jc w:val="right"/>
              <w:ind w:right="100"/>
              <w:spacing w:after="0"/>
              <w:rPr>
                <w:sz w:val="20"/>
                <w:szCs w:val="20"/>
                <w:color w:val="auto"/>
              </w:rPr>
            </w:pPr>
            <w:r>
              <w:rPr>
                <w:rFonts w:ascii="Arial" w:cs="Arial" w:eastAsia="Arial" w:hAnsi="Arial"/>
                <w:sz w:val="16"/>
                <w:szCs w:val="16"/>
                <w:color w:val="auto"/>
              </w:rPr>
              <w:t>1</w:t>
            </w:r>
          </w:p>
        </w:tc>
        <w:tc>
          <w:tcPr>
            <w:tcW w:w="84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92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w:t>
            </w: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844</w:t>
            </w:r>
          </w:p>
        </w:tc>
        <w:tc>
          <w:tcPr>
            <w:tcW w:w="900" w:type="dxa"/>
            <w:vAlign w:val="bottom"/>
          </w:tcPr>
          <w:p>
            <w:pPr>
              <w:jc w:val="right"/>
              <w:spacing w:after="0"/>
              <w:rPr>
                <w:sz w:val="20"/>
                <w:szCs w:val="20"/>
                <w:color w:val="auto"/>
              </w:rPr>
            </w:pPr>
            <w:r>
              <w:rPr>
                <w:rFonts w:ascii="Arial" w:cs="Arial" w:eastAsia="Arial" w:hAnsi="Arial"/>
                <w:sz w:val="16"/>
                <w:szCs w:val="16"/>
                <w:color w:val="auto"/>
              </w:rPr>
              <w:t>947</w:t>
            </w:r>
          </w:p>
        </w:tc>
        <w:tc>
          <w:tcPr>
            <w:tcW w:w="0" w:type="dxa"/>
            <w:vAlign w:val="bottom"/>
          </w:tcPr>
          <w:p>
            <w:pPr>
              <w:spacing w:after="0"/>
              <w:rPr>
                <w:sz w:val="1"/>
                <w:szCs w:val="1"/>
                <w:color w:val="auto"/>
              </w:rPr>
            </w:pPr>
          </w:p>
        </w:tc>
      </w:tr>
      <w:tr>
        <w:trPr>
          <w:trHeight w:val="216"/>
        </w:trPr>
        <w:tc>
          <w:tcPr>
            <w:tcW w:w="3740" w:type="dxa"/>
            <w:vAlign w:val="bottom"/>
          </w:tcPr>
          <w:p>
            <w:pPr>
              <w:ind w:left="20"/>
              <w:spacing w:after="0"/>
              <w:rPr>
                <w:sz w:val="20"/>
                <w:szCs w:val="20"/>
                <w:color w:val="auto"/>
              </w:rPr>
            </w:pPr>
            <w:r>
              <w:rPr>
                <w:rFonts w:ascii="Arial" w:cs="Arial" w:eastAsia="Arial" w:hAnsi="Arial"/>
                <w:sz w:val="16"/>
                <w:szCs w:val="16"/>
                <w:color w:val="auto"/>
              </w:rPr>
              <w:t>Income tax expense (benefit)</w:t>
            </w: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1,116</w:t>
            </w:r>
          </w:p>
        </w:tc>
        <w:tc>
          <w:tcPr>
            <w:tcW w:w="840" w:type="dxa"/>
            <w:vAlign w:val="bottom"/>
          </w:tcPr>
          <w:p>
            <w:pPr>
              <w:jc w:val="right"/>
              <w:spacing w:after="0"/>
              <w:rPr>
                <w:sz w:val="20"/>
                <w:szCs w:val="20"/>
                <w:color w:val="auto"/>
              </w:rPr>
            </w:pPr>
            <w:r>
              <w:rPr>
                <w:rFonts w:ascii="Arial" w:cs="Arial" w:eastAsia="Arial" w:hAnsi="Arial"/>
                <w:sz w:val="16"/>
                <w:szCs w:val="16"/>
                <w:color w:val="auto"/>
              </w:rPr>
              <w:t>4,871</w:t>
            </w:r>
          </w:p>
        </w:tc>
        <w:tc>
          <w:tcPr>
            <w:tcW w:w="120" w:type="dxa"/>
            <w:vAlign w:val="bottom"/>
          </w:tcPr>
          <w:p>
            <w:pPr>
              <w:spacing w:after="0"/>
              <w:rPr>
                <w:sz w:val="18"/>
                <w:szCs w:val="18"/>
                <w:color w:val="auto"/>
              </w:rPr>
            </w:pPr>
          </w:p>
        </w:tc>
        <w:tc>
          <w:tcPr>
            <w:tcW w:w="920" w:type="dxa"/>
            <w:vAlign w:val="bottom"/>
          </w:tcPr>
          <w:p>
            <w:pPr>
              <w:jc w:val="right"/>
              <w:ind w:right="100"/>
              <w:spacing w:after="0"/>
              <w:rPr>
                <w:sz w:val="20"/>
                <w:szCs w:val="20"/>
                <w:color w:val="auto"/>
              </w:rPr>
            </w:pPr>
            <w:r>
              <w:rPr>
                <w:rFonts w:ascii="Arial" w:cs="Arial" w:eastAsia="Arial" w:hAnsi="Arial"/>
                <w:sz w:val="16"/>
                <w:szCs w:val="16"/>
                <w:color w:val="auto"/>
              </w:rPr>
              <w:t>379</w:t>
            </w:r>
          </w:p>
        </w:tc>
        <w:tc>
          <w:tcPr>
            <w:tcW w:w="840" w:type="dxa"/>
            <w:vAlign w:val="bottom"/>
          </w:tcPr>
          <w:p>
            <w:pPr>
              <w:jc w:val="right"/>
              <w:spacing w:after="0"/>
              <w:rPr>
                <w:sz w:val="20"/>
                <w:szCs w:val="20"/>
                <w:color w:val="auto"/>
              </w:rPr>
            </w:pPr>
            <w:r>
              <w:rPr>
                <w:rFonts w:ascii="Arial" w:cs="Arial" w:eastAsia="Arial" w:hAnsi="Arial"/>
                <w:sz w:val="16"/>
                <w:szCs w:val="16"/>
                <w:color w:val="auto"/>
              </w:rPr>
              <w:t>160</w:t>
            </w:r>
          </w:p>
        </w:tc>
        <w:tc>
          <w:tcPr>
            <w:tcW w:w="100" w:type="dxa"/>
            <w:vAlign w:val="bottom"/>
          </w:tcPr>
          <w:p>
            <w:pPr>
              <w:spacing w:after="0"/>
              <w:rPr>
                <w:sz w:val="18"/>
                <w:szCs w:val="18"/>
                <w:color w:val="auto"/>
              </w:rPr>
            </w:pPr>
          </w:p>
        </w:tc>
        <w:tc>
          <w:tcPr>
            <w:tcW w:w="920" w:type="dxa"/>
            <w:vAlign w:val="bottom"/>
          </w:tcPr>
          <w:p>
            <w:pPr>
              <w:jc w:val="right"/>
              <w:ind w:right="100"/>
              <w:spacing w:after="0"/>
              <w:rPr>
                <w:sz w:val="20"/>
                <w:szCs w:val="20"/>
                <w:color w:val="auto"/>
              </w:rPr>
            </w:pPr>
            <w:r>
              <w:rPr>
                <w:rFonts w:ascii="Arial" w:cs="Arial" w:eastAsia="Arial" w:hAnsi="Arial"/>
                <w:sz w:val="16"/>
                <w:szCs w:val="16"/>
                <w:color w:val="auto"/>
              </w:rPr>
              <w:t>1,476</w:t>
            </w:r>
          </w:p>
        </w:tc>
        <w:tc>
          <w:tcPr>
            <w:tcW w:w="820" w:type="dxa"/>
            <w:vAlign w:val="bottom"/>
          </w:tcPr>
          <w:p>
            <w:pPr>
              <w:jc w:val="right"/>
              <w:spacing w:after="0"/>
              <w:rPr>
                <w:sz w:val="20"/>
                <w:szCs w:val="20"/>
                <w:color w:val="auto"/>
              </w:rPr>
            </w:pPr>
            <w:r>
              <w:rPr>
                <w:rFonts w:ascii="Arial" w:cs="Arial" w:eastAsia="Arial" w:hAnsi="Arial"/>
                <w:sz w:val="16"/>
                <w:szCs w:val="16"/>
                <w:color w:val="auto"/>
              </w:rPr>
              <w:t>688</w:t>
            </w: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(1,054)</w:t>
            </w:r>
          </w:p>
        </w:tc>
        <w:tc>
          <w:tcPr>
            <w:tcW w:w="900" w:type="dxa"/>
            <w:vAlign w:val="bottom"/>
          </w:tcPr>
          <w:p>
            <w:pPr>
              <w:jc w:val="right"/>
              <w:spacing w:after="0"/>
              <w:rPr>
                <w:sz w:val="20"/>
                <w:szCs w:val="20"/>
                <w:color w:val="auto"/>
              </w:rPr>
            </w:pPr>
            <w:r>
              <w:rPr>
                <w:rFonts w:ascii="Arial" w:cs="Arial" w:eastAsia="Arial" w:hAnsi="Arial"/>
                <w:sz w:val="16"/>
                <w:szCs w:val="16"/>
                <w:color w:val="auto"/>
              </w:rPr>
              <w:t>7,636</w:t>
            </w:r>
          </w:p>
        </w:tc>
        <w:tc>
          <w:tcPr>
            <w:tcW w:w="0" w:type="dxa"/>
            <w:vAlign w:val="bottom"/>
          </w:tcPr>
          <w:p>
            <w:pPr>
              <w:spacing w:after="0"/>
              <w:rPr>
                <w:sz w:val="1"/>
                <w:szCs w:val="1"/>
                <w:color w:val="auto"/>
              </w:rPr>
            </w:pPr>
          </w:p>
        </w:tc>
      </w:tr>
      <w:tr>
        <w:trPr>
          <w:trHeight w:val="216"/>
        </w:trPr>
        <w:tc>
          <w:tcPr>
            <w:tcW w:w="3740" w:type="dxa"/>
            <w:vAlign w:val="bottom"/>
          </w:tcPr>
          <w:p>
            <w:pPr>
              <w:ind w:left="20"/>
              <w:spacing w:after="0"/>
              <w:rPr>
                <w:sz w:val="20"/>
                <w:szCs w:val="20"/>
                <w:color w:val="auto"/>
              </w:rPr>
            </w:pPr>
            <w:r>
              <w:rPr>
                <w:rFonts w:ascii="Arial" w:cs="Arial" w:eastAsia="Arial" w:hAnsi="Arial"/>
                <w:sz w:val="16"/>
                <w:szCs w:val="16"/>
                <w:color w:val="auto"/>
              </w:rPr>
              <w:t>Additions to property, plant and equipment</w:t>
            </w: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3,308</w:t>
            </w:r>
          </w:p>
        </w:tc>
        <w:tc>
          <w:tcPr>
            <w:tcW w:w="840" w:type="dxa"/>
            <w:vAlign w:val="bottom"/>
          </w:tcPr>
          <w:p>
            <w:pPr>
              <w:jc w:val="right"/>
              <w:spacing w:after="0"/>
              <w:rPr>
                <w:sz w:val="20"/>
                <w:szCs w:val="20"/>
                <w:color w:val="auto"/>
              </w:rPr>
            </w:pPr>
            <w:r>
              <w:rPr>
                <w:rFonts w:ascii="Arial" w:cs="Arial" w:eastAsia="Arial" w:hAnsi="Arial"/>
                <w:sz w:val="16"/>
                <w:szCs w:val="16"/>
                <w:color w:val="auto"/>
              </w:rPr>
              <w:t>5,308</w:t>
            </w:r>
          </w:p>
        </w:tc>
        <w:tc>
          <w:tcPr>
            <w:tcW w:w="120" w:type="dxa"/>
            <w:vAlign w:val="bottom"/>
          </w:tcPr>
          <w:p>
            <w:pPr>
              <w:spacing w:after="0"/>
              <w:rPr>
                <w:sz w:val="18"/>
                <w:szCs w:val="18"/>
                <w:color w:val="auto"/>
              </w:rPr>
            </w:pPr>
          </w:p>
        </w:tc>
        <w:tc>
          <w:tcPr>
            <w:tcW w:w="920" w:type="dxa"/>
            <w:vAlign w:val="bottom"/>
          </w:tcPr>
          <w:p>
            <w:pPr>
              <w:jc w:val="right"/>
              <w:ind w:right="100"/>
              <w:spacing w:after="0"/>
              <w:rPr>
                <w:sz w:val="20"/>
                <w:szCs w:val="20"/>
                <w:color w:val="auto"/>
              </w:rPr>
            </w:pPr>
            <w:r>
              <w:rPr>
                <w:rFonts w:ascii="Arial" w:cs="Arial" w:eastAsia="Arial" w:hAnsi="Arial"/>
                <w:sz w:val="16"/>
                <w:szCs w:val="16"/>
                <w:color w:val="auto"/>
              </w:rPr>
              <w:t>997</w:t>
            </w:r>
          </w:p>
        </w:tc>
        <w:tc>
          <w:tcPr>
            <w:tcW w:w="840" w:type="dxa"/>
            <w:vAlign w:val="bottom"/>
          </w:tcPr>
          <w:p>
            <w:pPr>
              <w:jc w:val="right"/>
              <w:spacing w:after="0"/>
              <w:rPr>
                <w:sz w:val="20"/>
                <w:szCs w:val="20"/>
                <w:color w:val="auto"/>
              </w:rPr>
            </w:pPr>
            <w:r>
              <w:rPr>
                <w:rFonts w:ascii="Arial" w:cs="Arial" w:eastAsia="Arial" w:hAnsi="Arial"/>
                <w:sz w:val="16"/>
                <w:szCs w:val="16"/>
                <w:color w:val="auto"/>
              </w:rPr>
              <w:t>983</w:t>
            </w:r>
          </w:p>
        </w:tc>
        <w:tc>
          <w:tcPr>
            <w:tcW w:w="100" w:type="dxa"/>
            <w:vAlign w:val="bottom"/>
          </w:tcPr>
          <w:p>
            <w:pPr>
              <w:spacing w:after="0"/>
              <w:rPr>
                <w:sz w:val="18"/>
                <w:szCs w:val="18"/>
                <w:color w:val="auto"/>
              </w:rPr>
            </w:pPr>
          </w:p>
        </w:tc>
        <w:tc>
          <w:tcPr>
            <w:tcW w:w="920" w:type="dxa"/>
            <w:vAlign w:val="bottom"/>
          </w:tcPr>
          <w:p>
            <w:pPr>
              <w:jc w:val="right"/>
              <w:ind w:right="100"/>
              <w:spacing w:after="0"/>
              <w:rPr>
                <w:sz w:val="20"/>
                <w:szCs w:val="20"/>
                <w:color w:val="auto"/>
              </w:rPr>
            </w:pPr>
            <w:r>
              <w:rPr>
                <w:rFonts w:ascii="Arial" w:cs="Arial" w:eastAsia="Arial" w:hAnsi="Arial"/>
                <w:sz w:val="16"/>
                <w:szCs w:val="16"/>
                <w:color w:val="auto"/>
              </w:rPr>
              <w:t>548</w:t>
            </w:r>
          </w:p>
        </w:tc>
        <w:tc>
          <w:tcPr>
            <w:tcW w:w="820" w:type="dxa"/>
            <w:vAlign w:val="bottom"/>
          </w:tcPr>
          <w:p>
            <w:pPr>
              <w:jc w:val="right"/>
              <w:spacing w:after="0"/>
              <w:rPr>
                <w:sz w:val="20"/>
                <w:szCs w:val="20"/>
                <w:color w:val="auto"/>
              </w:rPr>
            </w:pPr>
            <w:r>
              <w:rPr>
                <w:rFonts w:ascii="Arial" w:cs="Arial" w:eastAsia="Arial" w:hAnsi="Arial"/>
                <w:sz w:val="16"/>
                <w:szCs w:val="16"/>
                <w:color w:val="auto"/>
              </w:rPr>
              <w:t>739</w:t>
            </w: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658</w:t>
            </w:r>
          </w:p>
        </w:tc>
        <w:tc>
          <w:tcPr>
            <w:tcW w:w="900" w:type="dxa"/>
            <w:vAlign w:val="bottom"/>
          </w:tcPr>
          <w:p>
            <w:pPr>
              <w:jc w:val="right"/>
              <w:spacing w:after="0"/>
              <w:rPr>
                <w:sz w:val="20"/>
                <w:szCs w:val="20"/>
                <w:color w:val="auto"/>
              </w:rPr>
            </w:pPr>
            <w:r>
              <w:rPr>
                <w:rFonts w:ascii="Arial" w:cs="Arial" w:eastAsia="Arial" w:hAnsi="Arial"/>
                <w:sz w:val="16"/>
                <w:szCs w:val="16"/>
                <w:color w:val="auto"/>
              </w:rPr>
              <w:t>12,541</w:t>
            </w:r>
          </w:p>
        </w:tc>
        <w:tc>
          <w:tcPr>
            <w:tcW w:w="0" w:type="dxa"/>
            <w:vAlign w:val="bottom"/>
          </w:tcPr>
          <w:p>
            <w:pPr>
              <w:spacing w:after="0"/>
              <w:rPr>
                <w:sz w:val="1"/>
                <w:szCs w:val="1"/>
                <w:color w:val="auto"/>
              </w:rPr>
            </w:pPr>
          </w:p>
        </w:tc>
      </w:tr>
      <w:tr>
        <w:trPr>
          <w:trHeight w:val="216"/>
        </w:trPr>
        <w:tc>
          <w:tcPr>
            <w:tcW w:w="3740" w:type="dxa"/>
            <w:vAlign w:val="bottom"/>
          </w:tcPr>
          <w:p>
            <w:pPr>
              <w:ind w:left="20"/>
              <w:spacing w:after="0"/>
              <w:rPr>
                <w:sz w:val="20"/>
                <w:szCs w:val="20"/>
                <w:color w:val="auto"/>
              </w:rPr>
            </w:pPr>
            <w:r>
              <w:rPr>
                <w:rFonts w:ascii="Arial" w:cs="Arial" w:eastAsia="Arial" w:hAnsi="Arial"/>
                <w:sz w:val="16"/>
                <w:szCs w:val="16"/>
                <w:color w:val="auto"/>
              </w:rPr>
              <w:t>Investments in equity companies</w:t>
            </w: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4,999</w:t>
            </w:r>
          </w:p>
        </w:tc>
        <w:tc>
          <w:tcPr>
            <w:tcW w:w="840" w:type="dxa"/>
            <w:vAlign w:val="bottom"/>
          </w:tcPr>
          <w:p>
            <w:pPr>
              <w:jc w:val="right"/>
              <w:spacing w:after="0"/>
              <w:rPr>
                <w:sz w:val="20"/>
                <w:szCs w:val="20"/>
                <w:color w:val="auto"/>
              </w:rPr>
            </w:pPr>
            <w:r>
              <w:rPr>
                <w:rFonts w:ascii="Arial" w:cs="Arial" w:eastAsia="Arial" w:hAnsi="Arial"/>
                <w:sz w:val="16"/>
                <w:szCs w:val="16"/>
                <w:color w:val="auto"/>
              </w:rPr>
              <w:t>18,544</w:t>
            </w:r>
          </w:p>
        </w:tc>
        <w:tc>
          <w:tcPr>
            <w:tcW w:w="120" w:type="dxa"/>
            <w:vAlign w:val="bottom"/>
          </w:tcPr>
          <w:p>
            <w:pPr>
              <w:spacing w:after="0"/>
              <w:rPr>
                <w:sz w:val="18"/>
                <w:szCs w:val="18"/>
                <w:color w:val="auto"/>
              </w:rPr>
            </w:pPr>
          </w:p>
        </w:tc>
        <w:tc>
          <w:tcPr>
            <w:tcW w:w="920" w:type="dxa"/>
            <w:vAlign w:val="bottom"/>
          </w:tcPr>
          <w:p>
            <w:pPr>
              <w:jc w:val="right"/>
              <w:ind w:right="100"/>
              <w:spacing w:after="0"/>
              <w:rPr>
                <w:sz w:val="20"/>
                <w:szCs w:val="20"/>
                <w:color w:val="auto"/>
              </w:rPr>
            </w:pPr>
            <w:r>
              <w:rPr>
                <w:rFonts w:ascii="Arial" w:cs="Arial" w:eastAsia="Arial" w:hAnsi="Arial"/>
                <w:sz w:val="16"/>
                <w:szCs w:val="16"/>
                <w:color w:val="auto"/>
              </w:rPr>
              <w:t>352</w:t>
            </w:r>
          </w:p>
        </w:tc>
        <w:tc>
          <w:tcPr>
            <w:tcW w:w="840" w:type="dxa"/>
            <w:vAlign w:val="bottom"/>
          </w:tcPr>
          <w:p>
            <w:pPr>
              <w:jc w:val="right"/>
              <w:spacing w:after="0"/>
              <w:rPr>
                <w:sz w:val="20"/>
                <w:szCs w:val="20"/>
                <w:color w:val="auto"/>
              </w:rPr>
            </w:pPr>
            <w:r>
              <w:rPr>
                <w:rFonts w:ascii="Arial" w:cs="Arial" w:eastAsia="Arial" w:hAnsi="Arial"/>
                <w:sz w:val="16"/>
                <w:szCs w:val="16"/>
                <w:color w:val="auto"/>
              </w:rPr>
              <w:t>888</w:t>
            </w:r>
          </w:p>
        </w:tc>
        <w:tc>
          <w:tcPr>
            <w:tcW w:w="100" w:type="dxa"/>
            <w:vAlign w:val="bottom"/>
          </w:tcPr>
          <w:p>
            <w:pPr>
              <w:spacing w:after="0"/>
              <w:rPr>
                <w:sz w:val="18"/>
                <w:szCs w:val="18"/>
                <w:color w:val="auto"/>
              </w:rPr>
            </w:pPr>
          </w:p>
        </w:tc>
        <w:tc>
          <w:tcPr>
            <w:tcW w:w="920" w:type="dxa"/>
            <w:vAlign w:val="bottom"/>
          </w:tcPr>
          <w:p>
            <w:pPr>
              <w:jc w:val="right"/>
              <w:ind w:right="100"/>
              <w:spacing w:after="0"/>
              <w:rPr>
                <w:sz w:val="20"/>
                <w:szCs w:val="20"/>
                <w:color w:val="auto"/>
              </w:rPr>
            </w:pPr>
            <w:r>
              <w:rPr>
                <w:rFonts w:ascii="Arial" w:cs="Arial" w:eastAsia="Arial" w:hAnsi="Arial"/>
                <w:sz w:val="16"/>
                <w:szCs w:val="16"/>
                <w:color w:val="auto"/>
              </w:rPr>
              <w:t>3,020</w:t>
            </w:r>
          </w:p>
        </w:tc>
        <w:tc>
          <w:tcPr>
            <w:tcW w:w="820" w:type="dxa"/>
            <w:vAlign w:val="bottom"/>
          </w:tcPr>
          <w:p>
            <w:pPr>
              <w:jc w:val="right"/>
              <w:spacing w:after="0"/>
              <w:rPr>
                <w:sz w:val="20"/>
                <w:szCs w:val="20"/>
                <w:color w:val="auto"/>
              </w:rPr>
            </w:pPr>
            <w:r>
              <w:rPr>
                <w:rFonts w:ascii="Arial" w:cs="Arial" w:eastAsia="Arial" w:hAnsi="Arial"/>
                <w:sz w:val="16"/>
                <w:szCs w:val="16"/>
                <w:color w:val="auto"/>
              </w:rPr>
              <w:t>3,759</w:t>
            </w: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(337)</w:t>
            </w:r>
          </w:p>
        </w:tc>
        <w:tc>
          <w:tcPr>
            <w:tcW w:w="900" w:type="dxa"/>
            <w:vAlign w:val="bottom"/>
          </w:tcPr>
          <w:p>
            <w:pPr>
              <w:jc w:val="right"/>
              <w:spacing w:after="0"/>
              <w:rPr>
                <w:sz w:val="20"/>
                <w:szCs w:val="20"/>
                <w:color w:val="auto"/>
              </w:rPr>
            </w:pPr>
            <w:r>
              <w:rPr>
                <w:rFonts w:ascii="Arial" w:cs="Arial" w:eastAsia="Arial" w:hAnsi="Arial"/>
                <w:sz w:val="16"/>
                <w:szCs w:val="16"/>
                <w:color w:val="auto"/>
              </w:rPr>
              <w:t>31,225</w:t>
            </w:r>
          </w:p>
        </w:tc>
        <w:tc>
          <w:tcPr>
            <w:tcW w:w="0" w:type="dxa"/>
            <w:vAlign w:val="bottom"/>
          </w:tcPr>
          <w:p>
            <w:pPr>
              <w:spacing w:after="0"/>
              <w:rPr>
                <w:sz w:val="1"/>
                <w:szCs w:val="1"/>
                <w:color w:val="auto"/>
              </w:rPr>
            </w:pPr>
          </w:p>
        </w:tc>
      </w:tr>
      <w:tr>
        <w:trPr>
          <w:trHeight w:val="216"/>
        </w:trPr>
        <w:tc>
          <w:tcPr>
            <w:tcW w:w="374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67,294</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141,978</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27,436</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39,630</w:t>
            </w: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19,069</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20,653</w:t>
            </w:r>
          </w:p>
        </w:tc>
        <w:tc>
          <w:tcPr>
            <w:tcW w:w="10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22,863</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338,923</w:t>
            </w:r>
          </w:p>
        </w:tc>
        <w:tc>
          <w:tcPr>
            <w:tcW w:w="0" w:type="dxa"/>
            <w:vAlign w:val="bottom"/>
          </w:tcPr>
          <w:p>
            <w:pPr>
              <w:spacing w:after="0"/>
              <w:rPr>
                <w:sz w:val="1"/>
                <w:szCs w:val="1"/>
                <w:color w:val="auto"/>
              </w:rPr>
            </w:pPr>
          </w:p>
        </w:tc>
      </w:tr>
      <w:tr>
        <w:trPr>
          <w:trHeight w:val="453"/>
        </w:trPr>
        <w:tc>
          <w:tcPr>
            <w:tcW w:w="3740" w:type="dxa"/>
            <w:vAlign w:val="bottom"/>
          </w:tcPr>
          <w:p>
            <w:pPr>
              <w:ind w:left="20"/>
              <w:spacing w:after="0"/>
              <w:rPr>
                <w:sz w:val="20"/>
                <w:szCs w:val="20"/>
                <w:color w:val="auto"/>
              </w:rPr>
            </w:pPr>
            <w:r>
              <w:rPr>
                <w:rFonts w:ascii="Arial" w:cs="Arial" w:eastAsia="Arial" w:hAnsi="Arial"/>
                <w:sz w:val="16"/>
                <w:szCs w:val="16"/>
                <w:color w:val="auto"/>
              </w:rPr>
              <w:t>As of December 31, 2020</w:t>
            </w:r>
          </w:p>
        </w:tc>
        <w:tc>
          <w:tcPr>
            <w:tcW w:w="9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20"/>
              <w:spacing w:after="0"/>
              <w:rPr>
                <w:sz w:val="20"/>
                <w:szCs w:val="20"/>
                <w:color w:val="auto"/>
              </w:rPr>
            </w:pPr>
            <w:r>
              <w:rPr>
                <w:rFonts w:ascii="Arial" w:cs="Arial" w:eastAsia="Arial" w:hAnsi="Arial"/>
                <w:sz w:val="16"/>
                <w:szCs w:val="16"/>
                <w:color w:val="auto"/>
              </w:rPr>
              <w:t>Earnings (loss) after income tax</w:t>
            </w: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(19,385)</w:t>
            </w:r>
          </w:p>
        </w:tc>
        <w:tc>
          <w:tcPr>
            <w:tcW w:w="840" w:type="dxa"/>
            <w:vAlign w:val="bottom"/>
          </w:tcPr>
          <w:p>
            <w:pPr>
              <w:jc w:val="right"/>
              <w:spacing w:after="0"/>
              <w:rPr>
                <w:sz w:val="20"/>
                <w:szCs w:val="20"/>
                <w:color w:val="auto"/>
              </w:rPr>
            </w:pPr>
            <w:r>
              <w:rPr>
                <w:rFonts w:ascii="Arial" w:cs="Arial" w:eastAsia="Arial" w:hAnsi="Arial"/>
                <w:sz w:val="16"/>
                <w:szCs w:val="16"/>
                <w:color w:val="auto"/>
              </w:rPr>
              <w:t>(645)</w:t>
            </w:r>
          </w:p>
        </w:tc>
        <w:tc>
          <w:tcPr>
            <w:tcW w:w="120" w:type="dxa"/>
            <w:vAlign w:val="bottom"/>
          </w:tcPr>
          <w:p>
            <w:pPr>
              <w:spacing w:after="0"/>
              <w:rPr>
                <w:sz w:val="18"/>
                <w:szCs w:val="18"/>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(852)</w:t>
            </w:r>
          </w:p>
        </w:tc>
        <w:tc>
          <w:tcPr>
            <w:tcW w:w="840" w:type="dxa"/>
            <w:vAlign w:val="bottom"/>
          </w:tcPr>
          <w:p>
            <w:pPr>
              <w:jc w:val="right"/>
              <w:spacing w:after="0"/>
              <w:rPr>
                <w:sz w:val="20"/>
                <w:szCs w:val="20"/>
                <w:color w:val="auto"/>
              </w:rPr>
            </w:pPr>
            <w:r>
              <w:rPr>
                <w:rFonts w:ascii="Arial" w:cs="Arial" w:eastAsia="Arial" w:hAnsi="Arial"/>
                <w:sz w:val="16"/>
                <w:szCs w:val="16"/>
                <w:color w:val="auto"/>
              </w:rPr>
              <w:t>(225)</w:t>
            </w:r>
          </w:p>
        </w:tc>
        <w:tc>
          <w:tcPr>
            <w:tcW w:w="100" w:type="dxa"/>
            <w:vAlign w:val="bottom"/>
          </w:tcPr>
          <w:p>
            <w:pPr>
              <w:spacing w:after="0"/>
              <w:rPr>
                <w:sz w:val="18"/>
                <w:szCs w:val="18"/>
                <w:color w:val="auto"/>
              </w:rPr>
            </w:pPr>
          </w:p>
        </w:tc>
        <w:tc>
          <w:tcPr>
            <w:tcW w:w="920" w:type="dxa"/>
            <w:vAlign w:val="bottom"/>
          </w:tcPr>
          <w:p>
            <w:pPr>
              <w:jc w:val="right"/>
              <w:ind w:right="100"/>
              <w:spacing w:after="0"/>
              <w:rPr>
                <w:sz w:val="20"/>
                <w:szCs w:val="20"/>
                <w:color w:val="auto"/>
              </w:rPr>
            </w:pPr>
            <w:r>
              <w:rPr>
                <w:rFonts w:ascii="Arial" w:cs="Arial" w:eastAsia="Arial" w:hAnsi="Arial"/>
                <w:sz w:val="16"/>
                <w:szCs w:val="16"/>
                <w:color w:val="auto"/>
              </w:rPr>
              <w:t>1,277</w:t>
            </w:r>
          </w:p>
        </w:tc>
        <w:tc>
          <w:tcPr>
            <w:tcW w:w="820" w:type="dxa"/>
            <w:vAlign w:val="bottom"/>
          </w:tcPr>
          <w:p>
            <w:pPr>
              <w:jc w:val="right"/>
              <w:spacing w:after="0"/>
              <w:rPr>
                <w:sz w:val="20"/>
                <w:szCs w:val="20"/>
                <w:color w:val="auto"/>
              </w:rPr>
            </w:pPr>
            <w:r>
              <w:rPr>
                <w:rFonts w:ascii="Arial" w:cs="Arial" w:eastAsia="Arial" w:hAnsi="Arial"/>
                <w:sz w:val="16"/>
                <w:szCs w:val="16"/>
                <w:color w:val="auto"/>
              </w:rPr>
              <w:t>686</w:t>
            </w: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(3,296)</w:t>
            </w:r>
          </w:p>
        </w:tc>
        <w:tc>
          <w:tcPr>
            <w:tcW w:w="900" w:type="dxa"/>
            <w:vAlign w:val="bottom"/>
          </w:tcPr>
          <w:p>
            <w:pPr>
              <w:jc w:val="right"/>
              <w:spacing w:after="0"/>
              <w:rPr>
                <w:sz w:val="20"/>
                <w:szCs w:val="20"/>
                <w:color w:val="auto"/>
              </w:rPr>
            </w:pPr>
            <w:r>
              <w:rPr>
                <w:rFonts w:ascii="Arial" w:cs="Arial" w:eastAsia="Arial" w:hAnsi="Arial"/>
                <w:sz w:val="16"/>
                <w:szCs w:val="16"/>
                <w:color w:val="auto"/>
              </w:rPr>
              <w:t>(22,440)</w:t>
            </w:r>
          </w:p>
        </w:tc>
        <w:tc>
          <w:tcPr>
            <w:tcW w:w="0" w:type="dxa"/>
            <w:vAlign w:val="bottom"/>
          </w:tcPr>
          <w:p>
            <w:pPr>
              <w:spacing w:after="0"/>
              <w:rPr>
                <w:sz w:val="1"/>
                <w:szCs w:val="1"/>
                <w:color w:val="auto"/>
              </w:rPr>
            </w:pPr>
          </w:p>
        </w:tc>
      </w:tr>
      <w:tr>
        <w:trPr>
          <w:trHeight w:val="216"/>
        </w:trPr>
        <w:tc>
          <w:tcPr>
            <w:tcW w:w="3740" w:type="dxa"/>
            <w:vAlign w:val="bottom"/>
          </w:tcPr>
          <w:p>
            <w:pPr>
              <w:ind w:left="140"/>
              <w:spacing w:after="0"/>
              <w:rPr>
                <w:sz w:val="20"/>
                <w:szCs w:val="20"/>
                <w:color w:val="auto"/>
              </w:rPr>
            </w:pPr>
            <w:r>
              <w:rPr>
                <w:rFonts w:ascii="Arial" w:cs="Arial" w:eastAsia="Arial" w:hAnsi="Arial"/>
                <w:sz w:val="16"/>
                <w:szCs w:val="16"/>
                <w:i w:val="1"/>
                <w:iCs w:val="1"/>
                <w:color w:val="auto"/>
              </w:rPr>
              <w:t>Effect of asset impairments - noncash</w:t>
            </w:r>
          </w:p>
        </w:tc>
        <w:tc>
          <w:tcPr>
            <w:tcW w:w="960" w:type="dxa"/>
            <w:vAlign w:val="bottom"/>
          </w:tcPr>
          <w:p>
            <w:pPr>
              <w:jc w:val="right"/>
              <w:ind w:right="40"/>
              <w:spacing w:after="0"/>
              <w:rPr>
                <w:sz w:val="20"/>
                <w:szCs w:val="20"/>
                <w:color w:val="auto"/>
              </w:rPr>
            </w:pPr>
            <w:r>
              <w:rPr>
                <w:rFonts w:ascii="Arial" w:cs="Arial" w:eastAsia="Arial" w:hAnsi="Arial"/>
                <w:sz w:val="16"/>
                <w:szCs w:val="16"/>
                <w:i w:val="1"/>
                <w:iCs w:val="1"/>
                <w:color w:val="auto"/>
              </w:rPr>
              <w:t>(17,138)</w:t>
            </w:r>
          </w:p>
        </w:tc>
        <w:tc>
          <w:tcPr>
            <w:tcW w:w="840" w:type="dxa"/>
            <w:vAlign w:val="bottom"/>
          </w:tcPr>
          <w:p>
            <w:pPr>
              <w:jc w:val="right"/>
              <w:spacing w:after="0"/>
              <w:rPr>
                <w:sz w:val="20"/>
                <w:szCs w:val="20"/>
                <w:color w:val="auto"/>
              </w:rPr>
            </w:pPr>
            <w:r>
              <w:rPr>
                <w:rFonts w:ascii="Arial" w:cs="Arial" w:eastAsia="Arial" w:hAnsi="Arial"/>
                <w:sz w:val="16"/>
                <w:szCs w:val="16"/>
                <w:i w:val="1"/>
                <w:iCs w:val="1"/>
                <w:color w:val="auto"/>
              </w:rPr>
              <w:t>(2,287)</w:t>
            </w:r>
          </w:p>
        </w:tc>
        <w:tc>
          <w:tcPr>
            <w:tcW w:w="120" w:type="dxa"/>
            <w:vAlign w:val="bottom"/>
          </w:tcPr>
          <w:p>
            <w:pPr>
              <w:spacing w:after="0"/>
              <w:rPr>
                <w:sz w:val="18"/>
                <w:szCs w:val="18"/>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i w:val="1"/>
                <w:iCs w:val="1"/>
                <w:color w:val="auto"/>
              </w:rPr>
              <w:t>(15)</w:t>
            </w:r>
          </w:p>
        </w:tc>
        <w:tc>
          <w:tcPr>
            <w:tcW w:w="840" w:type="dxa"/>
            <w:vAlign w:val="bottom"/>
          </w:tcPr>
          <w:p>
            <w:pPr>
              <w:jc w:val="right"/>
              <w:spacing w:after="0"/>
              <w:rPr>
                <w:sz w:val="20"/>
                <w:szCs w:val="20"/>
                <w:color w:val="auto"/>
              </w:rPr>
            </w:pPr>
            <w:r>
              <w:rPr>
                <w:rFonts w:ascii="Arial" w:cs="Arial" w:eastAsia="Arial" w:hAnsi="Arial"/>
                <w:sz w:val="16"/>
                <w:szCs w:val="16"/>
                <w:i w:val="1"/>
                <w:iCs w:val="1"/>
                <w:color w:val="auto"/>
              </w:rPr>
              <w:t>(609)</w:t>
            </w:r>
          </w:p>
        </w:tc>
        <w:tc>
          <w:tcPr>
            <w:tcW w:w="100" w:type="dxa"/>
            <w:vAlign w:val="bottom"/>
          </w:tcPr>
          <w:p>
            <w:pPr>
              <w:spacing w:after="0"/>
              <w:rPr>
                <w:sz w:val="18"/>
                <w:szCs w:val="18"/>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i w:val="1"/>
                <w:iCs w:val="1"/>
                <w:color w:val="auto"/>
              </w:rPr>
              <w:t>(100)</w:t>
            </w:r>
          </w:p>
        </w:tc>
        <w:tc>
          <w:tcPr>
            <w:tcW w:w="820" w:type="dxa"/>
            <w:vAlign w:val="bottom"/>
          </w:tcPr>
          <w:p>
            <w:pPr>
              <w:jc w:val="right"/>
              <w:spacing w:after="0"/>
              <w:rPr>
                <w:sz w:val="20"/>
                <w:szCs w:val="20"/>
                <w:color w:val="auto"/>
              </w:rPr>
            </w:pPr>
            <w:r>
              <w:rPr>
                <w:rFonts w:ascii="Arial" w:cs="Arial" w:eastAsia="Arial" w:hAnsi="Arial"/>
                <w:sz w:val="16"/>
                <w:szCs w:val="16"/>
                <w:i w:val="1"/>
                <w:iCs w:val="1"/>
                <w:color w:val="auto"/>
              </w:rPr>
              <w:t>(69)</w:t>
            </w:r>
          </w:p>
        </w:tc>
        <w:tc>
          <w:tcPr>
            <w:tcW w:w="1080" w:type="dxa"/>
            <w:vAlign w:val="bottom"/>
          </w:tcPr>
          <w:p>
            <w:pPr>
              <w:jc w:val="right"/>
              <w:ind w:right="40"/>
              <w:spacing w:after="0"/>
              <w:rPr>
                <w:sz w:val="20"/>
                <w:szCs w:val="20"/>
                <w:color w:val="auto"/>
              </w:rPr>
            </w:pPr>
            <w:r>
              <w:rPr>
                <w:rFonts w:ascii="Arial" w:cs="Arial" w:eastAsia="Arial" w:hAnsi="Arial"/>
                <w:sz w:val="16"/>
                <w:szCs w:val="16"/>
                <w:i w:val="1"/>
                <w:iCs w:val="1"/>
                <w:color w:val="auto"/>
              </w:rPr>
              <w:t>(35)</w:t>
            </w:r>
          </w:p>
        </w:tc>
        <w:tc>
          <w:tcPr>
            <w:tcW w:w="900" w:type="dxa"/>
            <w:vAlign w:val="bottom"/>
          </w:tcPr>
          <w:p>
            <w:pPr>
              <w:jc w:val="right"/>
              <w:spacing w:after="0"/>
              <w:rPr>
                <w:sz w:val="20"/>
                <w:szCs w:val="20"/>
                <w:color w:val="auto"/>
              </w:rPr>
            </w:pPr>
            <w:r>
              <w:rPr>
                <w:rFonts w:ascii="Arial" w:cs="Arial" w:eastAsia="Arial" w:hAnsi="Arial"/>
                <w:sz w:val="16"/>
                <w:szCs w:val="16"/>
                <w:i w:val="1"/>
                <w:iCs w:val="1"/>
                <w:color w:val="auto"/>
              </w:rPr>
              <w:t>(20,253)</w:t>
            </w:r>
          </w:p>
        </w:tc>
        <w:tc>
          <w:tcPr>
            <w:tcW w:w="0" w:type="dxa"/>
            <w:vAlign w:val="bottom"/>
          </w:tcPr>
          <w:p>
            <w:pPr>
              <w:spacing w:after="0"/>
              <w:rPr>
                <w:sz w:val="1"/>
                <w:szCs w:val="1"/>
                <w:color w:val="auto"/>
              </w:rPr>
            </w:pPr>
          </w:p>
        </w:tc>
      </w:tr>
      <w:tr>
        <w:trPr>
          <w:trHeight w:val="216"/>
        </w:trPr>
        <w:tc>
          <w:tcPr>
            <w:tcW w:w="3740" w:type="dxa"/>
            <w:vAlign w:val="bottom"/>
          </w:tcPr>
          <w:p>
            <w:pPr>
              <w:ind w:left="20"/>
              <w:spacing w:after="0"/>
              <w:rPr>
                <w:sz w:val="20"/>
                <w:szCs w:val="20"/>
                <w:color w:val="auto"/>
              </w:rPr>
            </w:pPr>
            <w:r>
              <w:rPr>
                <w:rFonts w:ascii="Arial" w:cs="Arial" w:eastAsia="Arial" w:hAnsi="Arial"/>
                <w:sz w:val="16"/>
                <w:szCs w:val="16"/>
                <w:color w:val="auto"/>
              </w:rPr>
              <w:t>Earnings of equity companies included above</w:t>
            </w: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(559)</w:t>
            </w:r>
          </w:p>
        </w:tc>
        <w:tc>
          <w:tcPr>
            <w:tcW w:w="840" w:type="dxa"/>
            <w:vAlign w:val="bottom"/>
          </w:tcPr>
          <w:p>
            <w:pPr>
              <w:jc w:val="right"/>
              <w:spacing w:after="0"/>
              <w:rPr>
                <w:sz w:val="20"/>
                <w:szCs w:val="20"/>
                <w:color w:val="auto"/>
              </w:rPr>
            </w:pPr>
            <w:r>
              <w:rPr>
                <w:rFonts w:ascii="Arial" w:cs="Arial" w:eastAsia="Arial" w:hAnsi="Arial"/>
                <w:sz w:val="16"/>
                <w:szCs w:val="16"/>
                <w:color w:val="auto"/>
              </w:rPr>
              <w:t>2,101</w:t>
            </w:r>
          </w:p>
        </w:tc>
        <w:tc>
          <w:tcPr>
            <w:tcW w:w="120" w:type="dxa"/>
            <w:vAlign w:val="bottom"/>
          </w:tcPr>
          <w:p>
            <w:pPr>
              <w:spacing w:after="0"/>
              <w:rPr>
                <w:sz w:val="18"/>
                <w:szCs w:val="18"/>
                <w:color w:val="auto"/>
              </w:rPr>
            </w:pPr>
          </w:p>
        </w:tc>
        <w:tc>
          <w:tcPr>
            <w:tcW w:w="920" w:type="dxa"/>
            <w:vAlign w:val="bottom"/>
          </w:tcPr>
          <w:p>
            <w:pPr>
              <w:jc w:val="right"/>
              <w:ind w:right="100"/>
              <w:spacing w:after="0"/>
              <w:rPr>
                <w:sz w:val="20"/>
                <w:szCs w:val="20"/>
                <w:color w:val="auto"/>
              </w:rPr>
            </w:pPr>
            <w:r>
              <w:rPr>
                <w:rFonts w:ascii="Arial" w:cs="Arial" w:eastAsia="Arial" w:hAnsi="Arial"/>
                <w:sz w:val="16"/>
                <w:szCs w:val="16"/>
                <w:color w:val="auto"/>
              </w:rPr>
              <w:t>134</w:t>
            </w:r>
          </w:p>
        </w:tc>
        <w:tc>
          <w:tcPr>
            <w:tcW w:w="840" w:type="dxa"/>
            <w:vAlign w:val="bottom"/>
          </w:tcPr>
          <w:p>
            <w:pPr>
              <w:jc w:val="right"/>
              <w:spacing w:after="0"/>
              <w:rPr>
                <w:sz w:val="20"/>
                <w:szCs w:val="20"/>
                <w:color w:val="auto"/>
              </w:rPr>
            </w:pPr>
            <w:r>
              <w:rPr>
                <w:rFonts w:ascii="Arial" w:cs="Arial" w:eastAsia="Arial" w:hAnsi="Arial"/>
                <w:sz w:val="16"/>
                <w:szCs w:val="16"/>
                <w:color w:val="auto"/>
              </w:rPr>
              <w:t>(190)</w:t>
            </w:r>
          </w:p>
        </w:tc>
        <w:tc>
          <w:tcPr>
            <w:tcW w:w="100" w:type="dxa"/>
            <w:vAlign w:val="bottom"/>
          </w:tcPr>
          <w:p>
            <w:pPr>
              <w:spacing w:after="0"/>
              <w:rPr>
                <w:sz w:val="18"/>
                <w:szCs w:val="18"/>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(21)</w:t>
            </w:r>
          </w:p>
        </w:tc>
        <w:tc>
          <w:tcPr>
            <w:tcW w:w="820" w:type="dxa"/>
            <w:vAlign w:val="bottom"/>
          </w:tcPr>
          <w:p>
            <w:pPr>
              <w:jc w:val="right"/>
              <w:spacing w:after="0"/>
              <w:rPr>
                <w:sz w:val="20"/>
                <w:szCs w:val="20"/>
                <w:color w:val="auto"/>
              </w:rPr>
            </w:pPr>
            <w:r>
              <w:rPr>
                <w:rFonts w:ascii="Arial" w:cs="Arial" w:eastAsia="Arial" w:hAnsi="Arial"/>
                <w:sz w:val="16"/>
                <w:szCs w:val="16"/>
                <w:color w:val="auto"/>
              </w:rPr>
              <w:t>651</w:t>
            </w: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(384)</w:t>
            </w:r>
          </w:p>
        </w:tc>
        <w:tc>
          <w:tcPr>
            <w:tcW w:w="900" w:type="dxa"/>
            <w:vAlign w:val="bottom"/>
          </w:tcPr>
          <w:p>
            <w:pPr>
              <w:jc w:val="right"/>
              <w:spacing w:after="0"/>
              <w:rPr>
                <w:sz w:val="20"/>
                <w:szCs w:val="20"/>
                <w:color w:val="auto"/>
              </w:rPr>
            </w:pPr>
            <w:r>
              <w:rPr>
                <w:rFonts w:ascii="Arial" w:cs="Arial" w:eastAsia="Arial" w:hAnsi="Arial"/>
                <w:sz w:val="16"/>
                <w:szCs w:val="16"/>
                <w:color w:val="auto"/>
              </w:rPr>
              <w:t>1,732</w:t>
            </w:r>
          </w:p>
        </w:tc>
        <w:tc>
          <w:tcPr>
            <w:tcW w:w="0" w:type="dxa"/>
            <w:vAlign w:val="bottom"/>
          </w:tcPr>
          <w:p>
            <w:pPr>
              <w:spacing w:after="0"/>
              <w:rPr>
                <w:sz w:val="1"/>
                <w:szCs w:val="1"/>
                <w:color w:val="auto"/>
              </w:rPr>
            </w:pPr>
          </w:p>
        </w:tc>
      </w:tr>
      <w:tr>
        <w:trPr>
          <w:trHeight w:val="216"/>
        </w:trPr>
        <w:tc>
          <w:tcPr>
            <w:tcW w:w="3740" w:type="dxa"/>
            <w:vAlign w:val="bottom"/>
          </w:tcPr>
          <w:p>
            <w:pPr>
              <w:ind w:left="20"/>
              <w:spacing w:after="0"/>
              <w:rPr>
                <w:sz w:val="20"/>
                <w:szCs w:val="20"/>
                <w:color w:val="auto"/>
              </w:rPr>
            </w:pPr>
            <w:r>
              <w:rPr>
                <w:rFonts w:ascii="Arial" w:cs="Arial" w:eastAsia="Arial" w:hAnsi="Arial"/>
                <w:sz w:val="16"/>
                <w:szCs w:val="16"/>
                <w:color w:val="auto"/>
              </w:rPr>
              <w:t>Sales and other operating revenue</w:t>
            </w: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5,876</w:t>
            </w:r>
          </w:p>
        </w:tc>
        <w:tc>
          <w:tcPr>
            <w:tcW w:w="840" w:type="dxa"/>
            <w:vAlign w:val="bottom"/>
          </w:tcPr>
          <w:p>
            <w:pPr>
              <w:jc w:val="right"/>
              <w:spacing w:after="0"/>
              <w:rPr>
                <w:sz w:val="20"/>
                <w:szCs w:val="20"/>
                <w:color w:val="auto"/>
              </w:rPr>
            </w:pPr>
            <w:r>
              <w:rPr>
                <w:rFonts w:ascii="Arial" w:cs="Arial" w:eastAsia="Arial" w:hAnsi="Arial"/>
                <w:sz w:val="16"/>
                <w:szCs w:val="16"/>
                <w:color w:val="auto"/>
              </w:rPr>
              <w:t>8,673</w:t>
            </w:r>
          </w:p>
        </w:tc>
        <w:tc>
          <w:tcPr>
            <w:tcW w:w="120" w:type="dxa"/>
            <w:vAlign w:val="bottom"/>
          </w:tcPr>
          <w:p>
            <w:pPr>
              <w:spacing w:after="0"/>
              <w:rPr>
                <w:sz w:val="18"/>
                <w:szCs w:val="18"/>
                <w:color w:val="auto"/>
              </w:rPr>
            </w:pPr>
          </w:p>
        </w:tc>
        <w:tc>
          <w:tcPr>
            <w:tcW w:w="920" w:type="dxa"/>
            <w:vAlign w:val="bottom"/>
          </w:tcPr>
          <w:p>
            <w:pPr>
              <w:jc w:val="right"/>
              <w:ind w:right="100"/>
              <w:spacing w:after="0"/>
              <w:rPr>
                <w:sz w:val="20"/>
                <w:szCs w:val="20"/>
                <w:color w:val="auto"/>
              </w:rPr>
            </w:pPr>
            <w:r>
              <w:rPr>
                <w:rFonts w:ascii="Arial" w:cs="Arial" w:eastAsia="Arial" w:hAnsi="Arial"/>
                <w:sz w:val="16"/>
                <w:szCs w:val="16"/>
                <w:color w:val="auto"/>
              </w:rPr>
              <w:t>48,256</w:t>
            </w:r>
          </w:p>
        </w:tc>
        <w:tc>
          <w:tcPr>
            <w:tcW w:w="840" w:type="dxa"/>
            <w:vAlign w:val="bottom"/>
          </w:tcPr>
          <w:p>
            <w:pPr>
              <w:jc w:val="right"/>
              <w:spacing w:after="0"/>
              <w:rPr>
                <w:sz w:val="20"/>
                <w:szCs w:val="20"/>
                <w:color w:val="auto"/>
              </w:rPr>
            </w:pPr>
            <w:r>
              <w:rPr>
                <w:rFonts w:ascii="Arial" w:cs="Arial" w:eastAsia="Arial" w:hAnsi="Arial"/>
                <w:sz w:val="16"/>
                <w:szCs w:val="16"/>
                <w:color w:val="auto"/>
              </w:rPr>
              <w:t>92,640</w:t>
            </w:r>
          </w:p>
        </w:tc>
        <w:tc>
          <w:tcPr>
            <w:tcW w:w="100" w:type="dxa"/>
            <w:vAlign w:val="bottom"/>
          </w:tcPr>
          <w:p>
            <w:pPr>
              <w:spacing w:after="0"/>
              <w:rPr>
                <w:sz w:val="18"/>
                <w:szCs w:val="18"/>
                <w:color w:val="auto"/>
              </w:rPr>
            </w:pPr>
          </w:p>
        </w:tc>
        <w:tc>
          <w:tcPr>
            <w:tcW w:w="920" w:type="dxa"/>
            <w:vAlign w:val="bottom"/>
          </w:tcPr>
          <w:p>
            <w:pPr>
              <w:jc w:val="right"/>
              <w:ind w:right="100"/>
              <w:spacing w:after="0"/>
              <w:rPr>
                <w:sz w:val="20"/>
                <w:szCs w:val="20"/>
                <w:color w:val="auto"/>
              </w:rPr>
            </w:pPr>
            <w:r>
              <w:rPr>
                <w:rFonts w:ascii="Arial" w:cs="Arial" w:eastAsia="Arial" w:hAnsi="Arial"/>
                <w:sz w:val="16"/>
                <w:szCs w:val="16"/>
                <w:color w:val="auto"/>
              </w:rPr>
              <w:t>8,529</w:t>
            </w:r>
          </w:p>
        </w:tc>
        <w:tc>
          <w:tcPr>
            <w:tcW w:w="820" w:type="dxa"/>
            <w:vAlign w:val="bottom"/>
          </w:tcPr>
          <w:p>
            <w:pPr>
              <w:jc w:val="right"/>
              <w:spacing w:after="0"/>
              <w:rPr>
                <w:sz w:val="20"/>
                <w:szCs w:val="20"/>
                <w:color w:val="auto"/>
              </w:rPr>
            </w:pPr>
            <w:r>
              <w:rPr>
                <w:rFonts w:ascii="Arial" w:cs="Arial" w:eastAsia="Arial" w:hAnsi="Arial"/>
                <w:sz w:val="16"/>
                <w:szCs w:val="16"/>
                <w:color w:val="auto"/>
              </w:rPr>
              <w:t>14,562</w:t>
            </w: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38</w:t>
            </w:r>
          </w:p>
        </w:tc>
        <w:tc>
          <w:tcPr>
            <w:tcW w:w="900" w:type="dxa"/>
            <w:vAlign w:val="bottom"/>
          </w:tcPr>
          <w:p>
            <w:pPr>
              <w:jc w:val="right"/>
              <w:spacing w:after="0"/>
              <w:rPr>
                <w:sz w:val="20"/>
                <w:szCs w:val="20"/>
                <w:color w:val="auto"/>
              </w:rPr>
            </w:pPr>
            <w:r>
              <w:rPr>
                <w:rFonts w:ascii="Arial" w:cs="Arial" w:eastAsia="Arial" w:hAnsi="Arial"/>
                <w:sz w:val="16"/>
                <w:szCs w:val="16"/>
                <w:color w:val="auto"/>
              </w:rPr>
              <w:t>178,574</w:t>
            </w:r>
          </w:p>
        </w:tc>
        <w:tc>
          <w:tcPr>
            <w:tcW w:w="0" w:type="dxa"/>
            <w:vAlign w:val="bottom"/>
          </w:tcPr>
          <w:p>
            <w:pPr>
              <w:spacing w:after="0"/>
              <w:rPr>
                <w:sz w:val="1"/>
                <w:szCs w:val="1"/>
                <w:color w:val="auto"/>
              </w:rPr>
            </w:pPr>
          </w:p>
        </w:tc>
      </w:tr>
      <w:tr>
        <w:trPr>
          <w:trHeight w:val="216"/>
        </w:trPr>
        <w:tc>
          <w:tcPr>
            <w:tcW w:w="3740" w:type="dxa"/>
            <w:vAlign w:val="bottom"/>
          </w:tcPr>
          <w:p>
            <w:pPr>
              <w:ind w:left="20"/>
              <w:spacing w:after="0"/>
              <w:rPr>
                <w:sz w:val="20"/>
                <w:szCs w:val="20"/>
                <w:color w:val="auto"/>
              </w:rPr>
            </w:pPr>
            <w:r>
              <w:rPr>
                <w:rFonts w:ascii="Arial" w:cs="Arial" w:eastAsia="Arial" w:hAnsi="Arial"/>
                <w:sz w:val="16"/>
                <w:szCs w:val="16"/>
                <w:color w:val="auto"/>
              </w:rPr>
              <w:t>Intersegment revenue</w:t>
            </w: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8,508</w:t>
            </w:r>
          </w:p>
        </w:tc>
        <w:tc>
          <w:tcPr>
            <w:tcW w:w="840" w:type="dxa"/>
            <w:vAlign w:val="bottom"/>
          </w:tcPr>
          <w:p>
            <w:pPr>
              <w:jc w:val="right"/>
              <w:spacing w:after="0"/>
              <w:rPr>
                <w:sz w:val="20"/>
                <w:szCs w:val="20"/>
                <w:color w:val="auto"/>
              </w:rPr>
            </w:pPr>
            <w:r>
              <w:rPr>
                <w:rFonts w:ascii="Arial" w:cs="Arial" w:eastAsia="Arial" w:hAnsi="Arial"/>
                <w:sz w:val="16"/>
                <w:szCs w:val="16"/>
                <w:color w:val="auto"/>
              </w:rPr>
              <w:t>19,642</w:t>
            </w:r>
          </w:p>
        </w:tc>
        <w:tc>
          <w:tcPr>
            <w:tcW w:w="120" w:type="dxa"/>
            <w:vAlign w:val="bottom"/>
          </w:tcPr>
          <w:p>
            <w:pPr>
              <w:spacing w:after="0"/>
              <w:rPr>
                <w:sz w:val="18"/>
                <w:szCs w:val="18"/>
                <w:color w:val="auto"/>
              </w:rPr>
            </w:pPr>
          </w:p>
        </w:tc>
        <w:tc>
          <w:tcPr>
            <w:tcW w:w="920" w:type="dxa"/>
            <w:vAlign w:val="bottom"/>
          </w:tcPr>
          <w:p>
            <w:pPr>
              <w:jc w:val="right"/>
              <w:ind w:right="100"/>
              <w:spacing w:after="0"/>
              <w:rPr>
                <w:sz w:val="20"/>
                <w:szCs w:val="20"/>
                <w:color w:val="auto"/>
              </w:rPr>
            </w:pPr>
            <w:r>
              <w:rPr>
                <w:rFonts w:ascii="Arial" w:cs="Arial" w:eastAsia="Arial" w:hAnsi="Arial"/>
                <w:sz w:val="16"/>
                <w:szCs w:val="16"/>
                <w:color w:val="auto"/>
              </w:rPr>
              <w:t>12,258</w:t>
            </w:r>
          </w:p>
        </w:tc>
        <w:tc>
          <w:tcPr>
            <w:tcW w:w="840" w:type="dxa"/>
            <w:vAlign w:val="bottom"/>
          </w:tcPr>
          <w:p>
            <w:pPr>
              <w:jc w:val="right"/>
              <w:spacing w:after="0"/>
              <w:rPr>
                <w:sz w:val="20"/>
                <w:szCs w:val="20"/>
                <w:color w:val="auto"/>
              </w:rPr>
            </w:pPr>
            <w:r>
              <w:rPr>
                <w:rFonts w:ascii="Arial" w:cs="Arial" w:eastAsia="Arial" w:hAnsi="Arial"/>
                <w:sz w:val="16"/>
                <w:szCs w:val="16"/>
                <w:color w:val="auto"/>
              </w:rPr>
              <w:t>15,162</w:t>
            </w:r>
          </w:p>
        </w:tc>
        <w:tc>
          <w:tcPr>
            <w:tcW w:w="100" w:type="dxa"/>
            <w:vAlign w:val="bottom"/>
          </w:tcPr>
          <w:p>
            <w:pPr>
              <w:spacing w:after="0"/>
              <w:rPr>
                <w:sz w:val="18"/>
                <w:szCs w:val="18"/>
                <w:color w:val="auto"/>
              </w:rPr>
            </w:pPr>
          </w:p>
        </w:tc>
        <w:tc>
          <w:tcPr>
            <w:tcW w:w="920" w:type="dxa"/>
            <w:vAlign w:val="bottom"/>
          </w:tcPr>
          <w:p>
            <w:pPr>
              <w:jc w:val="right"/>
              <w:ind w:right="100"/>
              <w:spacing w:after="0"/>
              <w:rPr>
                <w:sz w:val="20"/>
                <w:szCs w:val="20"/>
                <w:color w:val="auto"/>
              </w:rPr>
            </w:pPr>
            <w:r>
              <w:rPr>
                <w:rFonts w:ascii="Arial" w:cs="Arial" w:eastAsia="Arial" w:hAnsi="Arial"/>
                <w:sz w:val="16"/>
                <w:szCs w:val="16"/>
                <w:color w:val="auto"/>
              </w:rPr>
              <w:t>6,099</w:t>
            </w:r>
          </w:p>
        </w:tc>
        <w:tc>
          <w:tcPr>
            <w:tcW w:w="820" w:type="dxa"/>
            <w:vAlign w:val="bottom"/>
          </w:tcPr>
          <w:p>
            <w:pPr>
              <w:jc w:val="right"/>
              <w:spacing w:after="0"/>
              <w:rPr>
                <w:sz w:val="20"/>
                <w:szCs w:val="20"/>
                <w:color w:val="auto"/>
              </w:rPr>
            </w:pPr>
            <w:r>
              <w:rPr>
                <w:rFonts w:ascii="Arial" w:cs="Arial" w:eastAsia="Arial" w:hAnsi="Arial"/>
                <w:sz w:val="16"/>
                <w:szCs w:val="16"/>
                <w:color w:val="auto"/>
              </w:rPr>
              <w:t>3,881</w:t>
            </w: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221</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740" w:type="dxa"/>
            <w:vAlign w:val="bottom"/>
          </w:tcPr>
          <w:p>
            <w:pPr>
              <w:ind w:left="20"/>
              <w:spacing w:after="0"/>
              <w:rPr>
                <w:sz w:val="20"/>
                <w:szCs w:val="20"/>
                <w:color w:val="auto"/>
              </w:rPr>
            </w:pPr>
            <w:r>
              <w:rPr>
                <w:rFonts w:ascii="Arial" w:cs="Arial" w:eastAsia="Arial" w:hAnsi="Arial"/>
                <w:sz w:val="16"/>
                <w:szCs w:val="16"/>
                <w:color w:val="auto"/>
              </w:rPr>
              <w:t>Depreciation and depletion expense</w:t>
            </w: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28,627</w:t>
            </w:r>
          </w:p>
        </w:tc>
        <w:tc>
          <w:tcPr>
            <w:tcW w:w="840" w:type="dxa"/>
            <w:vAlign w:val="bottom"/>
          </w:tcPr>
          <w:p>
            <w:pPr>
              <w:jc w:val="right"/>
              <w:spacing w:after="0"/>
              <w:rPr>
                <w:sz w:val="20"/>
                <w:szCs w:val="20"/>
                <w:color w:val="auto"/>
              </w:rPr>
            </w:pPr>
            <w:r>
              <w:rPr>
                <w:rFonts w:ascii="Arial" w:cs="Arial" w:eastAsia="Arial" w:hAnsi="Arial"/>
                <w:sz w:val="16"/>
                <w:szCs w:val="16"/>
                <w:color w:val="auto"/>
              </w:rPr>
              <w:t>12,723</w:t>
            </w:r>
          </w:p>
        </w:tc>
        <w:tc>
          <w:tcPr>
            <w:tcW w:w="120" w:type="dxa"/>
            <w:vAlign w:val="bottom"/>
          </w:tcPr>
          <w:p>
            <w:pPr>
              <w:spacing w:after="0"/>
              <w:rPr>
                <w:sz w:val="18"/>
                <w:szCs w:val="18"/>
                <w:color w:val="auto"/>
              </w:rPr>
            </w:pPr>
          </w:p>
        </w:tc>
        <w:tc>
          <w:tcPr>
            <w:tcW w:w="920" w:type="dxa"/>
            <w:vAlign w:val="bottom"/>
          </w:tcPr>
          <w:p>
            <w:pPr>
              <w:jc w:val="right"/>
              <w:ind w:right="100"/>
              <w:spacing w:after="0"/>
              <w:rPr>
                <w:sz w:val="20"/>
                <w:szCs w:val="20"/>
                <w:color w:val="auto"/>
              </w:rPr>
            </w:pPr>
            <w:r>
              <w:rPr>
                <w:rFonts w:ascii="Arial" w:cs="Arial" w:eastAsia="Arial" w:hAnsi="Arial"/>
                <w:sz w:val="16"/>
                <w:szCs w:val="16"/>
                <w:color w:val="auto"/>
              </w:rPr>
              <w:t>716</w:t>
            </w:r>
          </w:p>
        </w:tc>
        <w:tc>
          <w:tcPr>
            <w:tcW w:w="840" w:type="dxa"/>
            <w:vAlign w:val="bottom"/>
          </w:tcPr>
          <w:p>
            <w:pPr>
              <w:jc w:val="right"/>
              <w:spacing w:after="0"/>
              <w:rPr>
                <w:sz w:val="20"/>
                <w:szCs w:val="20"/>
                <w:color w:val="auto"/>
              </w:rPr>
            </w:pPr>
            <w:r>
              <w:rPr>
                <w:rFonts w:ascii="Arial" w:cs="Arial" w:eastAsia="Arial" w:hAnsi="Arial"/>
                <w:sz w:val="16"/>
                <w:szCs w:val="16"/>
                <w:color w:val="auto"/>
              </w:rPr>
              <w:t>1,672</w:t>
            </w:r>
          </w:p>
        </w:tc>
        <w:tc>
          <w:tcPr>
            <w:tcW w:w="100" w:type="dxa"/>
            <w:vAlign w:val="bottom"/>
          </w:tcPr>
          <w:p>
            <w:pPr>
              <w:spacing w:after="0"/>
              <w:rPr>
                <w:sz w:val="18"/>
                <w:szCs w:val="18"/>
                <w:color w:val="auto"/>
              </w:rPr>
            </w:pPr>
          </w:p>
        </w:tc>
        <w:tc>
          <w:tcPr>
            <w:tcW w:w="920" w:type="dxa"/>
            <w:vAlign w:val="bottom"/>
          </w:tcPr>
          <w:p>
            <w:pPr>
              <w:jc w:val="right"/>
              <w:ind w:right="100"/>
              <w:spacing w:after="0"/>
              <w:rPr>
                <w:sz w:val="20"/>
                <w:szCs w:val="20"/>
                <w:color w:val="auto"/>
              </w:rPr>
            </w:pPr>
            <w:r>
              <w:rPr>
                <w:rFonts w:ascii="Arial" w:cs="Arial" w:eastAsia="Arial" w:hAnsi="Arial"/>
                <w:sz w:val="16"/>
                <w:szCs w:val="16"/>
                <w:color w:val="auto"/>
              </w:rPr>
              <w:t>685</w:t>
            </w:r>
          </w:p>
        </w:tc>
        <w:tc>
          <w:tcPr>
            <w:tcW w:w="820" w:type="dxa"/>
            <w:vAlign w:val="bottom"/>
          </w:tcPr>
          <w:p>
            <w:pPr>
              <w:jc w:val="right"/>
              <w:spacing w:after="0"/>
              <w:rPr>
                <w:sz w:val="20"/>
                <w:szCs w:val="20"/>
                <w:color w:val="auto"/>
              </w:rPr>
            </w:pPr>
            <w:r>
              <w:rPr>
                <w:rFonts w:ascii="Arial" w:cs="Arial" w:eastAsia="Arial" w:hAnsi="Arial"/>
                <w:sz w:val="16"/>
                <w:szCs w:val="16"/>
                <w:color w:val="auto"/>
              </w:rPr>
              <w:t>694</w:t>
            </w: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892</w:t>
            </w:r>
          </w:p>
        </w:tc>
        <w:tc>
          <w:tcPr>
            <w:tcW w:w="900" w:type="dxa"/>
            <w:vAlign w:val="bottom"/>
          </w:tcPr>
          <w:p>
            <w:pPr>
              <w:jc w:val="right"/>
              <w:spacing w:after="0"/>
              <w:rPr>
                <w:sz w:val="20"/>
                <w:szCs w:val="20"/>
                <w:color w:val="auto"/>
              </w:rPr>
            </w:pPr>
            <w:r>
              <w:rPr>
                <w:rFonts w:ascii="Arial" w:cs="Arial" w:eastAsia="Arial" w:hAnsi="Arial"/>
                <w:sz w:val="16"/>
                <w:szCs w:val="16"/>
                <w:color w:val="auto"/>
              </w:rPr>
              <w:t>46,009</w:t>
            </w:r>
          </w:p>
        </w:tc>
        <w:tc>
          <w:tcPr>
            <w:tcW w:w="0" w:type="dxa"/>
            <w:vAlign w:val="bottom"/>
          </w:tcPr>
          <w:p>
            <w:pPr>
              <w:spacing w:after="0"/>
              <w:rPr>
                <w:sz w:val="1"/>
                <w:szCs w:val="1"/>
                <w:color w:val="auto"/>
              </w:rPr>
            </w:pPr>
          </w:p>
        </w:tc>
      </w:tr>
      <w:tr>
        <w:trPr>
          <w:trHeight w:val="216"/>
        </w:trPr>
        <w:tc>
          <w:tcPr>
            <w:tcW w:w="3740" w:type="dxa"/>
            <w:vAlign w:val="bottom"/>
          </w:tcPr>
          <w:p>
            <w:pPr>
              <w:ind w:left="20"/>
              <w:spacing w:after="0"/>
              <w:rPr>
                <w:sz w:val="20"/>
                <w:szCs w:val="20"/>
                <w:color w:val="auto"/>
              </w:rPr>
            </w:pPr>
            <w:r>
              <w:rPr>
                <w:rFonts w:ascii="Arial" w:cs="Arial" w:eastAsia="Arial" w:hAnsi="Arial"/>
                <w:sz w:val="16"/>
                <w:szCs w:val="16"/>
                <w:color w:val="auto"/>
              </w:rPr>
              <w:t>Interest revenue</w:t>
            </w: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49</w:t>
            </w:r>
          </w:p>
        </w:tc>
        <w:tc>
          <w:tcPr>
            <w:tcW w:w="900" w:type="dxa"/>
            <w:vAlign w:val="bottom"/>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16"/>
        </w:trPr>
        <w:tc>
          <w:tcPr>
            <w:tcW w:w="374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52</w:t>
            </w:r>
          </w:p>
        </w:tc>
        <w:tc>
          <w:tcPr>
            <w:tcW w:w="840" w:type="dxa"/>
            <w:vAlign w:val="bottom"/>
          </w:tcPr>
          <w:p>
            <w:pPr>
              <w:jc w:val="right"/>
              <w:spacing w:after="0"/>
              <w:rPr>
                <w:sz w:val="20"/>
                <w:szCs w:val="20"/>
                <w:color w:val="auto"/>
              </w:rPr>
            </w:pPr>
            <w:r>
              <w:rPr>
                <w:rFonts w:ascii="Arial" w:cs="Arial" w:eastAsia="Arial" w:hAnsi="Arial"/>
                <w:sz w:val="16"/>
                <w:szCs w:val="16"/>
                <w:color w:val="auto"/>
              </w:rPr>
              <w:t>93</w:t>
            </w:r>
          </w:p>
        </w:tc>
        <w:tc>
          <w:tcPr>
            <w:tcW w:w="120" w:type="dxa"/>
            <w:vAlign w:val="bottom"/>
          </w:tcPr>
          <w:p>
            <w:pPr>
              <w:spacing w:after="0"/>
              <w:rPr>
                <w:sz w:val="18"/>
                <w:szCs w:val="18"/>
                <w:color w:val="auto"/>
              </w:rPr>
            </w:pPr>
          </w:p>
        </w:tc>
        <w:tc>
          <w:tcPr>
            <w:tcW w:w="920" w:type="dxa"/>
            <w:vAlign w:val="bottom"/>
          </w:tcPr>
          <w:p>
            <w:pPr>
              <w:jc w:val="right"/>
              <w:ind w:right="100"/>
              <w:spacing w:after="0"/>
              <w:rPr>
                <w:sz w:val="20"/>
                <w:szCs w:val="20"/>
                <w:color w:val="auto"/>
              </w:rPr>
            </w:pPr>
            <w:r>
              <w:rPr>
                <w:rFonts w:ascii="Arial" w:cs="Arial" w:eastAsia="Arial" w:hAnsi="Arial"/>
                <w:sz w:val="16"/>
                <w:szCs w:val="16"/>
                <w:color w:val="auto"/>
              </w:rPr>
              <w:t>1</w:t>
            </w:r>
          </w:p>
        </w:tc>
        <w:tc>
          <w:tcPr>
            <w:tcW w:w="84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92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991</w:t>
            </w:r>
          </w:p>
        </w:tc>
        <w:tc>
          <w:tcPr>
            <w:tcW w:w="900" w:type="dxa"/>
            <w:vAlign w:val="bottom"/>
          </w:tcPr>
          <w:p>
            <w:pPr>
              <w:jc w:val="right"/>
              <w:spacing w:after="0"/>
              <w:rPr>
                <w:sz w:val="20"/>
                <w:szCs w:val="20"/>
                <w:color w:val="auto"/>
              </w:rPr>
            </w:pPr>
            <w:r>
              <w:rPr>
                <w:rFonts w:ascii="Arial" w:cs="Arial" w:eastAsia="Arial" w:hAnsi="Arial"/>
                <w:sz w:val="16"/>
                <w:szCs w:val="16"/>
                <w:color w:val="auto"/>
              </w:rPr>
              <w:t>1,158</w:t>
            </w:r>
          </w:p>
        </w:tc>
        <w:tc>
          <w:tcPr>
            <w:tcW w:w="0" w:type="dxa"/>
            <w:vAlign w:val="bottom"/>
          </w:tcPr>
          <w:p>
            <w:pPr>
              <w:spacing w:after="0"/>
              <w:rPr>
                <w:sz w:val="1"/>
                <w:szCs w:val="1"/>
                <w:color w:val="auto"/>
              </w:rPr>
            </w:pPr>
          </w:p>
        </w:tc>
      </w:tr>
      <w:tr>
        <w:trPr>
          <w:trHeight w:val="216"/>
        </w:trPr>
        <w:tc>
          <w:tcPr>
            <w:tcW w:w="3740" w:type="dxa"/>
            <w:vAlign w:val="bottom"/>
          </w:tcPr>
          <w:p>
            <w:pPr>
              <w:ind w:left="20"/>
              <w:spacing w:after="0"/>
              <w:rPr>
                <w:sz w:val="20"/>
                <w:szCs w:val="20"/>
                <w:color w:val="auto"/>
              </w:rPr>
            </w:pPr>
            <w:r>
              <w:rPr>
                <w:rFonts w:ascii="Arial" w:cs="Arial" w:eastAsia="Arial" w:hAnsi="Arial"/>
                <w:sz w:val="16"/>
                <w:szCs w:val="16"/>
                <w:color w:val="auto"/>
              </w:rPr>
              <w:t>Income tax expense (benefit)</w:t>
            </w: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(5,958)</w:t>
            </w:r>
          </w:p>
        </w:tc>
        <w:tc>
          <w:tcPr>
            <w:tcW w:w="840" w:type="dxa"/>
            <w:vAlign w:val="bottom"/>
          </w:tcPr>
          <w:p>
            <w:pPr>
              <w:jc w:val="right"/>
              <w:spacing w:after="0"/>
              <w:rPr>
                <w:sz w:val="20"/>
                <w:szCs w:val="20"/>
                <w:color w:val="auto"/>
              </w:rPr>
            </w:pPr>
            <w:r>
              <w:rPr>
                <w:rFonts w:ascii="Arial" w:cs="Arial" w:eastAsia="Arial" w:hAnsi="Arial"/>
                <w:sz w:val="16"/>
                <w:szCs w:val="16"/>
                <w:color w:val="auto"/>
              </w:rPr>
              <w:t>742</w:t>
            </w:r>
          </w:p>
        </w:tc>
        <w:tc>
          <w:tcPr>
            <w:tcW w:w="120" w:type="dxa"/>
            <w:vAlign w:val="bottom"/>
          </w:tcPr>
          <w:p>
            <w:pPr>
              <w:spacing w:after="0"/>
              <w:rPr>
                <w:sz w:val="18"/>
                <w:szCs w:val="18"/>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(324)</w:t>
            </w:r>
          </w:p>
        </w:tc>
        <w:tc>
          <w:tcPr>
            <w:tcW w:w="840" w:type="dxa"/>
            <w:vAlign w:val="bottom"/>
          </w:tcPr>
          <w:p>
            <w:pPr>
              <w:jc w:val="right"/>
              <w:spacing w:after="0"/>
              <w:rPr>
                <w:sz w:val="20"/>
                <w:szCs w:val="20"/>
                <w:color w:val="auto"/>
              </w:rPr>
            </w:pPr>
            <w:r>
              <w:rPr>
                <w:rFonts w:ascii="Arial" w:cs="Arial" w:eastAsia="Arial" w:hAnsi="Arial"/>
                <w:sz w:val="16"/>
                <w:szCs w:val="16"/>
                <w:color w:val="auto"/>
              </w:rPr>
              <w:t>393</w:t>
            </w:r>
          </w:p>
        </w:tc>
        <w:tc>
          <w:tcPr>
            <w:tcW w:w="100" w:type="dxa"/>
            <w:vAlign w:val="bottom"/>
          </w:tcPr>
          <w:p>
            <w:pPr>
              <w:spacing w:after="0"/>
              <w:rPr>
                <w:sz w:val="18"/>
                <w:szCs w:val="18"/>
                <w:color w:val="auto"/>
              </w:rPr>
            </w:pPr>
          </w:p>
        </w:tc>
        <w:tc>
          <w:tcPr>
            <w:tcW w:w="920" w:type="dxa"/>
            <w:vAlign w:val="bottom"/>
          </w:tcPr>
          <w:p>
            <w:pPr>
              <w:jc w:val="right"/>
              <w:ind w:right="100"/>
              <w:spacing w:after="0"/>
              <w:rPr>
                <w:sz w:val="20"/>
                <w:szCs w:val="20"/>
                <w:color w:val="auto"/>
              </w:rPr>
            </w:pPr>
            <w:r>
              <w:rPr>
                <w:rFonts w:ascii="Arial" w:cs="Arial" w:eastAsia="Arial" w:hAnsi="Arial"/>
                <w:sz w:val="16"/>
                <w:szCs w:val="16"/>
                <w:color w:val="auto"/>
              </w:rPr>
              <w:t>440</w:t>
            </w:r>
          </w:p>
        </w:tc>
        <w:tc>
          <w:tcPr>
            <w:tcW w:w="820" w:type="dxa"/>
            <w:vAlign w:val="bottom"/>
          </w:tcPr>
          <w:p>
            <w:pPr>
              <w:jc w:val="right"/>
              <w:spacing w:after="0"/>
              <w:rPr>
                <w:sz w:val="20"/>
                <w:szCs w:val="20"/>
                <w:color w:val="auto"/>
              </w:rPr>
            </w:pPr>
            <w:r>
              <w:rPr>
                <w:rFonts w:ascii="Arial" w:cs="Arial" w:eastAsia="Arial" w:hAnsi="Arial"/>
                <w:sz w:val="16"/>
                <w:szCs w:val="16"/>
                <w:color w:val="auto"/>
              </w:rPr>
              <w:t>272</w:t>
            </w: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(1,197)</w:t>
            </w:r>
          </w:p>
        </w:tc>
        <w:tc>
          <w:tcPr>
            <w:tcW w:w="900" w:type="dxa"/>
            <w:vAlign w:val="bottom"/>
          </w:tcPr>
          <w:p>
            <w:pPr>
              <w:jc w:val="right"/>
              <w:spacing w:after="0"/>
              <w:rPr>
                <w:sz w:val="20"/>
                <w:szCs w:val="20"/>
                <w:color w:val="auto"/>
              </w:rPr>
            </w:pPr>
            <w:r>
              <w:rPr>
                <w:rFonts w:ascii="Arial" w:cs="Arial" w:eastAsia="Arial" w:hAnsi="Arial"/>
                <w:sz w:val="16"/>
                <w:szCs w:val="16"/>
                <w:color w:val="auto"/>
              </w:rPr>
              <w:t>(5,632)</w:t>
            </w:r>
          </w:p>
        </w:tc>
        <w:tc>
          <w:tcPr>
            <w:tcW w:w="0" w:type="dxa"/>
            <w:vAlign w:val="bottom"/>
          </w:tcPr>
          <w:p>
            <w:pPr>
              <w:spacing w:after="0"/>
              <w:rPr>
                <w:sz w:val="1"/>
                <w:szCs w:val="1"/>
                <w:color w:val="auto"/>
              </w:rPr>
            </w:pPr>
          </w:p>
        </w:tc>
      </w:tr>
      <w:tr>
        <w:trPr>
          <w:trHeight w:val="216"/>
        </w:trPr>
        <w:tc>
          <w:tcPr>
            <w:tcW w:w="3740" w:type="dxa"/>
            <w:vAlign w:val="bottom"/>
          </w:tcPr>
          <w:p>
            <w:pPr>
              <w:ind w:left="20"/>
              <w:spacing w:after="0"/>
              <w:rPr>
                <w:sz w:val="20"/>
                <w:szCs w:val="20"/>
                <w:color w:val="auto"/>
              </w:rPr>
            </w:pPr>
            <w:r>
              <w:rPr>
                <w:rFonts w:ascii="Arial" w:cs="Arial" w:eastAsia="Arial" w:hAnsi="Arial"/>
                <w:sz w:val="16"/>
                <w:szCs w:val="16"/>
                <w:color w:val="auto"/>
              </w:rPr>
              <w:t>Additions to property, plant and equipment</w:t>
            </w: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5,726</w:t>
            </w:r>
          </w:p>
        </w:tc>
        <w:tc>
          <w:tcPr>
            <w:tcW w:w="840" w:type="dxa"/>
            <w:vAlign w:val="bottom"/>
          </w:tcPr>
          <w:p>
            <w:pPr>
              <w:jc w:val="right"/>
              <w:spacing w:after="0"/>
              <w:rPr>
                <w:sz w:val="20"/>
                <w:szCs w:val="20"/>
                <w:color w:val="auto"/>
              </w:rPr>
            </w:pPr>
            <w:r>
              <w:rPr>
                <w:rFonts w:ascii="Arial" w:cs="Arial" w:eastAsia="Arial" w:hAnsi="Arial"/>
                <w:sz w:val="16"/>
                <w:szCs w:val="16"/>
                <w:color w:val="auto"/>
              </w:rPr>
              <w:t>4,418</w:t>
            </w:r>
          </w:p>
        </w:tc>
        <w:tc>
          <w:tcPr>
            <w:tcW w:w="120" w:type="dxa"/>
            <w:vAlign w:val="bottom"/>
          </w:tcPr>
          <w:p>
            <w:pPr>
              <w:spacing w:after="0"/>
              <w:rPr>
                <w:sz w:val="18"/>
                <w:szCs w:val="18"/>
                <w:color w:val="auto"/>
              </w:rPr>
            </w:pPr>
          </w:p>
        </w:tc>
        <w:tc>
          <w:tcPr>
            <w:tcW w:w="920" w:type="dxa"/>
            <w:vAlign w:val="bottom"/>
          </w:tcPr>
          <w:p>
            <w:pPr>
              <w:jc w:val="right"/>
              <w:ind w:right="100"/>
              <w:spacing w:after="0"/>
              <w:rPr>
                <w:sz w:val="20"/>
                <w:szCs w:val="20"/>
                <w:color w:val="auto"/>
              </w:rPr>
            </w:pPr>
            <w:r>
              <w:rPr>
                <w:rFonts w:ascii="Arial" w:cs="Arial" w:eastAsia="Arial" w:hAnsi="Arial"/>
                <w:sz w:val="16"/>
                <w:szCs w:val="16"/>
                <w:color w:val="auto"/>
              </w:rPr>
              <w:t>2,983</w:t>
            </w:r>
          </w:p>
        </w:tc>
        <w:tc>
          <w:tcPr>
            <w:tcW w:w="840" w:type="dxa"/>
            <w:vAlign w:val="bottom"/>
          </w:tcPr>
          <w:p>
            <w:pPr>
              <w:jc w:val="right"/>
              <w:spacing w:after="0"/>
              <w:rPr>
                <w:sz w:val="20"/>
                <w:szCs w:val="20"/>
                <w:color w:val="auto"/>
              </w:rPr>
            </w:pPr>
            <w:r>
              <w:rPr>
                <w:rFonts w:ascii="Arial" w:cs="Arial" w:eastAsia="Arial" w:hAnsi="Arial"/>
                <w:sz w:val="16"/>
                <w:szCs w:val="16"/>
                <w:color w:val="auto"/>
              </w:rPr>
              <w:t>1,731</w:t>
            </w:r>
          </w:p>
        </w:tc>
        <w:tc>
          <w:tcPr>
            <w:tcW w:w="100" w:type="dxa"/>
            <w:vAlign w:val="bottom"/>
          </w:tcPr>
          <w:p>
            <w:pPr>
              <w:spacing w:after="0"/>
              <w:rPr>
                <w:sz w:val="18"/>
                <w:szCs w:val="18"/>
                <w:color w:val="auto"/>
              </w:rPr>
            </w:pPr>
          </w:p>
        </w:tc>
        <w:tc>
          <w:tcPr>
            <w:tcW w:w="920" w:type="dxa"/>
            <w:vAlign w:val="bottom"/>
          </w:tcPr>
          <w:p>
            <w:pPr>
              <w:jc w:val="right"/>
              <w:ind w:right="100"/>
              <w:spacing w:after="0"/>
              <w:rPr>
                <w:sz w:val="20"/>
                <w:szCs w:val="20"/>
                <w:color w:val="auto"/>
              </w:rPr>
            </w:pPr>
            <w:r>
              <w:rPr>
                <w:rFonts w:ascii="Arial" w:cs="Arial" w:eastAsia="Arial" w:hAnsi="Arial"/>
                <w:sz w:val="16"/>
                <w:szCs w:val="16"/>
                <w:color w:val="auto"/>
              </w:rPr>
              <w:t>1,221</w:t>
            </w:r>
          </w:p>
        </w:tc>
        <w:tc>
          <w:tcPr>
            <w:tcW w:w="820" w:type="dxa"/>
            <w:vAlign w:val="bottom"/>
          </w:tcPr>
          <w:p>
            <w:pPr>
              <w:jc w:val="right"/>
              <w:spacing w:after="0"/>
              <w:rPr>
                <w:sz w:val="20"/>
                <w:szCs w:val="20"/>
                <w:color w:val="auto"/>
              </w:rPr>
            </w:pPr>
            <w:r>
              <w:rPr>
                <w:rFonts w:ascii="Arial" w:cs="Arial" w:eastAsia="Arial" w:hAnsi="Arial"/>
                <w:sz w:val="16"/>
                <w:szCs w:val="16"/>
                <w:color w:val="auto"/>
              </w:rPr>
              <w:t>592</w:t>
            </w: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671</w:t>
            </w:r>
          </w:p>
        </w:tc>
        <w:tc>
          <w:tcPr>
            <w:tcW w:w="900" w:type="dxa"/>
            <w:vAlign w:val="bottom"/>
          </w:tcPr>
          <w:p>
            <w:pPr>
              <w:jc w:val="right"/>
              <w:spacing w:after="0"/>
              <w:rPr>
                <w:sz w:val="20"/>
                <w:szCs w:val="20"/>
                <w:color w:val="auto"/>
              </w:rPr>
            </w:pPr>
            <w:r>
              <w:rPr>
                <w:rFonts w:ascii="Arial" w:cs="Arial" w:eastAsia="Arial" w:hAnsi="Arial"/>
                <w:sz w:val="16"/>
                <w:szCs w:val="16"/>
                <w:color w:val="auto"/>
              </w:rPr>
              <w:t>17,342</w:t>
            </w:r>
          </w:p>
        </w:tc>
        <w:tc>
          <w:tcPr>
            <w:tcW w:w="0" w:type="dxa"/>
            <w:vAlign w:val="bottom"/>
          </w:tcPr>
          <w:p>
            <w:pPr>
              <w:spacing w:after="0"/>
              <w:rPr>
                <w:sz w:val="1"/>
                <w:szCs w:val="1"/>
                <w:color w:val="auto"/>
              </w:rPr>
            </w:pPr>
          </w:p>
        </w:tc>
      </w:tr>
      <w:tr>
        <w:trPr>
          <w:trHeight w:val="216"/>
        </w:trPr>
        <w:tc>
          <w:tcPr>
            <w:tcW w:w="3740" w:type="dxa"/>
            <w:vAlign w:val="bottom"/>
          </w:tcPr>
          <w:p>
            <w:pPr>
              <w:ind w:left="20"/>
              <w:spacing w:after="0"/>
              <w:rPr>
                <w:sz w:val="20"/>
                <w:szCs w:val="20"/>
                <w:color w:val="auto"/>
              </w:rPr>
            </w:pPr>
            <w:r>
              <w:rPr>
                <w:rFonts w:ascii="Arial" w:cs="Arial" w:eastAsia="Arial" w:hAnsi="Arial"/>
                <w:sz w:val="16"/>
                <w:szCs w:val="16"/>
                <w:color w:val="auto"/>
              </w:rPr>
              <w:t>Investments in equity companies</w:t>
            </w: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4,792</w:t>
            </w:r>
          </w:p>
        </w:tc>
        <w:tc>
          <w:tcPr>
            <w:tcW w:w="840" w:type="dxa"/>
            <w:vAlign w:val="bottom"/>
          </w:tcPr>
          <w:p>
            <w:pPr>
              <w:jc w:val="right"/>
              <w:spacing w:after="0"/>
              <w:rPr>
                <w:sz w:val="20"/>
                <w:szCs w:val="20"/>
                <w:color w:val="auto"/>
              </w:rPr>
            </w:pPr>
            <w:r>
              <w:rPr>
                <w:rFonts w:ascii="Arial" w:cs="Arial" w:eastAsia="Arial" w:hAnsi="Arial"/>
                <w:sz w:val="16"/>
                <w:szCs w:val="16"/>
                <w:color w:val="auto"/>
              </w:rPr>
              <w:t>18,135</w:t>
            </w:r>
          </w:p>
        </w:tc>
        <w:tc>
          <w:tcPr>
            <w:tcW w:w="120" w:type="dxa"/>
            <w:vAlign w:val="bottom"/>
          </w:tcPr>
          <w:p>
            <w:pPr>
              <w:spacing w:after="0"/>
              <w:rPr>
                <w:sz w:val="18"/>
                <w:szCs w:val="18"/>
                <w:color w:val="auto"/>
              </w:rPr>
            </w:pPr>
          </w:p>
        </w:tc>
        <w:tc>
          <w:tcPr>
            <w:tcW w:w="920" w:type="dxa"/>
            <w:vAlign w:val="bottom"/>
          </w:tcPr>
          <w:p>
            <w:pPr>
              <w:jc w:val="right"/>
              <w:ind w:right="100"/>
              <w:spacing w:after="0"/>
              <w:rPr>
                <w:sz w:val="20"/>
                <w:szCs w:val="20"/>
                <w:color w:val="auto"/>
              </w:rPr>
            </w:pPr>
            <w:r>
              <w:rPr>
                <w:rFonts w:ascii="Arial" w:cs="Arial" w:eastAsia="Arial" w:hAnsi="Arial"/>
                <w:sz w:val="16"/>
                <w:szCs w:val="16"/>
                <w:color w:val="auto"/>
              </w:rPr>
              <w:t>352</w:t>
            </w:r>
          </w:p>
        </w:tc>
        <w:tc>
          <w:tcPr>
            <w:tcW w:w="840" w:type="dxa"/>
            <w:vAlign w:val="bottom"/>
          </w:tcPr>
          <w:p>
            <w:pPr>
              <w:jc w:val="right"/>
              <w:spacing w:after="0"/>
              <w:rPr>
                <w:sz w:val="20"/>
                <w:szCs w:val="20"/>
                <w:color w:val="auto"/>
              </w:rPr>
            </w:pPr>
            <w:r>
              <w:rPr>
                <w:rFonts w:ascii="Arial" w:cs="Arial" w:eastAsia="Arial" w:hAnsi="Arial"/>
                <w:sz w:val="16"/>
                <w:szCs w:val="16"/>
                <w:color w:val="auto"/>
              </w:rPr>
              <w:t>879</w:t>
            </w:r>
          </w:p>
        </w:tc>
        <w:tc>
          <w:tcPr>
            <w:tcW w:w="100" w:type="dxa"/>
            <w:vAlign w:val="bottom"/>
          </w:tcPr>
          <w:p>
            <w:pPr>
              <w:spacing w:after="0"/>
              <w:rPr>
                <w:sz w:val="18"/>
                <w:szCs w:val="18"/>
                <w:color w:val="auto"/>
              </w:rPr>
            </w:pPr>
          </w:p>
        </w:tc>
        <w:tc>
          <w:tcPr>
            <w:tcW w:w="920" w:type="dxa"/>
            <w:vAlign w:val="bottom"/>
          </w:tcPr>
          <w:p>
            <w:pPr>
              <w:jc w:val="right"/>
              <w:ind w:right="100"/>
              <w:spacing w:after="0"/>
              <w:rPr>
                <w:sz w:val="20"/>
                <w:szCs w:val="20"/>
                <w:color w:val="auto"/>
              </w:rPr>
            </w:pPr>
            <w:r>
              <w:rPr>
                <w:rFonts w:ascii="Arial" w:cs="Arial" w:eastAsia="Arial" w:hAnsi="Arial"/>
                <w:sz w:val="16"/>
                <w:szCs w:val="16"/>
                <w:color w:val="auto"/>
              </w:rPr>
              <w:t>2,543</w:t>
            </w:r>
          </w:p>
        </w:tc>
        <w:tc>
          <w:tcPr>
            <w:tcW w:w="820" w:type="dxa"/>
            <w:vAlign w:val="bottom"/>
          </w:tcPr>
          <w:p>
            <w:pPr>
              <w:jc w:val="right"/>
              <w:spacing w:after="0"/>
              <w:rPr>
                <w:sz w:val="20"/>
                <w:szCs w:val="20"/>
                <w:color w:val="auto"/>
              </w:rPr>
            </w:pPr>
            <w:r>
              <w:rPr>
                <w:rFonts w:ascii="Arial" w:cs="Arial" w:eastAsia="Arial" w:hAnsi="Arial"/>
                <w:sz w:val="16"/>
                <w:szCs w:val="16"/>
                <w:color w:val="auto"/>
              </w:rPr>
              <w:t>3,514</w:t>
            </w: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(443)</w:t>
            </w:r>
          </w:p>
        </w:tc>
        <w:tc>
          <w:tcPr>
            <w:tcW w:w="900" w:type="dxa"/>
            <w:vAlign w:val="bottom"/>
          </w:tcPr>
          <w:p>
            <w:pPr>
              <w:jc w:val="right"/>
              <w:spacing w:after="0"/>
              <w:rPr>
                <w:sz w:val="20"/>
                <w:szCs w:val="20"/>
                <w:color w:val="auto"/>
              </w:rPr>
            </w:pPr>
            <w:r>
              <w:rPr>
                <w:rFonts w:ascii="Arial" w:cs="Arial" w:eastAsia="Arial" w:hAnsi="Arial"/>
                <w:sz w:val="16"/>
                <w:szCs w:val="16"/>
                <w:color w:val="auto"/>
              </w:rPr>
              <w:t>29,772</w:t>
            </w:r>
          </w:p>
        </w:tc>
        <w:tc>
          <w:tcPr>
            <w:tcW w:w="0" w:type="dxa"/>
            <w:vAlign w:val="bottom"/>
          </w:tcPr>
          <w:p>
            <w:pPr>
              <w:spacing w:after="0"/>
              <w:rPr>
                <w:sz w:val="1"/>
                <w:szCs w:val="1"/>
                <w:color w:val="auto"/>
              </w:rPr>
            </w:pPr>
          </w:p>
        </w:tc>
      </w:tr>
      <w:tr>
        <w:trPr>
          <w:trHeight w:val="216"/>
        </w:trPr>
        <w:tc>
          <w:tcPr>
            <w:tcW w:w="374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71,287</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144,730</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23,754</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34,848</w:t>
            </w: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17,839</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20,220</w:t>
            </w:r>
          </w:p>
        </w:tc>
        <w:tc>
          <w:tcPr>
            <w:tcW w:w="10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20,072</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332,750</w:t>
            </w:r>
          </w:p>
        </w:tc>
        <w:tc>
          <w:tcPr>
            <w:tcW w:w="0" w:type="dxa"/>
            <w:vAlign w:val="bottom"/>
          </w:tcPr>
          <w:p>
            <w:pPr>
              <w:spacing w:after="0"/>
              <w:rPr>
                <w:sz w:val="1"/>
                <w:szCs w:val="1"/>
                <w:color w:val="auto"/>
              </w:rPr>
            </w:pPr>
          </w:p>
        </w:tc>
      </w:tr>
      <w:tr>
        <w:trPr>
          <w:trHeight w:val="453"/>
        </w:trPr>
        <w:tc>
          <w:tcPr>
            <w:tcW w:w="3740" w:type="dxa"/>
            <w:vAlign w:val="bottom"/>
          </w:tcPr>
          <w:p>
            <w:pPr>
              <w:ind w:left="20"/>
              <w:spacing w:after="0"/>
              <w:rPr>
                <w:sz w:val="20"/>
                <w:szCs w:val="20"/>
                <w:color w:val="auto"/>
              </w:rPr>
            </w:pPr>
            <w:r>
              <w:rPr>
                <w:rFonts w:ascii="Arial" w:cs="Arial" w:eastAsia="Arial" w:hAnsi="Arial"/>
                <w:sz w:val="16"/>
                <w:szCs w:val="16"/>
                <w:color w:val="auto"/>
              </w:rPr>
              <w:t>As of December 31, 2019</w:t>
            </w:r>
          </w:p>
        </w:tc>
        <w:tc>
          <w:tcPr>
            <w:tcW w:w="9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20"/>
              <w:spacing w:after="0"/>
              <w:rPr>
                <w:sz w:val="20"/>
                <w:szCs w:val="20"/>
                <w:color w:val="auto"/>
              </w:rPr>
            </w:pPr>
            <w:r>
              <w:rPr>
                <w:rFonts w:ascii="Arial" w:cs="Arial" w:eastAsia="Arial" w:hAnsi="Arial"/>
                <w:sz w:val="16"/>
                <w:szCs w:val="16"/>
                <w:color w:val="auto"/>
              </w:rPr>
              <w:t>Earnings (loss) after income tax</w:t>
            </w: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536</w:t>
            </w:r>
          </w:p>
        </w:tc>
        <w:tc>
          <w:tcPr>
            <w:tcW w:w="840" w:type="dxa"/>
            <w:vAlign w:val="bottom"/>
          </w:tcPr>
          <w:p>
            <w:pPr>
              <w:jc w:val="right"/>
              <w:spacing w:after="0"/>
              <w:rPr>
                <w:sz w:val="20"/>
                <w:szCs w:val="20"/>
                <w:color w:val="auto"/>
              </w:rPr>
            </w:pPr>
            <w:r>
              <w:rPr>
                <w:rFonts w:ascii="Arial" w:cs="Arial" w:eastAsia="Arial" w:hAnsi="Arial"/>
                <w:sz w:val="16"/>
                <w:szCs w:val="16"/>
                <w:color w:val="auto"/>
              </w:rPr>
              <w:t>13,906</w:t>
            </w:r>
          </w:p>
        </w:tc>
        <w:tc>
          <w:tcPr>
            <w:tcW w:w="120" w:type="dxa"/>
            <w:vAlign w:val="bottom"/>
          </w:tcPr>
          <w:p>
            <w:pPr>
              <w:spacing w:after="0"/>
              <w:rPr>
                <w:sz w:val="18"/>
                <w:szCs w:val="18"/>
                <w:color w:val="auto"/>
              </w:rPr>
            </w:pPr>
          </w:p>
        </w:tc>
        <w:tc>
          <w:tcPr>
            <w:tcW w:w="920" w:type="dxa"/>
            <w:vAlign w:val="bottom"/>
          </w:tcPr>
          <w:p>
            <w:pPr>
              <w:jc w:val="right"/>
              <w:ind w:right="100"/>
              <w:spacing w:after="0"/>
              <w:rPr>
                <w:sz w:val="20"/>
                <w:szCs w:val="20"/>
                <w:color w:val="auto"/>
              </w:rPr>
            </w:pPr>
            <w:r>
              <w:rPr>
                <w:rFonts w:ascii="Arial" w:cs="Arial" w:eastAsia="Arial" w:hAnsi="Arial"/>
                <w:sz w:val="16"/>
                <w:szCs w:val="16"/>
                <w:color w:val="auto"/>
              </w:rPr>
              <w:t>1,717</w:t>
            </w:r>
          </w:p>
        </w:tc>
        <w:tc>
          <w:tcPr>
            <w:tcW w:w="840" w:type="dxa"/>
            <w:vAlign w:val="bottom"/>
          </w:tcPr>
          <w:p>
            <w:pPr>
              <w:jc w:val="right"/>
              <w:spacing w:after="0"/>
              <w:rPr>
                <w:sz w:val="20"/>
                <w:szCs w:val="20"/>
                <w:color w:val="auto"/>
              </w:rPr>
            </w:pPr>
            <w:r>
              <w:rPr>
                <w:rFonts w:ascii="Arial" w:cs="Arial" w:eastAsia="Arial" w:hAnsi="Arial"/>
                <w:sz w:val="16"/>
                <w:szCs w:val="16"/>
                <w:color w:val="auto"/>
              </w:rPr>
              <w:t>606</w:t>
            </w:r>
          </w:p>
        </w:tc>
        <w:tc>
          <w:tcPr>
            <w:tcW w:w="100" w:type="dxa"/>
            <w:vAlign w:val="bottom"/>
          </w:tcPr>
          <w:p>
            <w:pPr>
              <w:spacing w:after="0"/>
              <w:rPr>
                <w:sz w:val="18"/>
                <w:szCs w:val="18"/>
                <w:color w:val="auto"/>
              </w:rPr>
            </w:pPr>
          </w:p>
        </w:tc>
        <w:tc>
          <w:tcPr>
            <w:tcW w:w="920" w:type="dxa"/>
            <w:vAlign w:val="bottom"/>
          </w:tcPr>
          <w:p>
            <w:pPr>
              <w:jc w:val="right"/>
              <w:ind w:right="100"/>
              <w:spacing w:after="0"/>
              <w:rPr>
                <w:sz w:val="20"/>
                <w:szCs w:val="20"/>
                <w:color w:val="auto"/>
              </w:rPr>
            </w:pPr>
            <w:r>
              <w:rPr>
                <w:rFonts w:ascii="Arial" w:cs="Arial" w:eastAsia="Arial" w:hAnsi="Arial"/>
                <w:sz w:val="16"/>
                <w:szCs w:val="16"/>
                <w:color w:val="auto"/>
              </w:rPr>
              <w:t>206</w:t>
            </w:r>
          </w:p>
        </w:tc>
        <w:tc>
          <w:tcPr>
            <w:tcW w:w="820" w:type="dxa"/>
            <w:vAlign w:val="bottom"/>
          </w:tcPr>
          <w:p>
            <w:pPr>
              <w:jc w:val="right"/>
              <w:spacing w:after="0"/>
              <w:rPr>
                <w:sz w:val="20"/>
                <w:szCs w:val="20"/>
                <w:color w:val="auto"/>
              </w:rPr>
            </w:pPr>
            <w:r>
              <w:rPr>
                <w:rFonts w:ascii="Arial" w:cs="Arial" w:eastAsia="Arial" w:hAnsi="Arial"/>
                <w:sz w:val="16"/>
                <w:szCs w:val="16"/>
                <w:color w:val="auto"/>
              </w:rPr>
              <w:t>386</w:t>
            </w: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(3,017)</w:t>
            </w:r>
          </w:p>
        </w:tc>
        <w:tc>
          <w:tcPr>
            <w:tcW w:w="900" w:type="dxa"/>
            <w:vAlign w:val="bottom"/>
          </w:tcPr>
          <w:p>
            <w:pPr>
              <w:jc w:val="right"/>
              <w:spacing w:after="0"/>
              <w:rPr>
                <w:sz w:val="20"/>
                <w:szCs w:val="20"/>
                <w:color w:val="auto"/>
              </w:rPr>
            </w:pPr>
            <w:r>
              <w:rPr>
                <w:rFonts w:ascii="Arial" w:cs="Arial" w:eastAsia="Arial" w:hAnsi="Arial"/>
                <w:sz w:val="16"/>
                <w:szCs w:val="16"/>
                <w:color w:val="auto"/>
              </w:rPr>
              <w:t>14,340</w:t>
            </w:r>
          </w:p>
        </w:tc>
        <w:tc>
          <w:tcPr>
            <w:tcW w:w="0" w:type="dxa"/>
            <w:vAlign w:val="bottom"/>
          </w:tcPr>
          <w:p>
            <w:pPr>
              <w:spacing w:after="0"/>
              <w:rPr>
                <w:sz w:val="1"/>
                <w:szCs w:val="1"/>
                <w:color w:val="auto"/>
              </w:rPr>
            </w:pPr>
          </w:p>
        </w:tc>
      </w:tr>
      <w:tr>
        <w:trPr>
          <w:trHeight w:val="216"/>
        </w:trPr>
        <w:tc>
          <w:tcPr>
            <w:tcW w:w="3740" w:type="dxa"/>
            <w:vAlign w:val="bottom"/>
          </w:tcPr>
          <w:p>
            <w:pPr>
              <w:ind w:left="20"/>
              <w:spacing w:after="0"/>
              <w:rPr>
                <w:sz w:val="20"/>
                <w:szCs w:val="20"/>
                <w:color w:val="auto"/>
              </w:rPr>
            </w:pPr>
            <w:r>
              <w:rPr>
                <w:rFonts w:ascii="Arial" w:cs="Arial" w:eastAsia="Arial" w:hAnsi="Arial"/>
                <w:sz w:val="16"/>
                <w:szCs w:val="16"/>
                <w:color w:val="auto"/>
              </w:rPr>
              <w:t>Earnings of equity companies included above</w:t>
            </w: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282</w:t>
            </w:r>
          </w:p>
        </w:tc>
        <w:tc>
          <w:tcPr>
            <w:tcW w:w="840" w:type="dxa"/>
            <w:vAlign w:val="bottom"/>
          </w:tcPr>
          <w:p>
            <w:pPr>
              <w:jc w:val="right"/>
              <w:spacing w:after="0"/>
              <w:rPr>
                <w:sz w:val="20"/>
                <w:szCs w:val="20"/>
                <w:color w:val="auto"/>
              </w:rPr>
            </w:pPr>
            <w:r>
              <w:rPr>
                <w:rFonts w:ascii="Arial" w:cs="Arial" w:eastAsia="Arial" w:hAnsi="Arial"/>
                <w:sz w:val="16"/>
                <w:szCs w:val="16"/>
                <w:color w:val="auto"/>
              </w:rPr>
              <w:t>4,534</w:t>
            </w:r>
          </w:p>
        </w:tc>
        <w:tc>
          <w:tcPr>
            <w:tcW w:w="120" w:type="dxa"/>
            <w:vAlign w:val="bottom"/>
          </w:tcPr>
          <w:p>
            <w:pPr>
              <w:spacing w:after="0"/>
              <w:rPr>
                <w:sz w:val="18"/>
                <w:szCs w:val="18"/>
                <w:color w:val="auto"/>
              </w:rPr>
            </w:pPr>
          </w:p>
        </w:tc>
        <w:tc>
          <w:tcPr>
            <w:tcW w:w="920" w:type="dxa"/>
            <w:vAlign w:val="bottom"/>
          </w:tcPr>
          <w:p>
            <w:pPr>
              <w:jc w:val="right"/>
              <w:ind w:right="100"/>
              <w:spacing w:after="0"/>
              <w:rPr>
                <w:sz w:val="20"/>
                <w:szCs w:val="20"/>
                <w:color w:val="auto"/>
              </w:rPr>
            </w:pPr>
            <w:r>
              <w:rPr>
                <w:rFonts w:ascii="Arial" w:cs="Arial" w:eastAsia="Arial" w:hAnsi="Arial"/>
                <w:sz w:val="16"/>
                <w:szCs w:val="16"/>
                <w:color w:val="auto"/>
              </w:rPr>
              <w:t>196</w:t>
            </w:r>
          </w:p>
        </w:tc>
        <w:tc>
          <w:tcPr>
            <w:tcW w:w="84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(4)</w:t>
            </w:r>
          </w:p>
        </w:tc>
        <w:tc>
          <w:tcPr>
            <w:tcW w:w="820" w:type="dxa"/>
            <w:vAlign w:val="bottom"/>
          </w:tcPr>
          <w:p>
            <w:pPr>
              <w:jc w:val="right"/>
              <w:spacing w:after="0"/>
              <w:rPr>
                <w:sz w:val="20"/>
                <w:szCs w:val="20"/>
                <w:color w:val="auto"/>
              </w:rPr>
            </w:pPr>
            <w:r>
              <w:rPr>
                <w:rFonts w:ascii="Arial" w:cs="Arial" w:eastAsia="Arial" w:hAnsi="Arial"/>
                <w:sz w:val="16"/>
                <w:szCs w:val="16"/>
                <w:color w:val="auto"/>
              </w:rPr>
              <w:t>818</w:t>
            </w: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(404)</w:t>
            </w:r>
          </w:p>
        </w:tc>
        <w:tc>
          <w:tcPr>
            <w:tcW w:w="900" w:type="dxa"/>
            <w:vAlign w:val="bottom"/>
          </w:tcPr>
          <w:p>
            <w:pPr>
              <w:jc w:val="right"/>
              <w:spacing w:after="0"/>
              <w:rPr>
                <w:sz w:val="20"/>
                <w:szCs w:val="20"/>
                <w:color w:val="auto"/>
              </w:rPr>
            </w:pPr>
            <w:r>
              <w:rPr>
                <w:rFonts w:ascii="Arial" w:cs="Arial" w:eastAsia="Arial" w:hAnsi="Arial"/>
                <w:sz w:val="16"/>
                <w:szCs w:val="16"/>
                <w:color w:val="auto"/>
              </w:rPr>
              <w:t>5,441</w:t>
            </w:r>
          </w:p>
        </w:tc>
        <w:tc>
          <w:tcPr>
            <w:tcW w:w="0" w:type="dxa"/>
            <w:vAlign w:val="bottom"/>
          </w:tcPr>
          <w:p>
            <w:pPr>
              <w:spacing w:after="0"/>
              <w:rPr>
                <w:sz w:val="1"/>
                <w:szCs w:val="1"/>
                <w:color w:val="auto"/>
              </w:rPr>
            </w:pPr>
          </w:p>
        </w:tc>
      </w:tr>
      <w:tr>
        <w:trPr>
          <w:trHeight w:val="216"/>
        </w:trPr>
        <w:tc>
          <w:tcPr>
            <w:tcW w:w="3740" w:type="dxa"/>
            <w:vAlign w:val="bottom"/>
          </w:tcPr>
          <w:p>
            <w:pPr>
              <w:ind w:left="20"/>
              <w:spacing w:after="0"/>
              <w:rPr>
                <w:sz w:val="20"/>
                <w:szCs w:val="20"/>
                <w:color w:val="auto"/>
              </w:rPr>
            </w:pPr>
            <w:r>
              <w:rPr>
                <w:rFonts w:ascii="Arial" w:cs="Arial" w:eastAsia="Arial" w:hAnsi="Arial"/>
                <w:sz w:val="16"/>
                <w:szCs w:val="16"/>
                <w:color w:val="auto"/>
              </w:rPr>
              <w:t>Sales and other operating revenue</w:t>
            </w: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9,364</w:t>
            </w:r>
          </w:p>
        </w:tc>
        <w:tc>
          <w:tcPr>
            <w:tcW w:w="840" w:type="dxa"/>
            <w:vAlign w:val="bottom"/>
          </w:tcPr>
          <w:p>
            <w:pPr>
              <w:jc w:val="right"/>
              <w:spacing w:after="0"/>
              <w:rPr>
                <w:sz w:val="20"/>
                <w:szCs w:val="20"/>
                <w:color w:val="auto"/>
              </w:rPr>
            </w:pPr>
            <w:r>
              <w:rPr>
                <w:rFonts w:ascii="Arial" w:cs="Arial" w:eastAsia="Arial" w:hAnsi="Arial"/>
                <w:sz w:val="16"/>
                <w:szCs w:val="16"/>
                <w:color w:val="auto"/>
              </w:rPr>
              <w:t>13,779</w:t>
            </w:r>
          </w:p>
        </w:tc>
        <w:tc>
          <w:tcPr>
            <w:tcW w:w="120" w:type="dxa"/>
            <w:vAlign w:val="bottom"/>
          </w:tcPr>
          <w:p>
            <w:pPr>
              <w:spacing w:after="0"/>
              <w:rPr>
                <w:sz w:val="18"/>
                <w:szCs w:val="18"/>
                <w:color w:val="auto"/>
              </w:rPr>
            </w:pPr>
          </w:p>
        </w:tc>
        <w:tc>
          <w:tcPr>
            <w:tcW w:w="920" w:type="dxa"/>
            <w:vAlign w:val="bottom"/>
          </w:tcPr>
          <w:p>
            <w:pPr>
              <w:jc w:val="right"/>
              <w:ind w:right="100"/>
              <w:spacing w:after="0"/>
              <w:rPr>
                <w:sz w:val="20"/>
                <w:szCs w:val="20"/>
                <w:color w:val="auto"/>
              </w:rPr>
            </w:pPr>
            <w:r>
              <w:rPr>
                <w:rFonts w:ascii="Arial" w:cs="Arial" w:eastAsia="Arial" w:hAnsi="Arial"/>
                <w:sz w:val="16"/>
                <w:szCs w:val="16"/>
                <w:color w:val="auto"/>
              </w:rPr>
              <w:t>70,523</w:t>
            </w:r>
          </w:p>
        </w:tc>
        <w:tc>
          <w:tcPr>
            <w:tcW w:w="840" w:type="dxa"/>
            <w:vAlign w:val="bottom"/>
          </w:tcPr>
          <w:p>
            <w:pPr>
              <w:jc w:val="right"/>
              <w:spacing w:after="0"/>
              <w:rPr>
                <w:sz w:val="20"/>
                <w:szCs w:val="20"/>
                <w:color w:val="auto"/>
              </w:rPr>
            </w:pPr>
            <w:r>
              <w:rPr>
                <w:rFonts w:ascii="Arial" w:cs="Arial" w:eastAsia="Arial" w:hAnsi="Arial"/>
                <w:sz w:val="16"/>
                <w:szCs w:val="16"/>
                <w:color w:val="auto"/>
              </w:rPr>
              <w:t>134,460</w:t>
            </w:r>
          </w:p>
        </w:tc>
        <w:tc>
          <w:tcPr>
            <w:tcW w:w="100" w:type="dxa"/>
            <w:vAlign w:val="bottom"/>
          </w:tcPr>
          <w:p>
            <w:pPr>
              <w:spacing w:after="0"/>
              <w:rPr>
                <w:sz w:val="18"/>
                <w:szCs w:val="18"/>
                <w:color w:val="auto"/>
              </w:rPr>
            </w:pPr>
          </w:p>
        </w:tc>
        <w:tc>
          <w:tcPr>
            <w:tcW w:w="920" w:type="dxa"/>
            <w:vAlign w:val="bottom"/>
          </w:tcPr>
          <w:p>
            <w:pPr>
              <w:jc w:val="right"/>
              <w:ind w:right="100"/>
              <w:spacing w:after="0"/>
              <w:rPr>
                <w:sz w:val="20"/>
                <w:szCs w:val="20"/>
                <w:color w:val="auto"/>
              </w:rPr>
            </w:pPr>
            <w:r>
              <w:rPr>
                <w:rFonts w:ascii="Arial" w:cs="Arial" w:eastAsia="Arial" w:hAnsi="Arial"/>
                <w:sz w:val="16"/>
                <w:szCs w:val="16"/>
                <w:color w:val="auto"/>
              </w:rPr>
              <w:t>9,723</w:t>
            </w:r>
          </w:p>
        </w:tc>
        <w:tc>
          <w:tcPr>
            <w:tcW w:w="820" w:type="dxa"/>
            <w:vAlign w:val="bottom"/>
          </w:tcPr>
          <w:p>
            <w:pPr>
              <w:jc w:val="right"/>
              <w:spacing w:after="0"/>
              <w:rPr>
                <w:sz w:val="20"/>
                <w:szCs w:val="20"/>
                <w:color w:val="auto"/>
              </w:rPr>
            </w:pPr>
            <w:r>
              <w:rPr>
                <w:rFonts w:ascii="Arial" w:cs="Arial" w:eastAsia="Arial" w:hAnsi="Arial"/>
                <w:sz w:val="16"/>
                <w:szCs w:val="16"/>
                <w:color w:val="auto"/>
              </w:rPr>
              <w:t>17,693</w:t>
            </w: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41</w:t>
            </w:r>
          </w:p>
        </w:tc>
        <w:tc>
          <w:tcPr>
            <w:tcW w:w="900" w:type="dxa"/>
            <w:vAlign w:val="bottom"/>
          </w:tcPr>
          <w:p>
            <w:pPr>
              <w:jc w:val="right"/>
              <w:spacing w:after="0"/>
              <w:rPr>
                <w:sz w:val="20"/>
                <w:szCs w:val="20"/>
                <w:color w:val="auto"/>
              </w:rPr>
            </w:pPr>
            <w:r>
              <w:rPr>
                <w:rFonts w:ascii="Arial" w:cs="Arial" w:eastAsia="Arial" w:hAnsi="Arial"/>
                <w:sz w:val="16"/>
                <w:szCs w:val="16"/>
                <w:color w:val="auto"/>
              </w:rPr>
              <w:t>255,583</w:t>
            </w:r>
          </w:p>
        </w:tc>
        <w:tc>
          <w:tcPr>
            <w:tcW w:w="0" w:type="dxa"/>
            <w:vAlign w:val="bottom"/>
          </w:tcPr>
          <w:p>
            <w:pPr>
              <w:spacing w:after="0"/>
              <w:rPr>
                <w:sz w:val="1"/>
                <w:szCs w:val="1"/>
                <w:color w:val="auto"/>
              </w:rPr>
            </w:pPr>
          </w:p>
        </w:tc>
      </w:tr>
      <w:tr>
        <w:trPr>
          <w:trHeight w:val="216"/>
        </w:trPr>
        <w:tc>
          <w:tcPr>
            <w:tcW w:w="3740" w:type="dxa"/>
            <w:vAlign w:val="bottom"/>
          </w:tcPr>
          <w:p>
            <w:pPr>
              <w:ind w:left="20"/>
              <w:spacing w:after="0"/>
              <w:rPr>
                <w:sz w:val="20"/>
                <w:szCs w:val="20"/>
                <w:color w:val="auto"/>
              </w:rPr>
            </w:pPr>
            <w:r>
              <w:rPr>
                <w:rFonts w:ascii="Arial" w:cs="Arial" w:eastAsia="Arial" w:hAnsi="Arial"/>
                <w:sz w:val="16"/>
                <w:szCs w:val="16"/>
                <w:color w:val="auto"/>
              </w:rPr>
              <w:t>Intersegment revenue</w:t>
            </w: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10,893</w:t>
            </w:r>
          </w:p>
        </w:tc>
        <w:tc>
          <w:tcPr>
            <w:tcW w:w="840" w:type="dxa"/>
            <w:vAlign w:val="bottom"/>
          </w:tcPr>
          <w:p>
            <w:pPr>
              <w:jc w:val="right"/>
              <w:spacing w:after="0"/>
              <w:rPr>
                <w:sz w:val="20"/>
                <w:szCs w:val="20"/>
                <w:color w:val="auto"/>
              </w:rPr>
            </w:pPr>
            <w:r>
              <w:rPr>
                <w:rFonts w:ascii="Arial" w:cs="Arial" w:eastAsia="Arial" w:hAnsi="Arial"/>
                <w:sz w:val="16"/>
                <w:szCs w:val="16"/>
                <w:color w:val="auto"/>
              </w:rPr>
              <w:t>30,864</w:t>
            </w:r>
          </w:p>
        </w:tc>
        <w:tc>
          <w:tcPr>
            <w:tcW w:w="120" w:type="dxa"/>
            <w:vAlign w:val="bottom"/>
          </w:tcPr>
          <w:p>
            <w:pPr>
              <w:spacing w:after="0"/>
              <w:rPr>
                <w:sz w:val="18"/>
                <w:szCs w:val="18"/>
                <w:color w:val="auto"/>
              </w:rPr>
            </w:pPr>
          </w:p>
        </w:tc>
        <w:tc>
          <w:tcPr>
            <w:tcW w:w="920" w:type="dxa"/>
            <w:vAlign w:val="bottom"/>
          </w:tcPr>
          <w:p>
            <w:pPr>
              <w:jc w:val="right"/>
              <w:ind w:right="100"/>
              <w:spacing w:after="0"/>
              <w:rPr>
                <w:sz w:val="20"/>
                <w:szCs w:val="20"/>
                <w:color w:val="auto"/>
              </w:rPr>
            </w:pPr>
            <w:r>
              <w:rPr>
                <w:rFonts w:ascii="Arial" w:cs="Arial" w:eastAsia="Arial" w:hAnsi="Arial"/>
                <w:sz w:val="16"/>
                <w:szCs w:val="16"/>
                <w:color w:val="auto"/>
              </w:rPr>
              <w:t>22,416</w:t>
            </w:r>
          </w:p>
        </w:tc>
        <w:tc>
          <w:tcPr>
            <w:tcW w:w="840" w:type="dxa"/>
            <w:vAlign w:val="bottom"/>
          </w:tcPr>
          <w:p>
            <w:pPr>
              <w:jc w:val="right"/>
              <w:spacing w:after="0"/>
              <w:rPr>
                <w:sz w:val="20"/>
                <w:szCs w:val="20"/>
                <w:color w:val="auto"/>
              </w:rPr>
            </w:pPr>
            <w:r>
              <w:rPr>
                <w:rFonts w:ascii="Arial" w:cs="Arial" w:eastAsia="Arial" w:hAnsi="Arial"/>
                <w:sz w:val="16"/>
                <w:szCs w:val="16"/>
                <w:color w:val="auto"/>
              </w:rPr>
              <w:t>24,775</w:t>
            </w:r>
          </w:p>
        </w:tc>
        <w:tc>
          <w:tcPr>
            <w:tcW w:w="100" w:type="dxa"/>
            <w:vAlign w:val="bottom"/>
          </w:tcPr>
          <w:p>
            <w:pPr>
              <w:spacing w:after="0"/>
              <w:rPr>
                <w:sz w:val="18"/>
                <w:szCs w:val="18"/>
                <w:color w:val="auto"/>
              </w:rPr>
            </w:pPr>
          </w:p>
        </w:tc>
        <w:tc>
          <w:tcPr>
            <w:tcW w:w="920" w:type="dxa"/>
            <w:vAlign w:val="bottom"/>
          </w:tcPr>
          <w:p>
            <w:pPr>
              <w:jc w:val="right"/>
              <w:ind w:right="100"/>
              <w:spacing w:after="0"/>
              <w:rPr>
                <w:sz w:val="20"/>
                <w:szCs w:val="20"/>
                <w:color w:val="auto"/>
              </w:rPr>
            </w:pPr>
            <w:r>
              <w:rPr>
                <w:rFonts w:ascii="Arial" w:cs="Arial" w:eastAsia="Arial" w:hAnsi="Arial"/>
                <w:sz w:val="16"/>
                <w:szCs w:val="16"/>
                <w:color w:val="auto"/>
              </w:rPr>
              <w:t>7,864</w:t>
            </w:r>
          </w:p>
        </w:tc>
        <w:tc>
          <w:tcPr>
            <w:tcW w:w="820" w:type="dxa"/>
            <w:vAlign w:val="bottom"/>
          </w:tcPr>
          <w:p>
            <w:pPr>
              <w:jc w:val="right"/>
              <w:spacing w:after="0"/>
              <w:rPr>
                <w:sz w:val="20"/>
                <w:szCs w:val="20"/>
                <w:color w:val="auto"/>
              </w:rPr>
            </w:pPr>
            <w:r>
              <w:rPr>
                <w:rFonts w:ascii="Arial" w:cs="Arial" w:eastAsia="Arial" w:hAnsi="Arial"/>
                <w:sz w:val="16"/>
                <w:szCs w:val="16"/>
                <w:color w:val="auto"/>
              </w:rPr>
              <w:t>5,905</w:t>
            </w: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224</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740" w:type="dxa"/>
            <w:vAlign w:val="bottom"/>
          </w:tcPr>
          <w:p>
            <w:pPr>
              <w:ind w:left="20"/>
              <w:spacing w:after="0"/>
              <w:rPr>
                <w:sz w:val="20"/>
                <w:szCs w:val="20"/>
                <w:color w:val="auto"/>
              </w:rPr>
            </w:pPr>
            <w:r>
              <w:rPr>
                <w:rFonts w:ascii="Arial" w:cs="Arial" w:eastAsia="Arial" w:hAnsi="Arial"/>
                <w:sz w:val="16"/>
                <w:szCs w:val="16"/>
                <w:color w:val="auto"/>
              </w:rPr>
              <w:t>Depreciation and depletion expense</w:t>
            </w: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6,162</w:t>
            </w:r>
          </w:p>
        </w:tc>
        <w:tc>
          <w:tcPr>
            <w:tcW w:w="840" w:type="dxa"/>
            <w:vAlign w:val="bottom"/>
          </w:tcPr>
          <w:p>
            <w:pPr>
              <w:jc w:val="right"/>
              <w:spacing w:after="0"/>
              <w:rPr>
                <w:sz w:val="20"/>
                <w:szCs w:val="20"/>
                <w:color w:val="auto"/>
              </w:rPr>
            </w:pPr>
            <w:r>
              <w:rPr>
                <w:rFonts w:ascii="Arial" w:cs="Arial" w:eastAsia="Arial" w:hAnsi="Arial"/>
                <w:sz w:val="16"/>
                <w:szCs w:val="16"/>
                <w:color w:val="auto"/>
              </w:rPr>
              <w:t>9,305</w:t>
            </w:r>
          </w:p>
        </w:tc>
        <w:tc>
          <w:tcPr>
            <w:tcW w:w="120" w:type="dxa"/>
            <w:vAlign w:val="bottom"/>
          </w:tcPr>
          <w:p>
            <w:pPr>
              <w:spacing w:after="0"/>
              <w:rPr>
                <w:sz w:val="18"/>
                <w:szCs w:val="18"/>
                <w:color w:val="auto"/>
              </w:rPr>
            </w:pPr>
          </w:p>
        </w:tc>
        <w:tc>
          <w:tcPr>
            <w:tcW w:w="920" w:type="dxa"/>
            <w:vAlign w:val="bottom"/>
          </w:tcPr>
          <w:p>
            <w:pPr>
              <w:jc w:val="right"/>
              <w:ind w:right="100"/>
              <w:spacing w:after="0"/>
              <w:rPr>
                <w:sz w:val="20"/>
                <w:szCs w:val="20"/>
                <w:color w:val="auto"/>
              </w:rPr>
            </w:pPr>
            <w:r>
              <w:rPr>
                <w:rFonts w:ascii="Arial" w:cs="Arial" w:eastAsia="Arial" w:hAnsi="Arial"/>
                <w:sz w:val="16"/>
                <w:szCs w:val="16"/>
                <w:color w:val="auto"/>
              </w:rPr>
              <w:t>674</w:t>
            </w:r>
          </w:p>
        </w:tc>
        <w:tc>
          <w:tcPr>
            <w:tcW w:w="840" w:type="dxa"/>
            <w:vAlign w:val="bottom"/>
          </w:tcPr>
          <w:p>
            <w:pPr>
              <w:jc w:val="right"/>
              <w:spacing w:after="0"/>
              <w:rPr>
                <w:sz w:val="20"/>
                <w:szCs w:val="20"/>
                <w:color w:val="auto"/>
              </w:rPr>
            </w:pPr>
            <w:r>
              <w:rPr>
                <w:rFonts w:ascii="Arial" w:cs="Arial" w:eastAsia="Arial" w:hAnsi="Arial"/>
                <w:sz w:val="16"/>
                <w:szCs w:val="16"/>
                <w:color w:val="auto"/>
              </w:rPr>
              <w:t>832</w:t>
            </w:r>
          </w:p>
        </w:tc>
        <w:tc>
          <w:tcPr>
            <w:tcW w:w="100" w:type="dxa"/>
            <w:vAlign w:val="bottom"/>
          </w:tcPr>
          <w:p>
            <w:pPr>
              <w:spacing w:after="0"/>
              <w:rPr>
                <w:sz w:val="18"/>
                <w:szCs w:val="18"/>
                <w:color w:val="auto"/>
              </w:rPr>
            </w:pPr>
          </w:p>
        </w:tc>
        <w:tc>
          <w:tcPr>
            <w:tcW w:w="920" w:type="dxa"/>
            <w:vAlign w:val="bottom"/>
          </w:tcPr>
          <w:p>
            <w:pPr>
              <w:jc w:val="right"/>
              <w:ind w:right="100"/>
              <w:spacing w:after="0"/>
              <w:rPr>
                <w:sz w:val="20"/>
                <w:szCs w:val="20"/>
                <w:color w:val="auto"/>
              </w:rPr>
            </w:pPr>
            <w:r>
              <w:rPr>
                <w:rFonts w:ascii="Arial" w:cs="Arial" w:eastAsia="Arial" w:hAnsi="Arial"/>
                <w:sz w:val="16"/>
                <w:szCs w:val="16"/>
                <w:color w:val="auto"/>
              </w:rPr>
              <w:t>555</w:t>
            </w:r>
          </w:p>
        </w:tc>
        <w:tc>
          <w:tcPr>
            <w:tcW w:w="820" w:type="dxa"/>
            <w:vAlign w:val="bottom"/>
          </w:tcPr>
          <w:p>
            <w:pPr>
              <w:jc w:val="right"/>
              <w:spacing w:after="0"/>
              <w:rPr>
                <w:sz w:val="20"/>
                <w:szCs w:val="20"/>
                <w:color w:val="auto"/>
              </w:rPr>
            </w:pPr>
            <w:r>
              <w:rPr>
                <w:rFonts w:ascii="Arial" w:cs="Arial" w:eastAsia="Arial" w:hAnsi="Arial"/>
                <w:sz w:val="16"/>
                <w:szCs w:val="16"/>
                <w:color w:val="auto"/>
              </w:rPr>
              <w:t>621</w:t>
            </w: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849</w:t>
            </w:r>
          </w:p>
        </w:tc>
        <w:tc>
          <w:tcPr>
            <w:tcW w:w="900" w:type="dxa"/>
            <w:vAlign w:val="bottom"/>
          </w:tcPr>
          <w:p>
            <w:pPr>
              <w:jc w:val="right"/>
              <w:spacing w:after="0"/>
              <w:rPr>
                <w:sz w:val="20"/>
                <w:szCs w:val="20"/>
                <w:color w:val="auto"/>
              </w:rPr>
            </w:pPr>
            <w:r>
              <w:rPr>
                <w:rFonts w:ascii="Arial" w:cs="Arial" w:eastAsia="Arial" w:hAnsi="Arial"/>
                <w:sz w:val="16"/>
                <w:szCs w:val="16"/>
                <w:color w:val="auto"/>
              </w:rPr>
              <w:t>18,998</w:t>
            </w:r>
          </w:p>
        </w:tc>
        <w:tc>
          <w:tcPr>
            <w:tcW w:w="0" w:type="dxa"/>
            <w:vAlign w:val="bottom"/>
          </w:tcPr>
          <w:p>
            <w:pPr>
              <w:spacing w:after="0"/>
              <w:rPr>
                <w:sz w:val="1"/>
                <w:szCs w:val="1"/>
                <w:color w:val="auto"/>
              </w:rPr>
            </w:pPr>
          </w:p>
        </w:tc>
      </w:tr>
      <w:tr>
        <w:trPr>
          <w:trHeight w:val="216"/>
        </w:trPr>
        <w:tc>
          <w:tcPr>
            <w:tcW w:w="3740" w:type="dxa"/>
            <w:vAlign w:val="bottom"/>
          </w:tcPr>
          <w:p>
            <w:pPr>
              <w:ind w:left="20"/>
              <w:spacing w:after="0"/>
              <w:rPr>
                <w:sz w:val="20"/>
                <w:szCs w:val="20"/>
                <w:color w:val="auto"/>
              </w:rPr>
            </w:pPr>
            <w:r>
              <w:rPr>
                <w:rFonts w:ascii="Arial" w:cs="Arial" w:eastAsia="Arial" w:hAnsi="Arial"/>
                <w:sz w:val="16"/>
                <w:szCs w:val="16"/>
                <w:color w:val="auto"/>
              </w:rPr>
              <w:t>Interest revenue</w:t>
            </w: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84</w:t>
            </w:r>
          </w:p>
        </w:tc>
        <w:tc>
          <w:tcPr>
            <w:tcW w:w="900" w:type="dxa"/>
            <w:vAlign w:val="bottom"/>
          </w:tcPr>
          <w:p>
            <w:pPr>
              <w:jc w:val="right"/>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16"/>
        </w:trPr>
        <w:tc>
          <w:tcPr>
            <w:tcW w:w="374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54</w:t>
            </w:r>
          </w:p>
        </w:tc>
        <w:tc>
          <w:tcPr>
            <w:tcW w:w="840" w:type="dxa"/>
            <w:vAlign w:val="bottom"/>
          </w:tcPr>
          <w:p>
            <w:pPr>
              <w:jc w:val="right"/>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18"/>
                <w:szCs w:val="18"/>
                <w:color w:val="auto"/>
              </w:rPr>
            </w:pPr>
          </w:p>
        </w:tc>
        <w:tc>
          <w:tcPr>
            <w:tcW w:w="920" w:type="dxa"/>
            <w:vAlign w:val="bottom"/>
          </w:tcPr>
          <w:p>
            <w:pPr>
              <w:jc w:val="right"/>
              <w:ind w:right="100"/>
              <w:spacing w:after="0"/>
              <w:rPr>
                <w:sz w:val="20"/>
                <w:szCs w:val="20"/>
                <w:color w:val="auto"/>
              </w:rPr>
            </w:pPr>
            <w:r>
              <w:rPr>
                <w:rFonts w:ascii="Arial" w:cs="Arial" w:eastAsia="Arial" w:hAnsi="Arial"/>
                <w:sz w:val="16"/>
                <w:szCs w:val="16"/>
                <w:color w:val="auto"/>
              </w:rPr>
              <w:t>1</w:t>
            </w:r>
          </w:p>
        </w:tc>
        <w:tc>
          <w:tcPr>
            <w:tcW w:w="84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92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w:t>
            </w: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731</w:t>
            </w:r>
          </w:p>
        </w:tc>
        <w:tc>
          <w:tcPr>
            <w:tcW w:w="900" w:type="dxa"/>
            <w:vAlign w:val="bottom"/>
          </w:tcPr>
          <w:p>
            <w:pPr>
              <w:jc w:val="right"/>
              <w:spacing w:after="0"/>
              <w:rPr>
                <w:sz w:val="20"/>
                <w:szCs w:val="20"/>
                <w:color w:val="auto"/>
              </w:rPr>
            </w:pPr>
            <w:r>
              <w:rPr>
                <w:rFonts w:ascii="Arial" w:cs="Arial" w:eastAsia="Arial" w:hAnsi="Arial"/>
                <w:sz w:val="16"/>
                <w:szCs w:val="16"/>
                <w:color w:val="auto"/>
              </w:rPr>
              <w:t>830</w:t>
            </w:r>
          </w:p>
        </w:tc>
        <w:tc>
          <w:tcPr>
            <w:tcW w:w="0" w:type="dxa"/>
            <w:vAlign w:val="bottom"/>
          </w:tcPr>
          <w:p>
            <w:pPr>
              <w:spacing w:after="0"/>
              <w:rPr>
                <w:sz w:val="1"/>
                <w:szCs w:val="1"/>
                <w:color w:val="auto"/>
              </w:rPr>
            </w:pPr>
          </w:p>
        </w:tc>
      </w:tr>
      <w:tr>
        <w:trPr>
          <w:trHeight w:val="216"/>
        </w:trPr>
        <w:tc>
          <w:tcPr>
            <w:tcW w:w="3740" w:type="dxa"/>
            <w:vAlign w:val="bottom"/>
          </w:tcPr>
          <w:p>
            <w:pPr>
              <w:ind w:left="20"/>
              <w:spacing w:after="0"/>
              <w:rPr>
                <w:sz w:val="20"/>
                <w:szCs w:val="20"/>
                <w:color w:val="auto"/>
              </w:rPr>
            </w:pPr>
            <w:r>
              <w:rPr>
                <w:rFonts w:ascii="Arial" w:cs="Arial" w:eastAsia="Arial" w:hAnsi="Arial"/>
                <w:sz w:val="16"/>
                <w:szCs w:val="16"/>
                <w:color w:val="auto"/>
              </w:rPr>
              <w:t>Income tax expense (benefit)</w:t>
            </w: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(151)</w:t>
            </w:r>
          </w:p>
        </w:tc>
        <w:tc>
          <w:tcPr>
            <w:tcW w:w="840" w:type="dxa"/>
            <w:vAlign w:val="bottom"/>
          </w:tcPr>
          <w:p>
            <w:pPr>
              <w:jc w:val="right"/>
              <w:spacing w:after="0"/>
              <w:rPr>
                <w:sz w:val="20"/>
                <w:szCs w:val="20"/>
                <w:color w:val="auto"/>
              </w:rPr>
            </w:pPr>
            <w:r>
              <w:rPr>
                <w:rFonts w:ascii="Arial" w:cs="Arial" w:eastAsia="Arial" w:hAnsi="Arial"/>
                <w:sz w:val="16"/>
                <w:szCs w:val="16"/>
                <w:color w:val="auto"/>
              </w:rPr>
              <w:t>5,509</w:t>
            </w:r>
          </w:p>
        </w:tc>
        <w:tc>
          <w:tcPr>
            <w:tcW w:w="120" w:type="dxa"/>
            <w:vAlign w:val="bottom"/>
          </w:tcPr>
          <w:p>
            <w:pPr>
              <w:spacing w:after="0"/>
              <w:rPr>
                <w:sz w:val="18"/>
                <w:szCs w:val="18"/>
                <w:color w:val="auto"/>
              </w:rPr>
            </w:pPr>
          </w:p>
        </w:tc>
        <w:tc>
          <w:tcPr>
            <w:tcW w:w="920" w:type="dxa"/>
            <w:vAlign w:val="bottom"/>
          </w:tcPr>
          <w:p>
            <w:pPr>
              <w:jc w:val="right"/>
              <w:ind w:right="100"/>
              <w:spacing w:after="0"/>
              <w:rPr>
                <w:sz w:val="20"/>
                <w:szCs w:val="20"/>
                <w:color w:val="auto"/>
              </w:rPr>
            </w:pPr>
            <w:r>
              <w:rPr>
                <w:rFonts w:ascii="Arial" w:cs="Arial" w:eastAsia="Arial" w:hAnsi="Arial"/>
                <w:sz w:val="16"/>
                <w:szCs w:val="16"/>
                <w:color w:val="auto"/>
              </w:rPr>
              <w:t>465</w:t>
            </w:r>
          </w:p>
        </w:tc>
        <w:tc>
          <w:tcPr>
            <w:tcW w:w="840" w:type="dxa"/>
            <w:vAlign w:val="bottom"/>
          </w:tcPr>
          <w:p>
            <w:pPr>
              <w:jc w:val="right"/>
              <w:spacing w:after="0"/>
              <w:rPr>
                <w:sz w:val="20"/>
                <w:szCs w:val="20"/>
                <w:color w:val="auto"/>
              </w:rPr>
            </w:pPr>
            <w:r>
              <w:rPr>
                <w:rFonts w:ascii="Arial" w:cs="Arial" w:eastAsia="Arial" w:hAnsi="Arial"/>
                <w:sz w:val="16"/>
                <w:szCs w:val="16"/>
                <w:color w:val="auto"/>
              </w:rPr>
              <w:t>361</w:t>
            </w:r>
          </w:p>
        </w:tc>
        <w:tc>
          <w:tcPr>
            <w:tcW w:w="100" w:type="dxa"/>
            <w:vAlign w:val="bottom"/>
          </w:tcPr>
          <w:p>
            <w:pPr>
              <w:spacing w:after="0"/>
              <w:rPr>
                <w:sz w:val="18"/>
                <w:szCs w:val="18"/>
                <w:color w:val="auto"/>
              </w:rPr>
            </w:pPr>
          </w:p>
        </w:tc>
        <w:tc>
          <w:tcPr>
            <w:tcW w:w="920" w:type="dxa"/>
            <w:vAlign w:val="bottom"/>
          </w:tcPr>
          <w:p>
            <w:pPr>
              <w:jc w:val="right"/>
              <w:ind w:right="100"/>
              <w:spacing w:after="0"/>
              <w:rPr>
                <w:sz w:val="20"/>
                <w:szCs w:val="20"/>
                <w:color w:val="auto"/>
              </w:rPr>
            </w:pPr>
            <w:r>
              <w:rPr>
                <w:rFonts w:ascii="Arial" w:cs="Arial" w:eastAsia="Arial" w:hAnsi="Arial"/>
                <w:sz w:val="16"/>
                <w:szCs w:val="16"/>
                <w:color w:val="auto"/>
              </w:rPr>
              <w:t>58</w:t>
            </w:r>
          </w:p>
        </w:tc>
        <w:tc>
          <w:tcPr>
            <w:tcW w:w="820" w:type="dxa"/>
            <w:vAlign w:val="bottom"/>
          </w:tcPr>
          <w:p>
            <w:pPr>
              <w:jc w:val="right"/>
              <w:spacing w:after="0"/>
              <w:rPr>
                <w:sz w:val="20"/>
                <w:szCs w:val="20"/>
                <w:color w:val="auto"/>
              </w:rPr>
            </w:pPr>
            <w:r>
              <w:rPr>
                <w:rFonts w:ascii="Arial" w:cs="Arial" w:eastAsia="Arial" w:hAnsi="Arial"/>
                <w:sz w:val="16"/>
                <w:szCs w:val="16"/>
                <w:color w:val="auto"/>
              </w:rPr>
              <w:t>305</w:t>
            </w: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(1,265)</w:t>
            </w:r>
          </w:p>
        </w:tc>
        <w:tc>
          <w:tcPr>
            <w:tcW w:w="900" w:type="dxa"/>
            <w:vAlign w:val="bottom"/>
          </w:tcPr>
          <w:p>
            <w:pPr>
              <w:jc w:val="right"/>
              <w:spacing w:after="0"/>
              <w:rPr>
                <w:sz w:val="20"/>
                <w:szCs w:val="20"/>
                <w:color w:val="auto"/>
              </w:rPr>
            </w:pPr>
            <w:r>
              <w:rPr>
                <w:rFonts w:ascii="Arial" w:cs="Arial" w:eastAsia="Arial" w:hAnsi="Arial"/>
                <w:sz w:val="16"/>
                <w:szCs w:val="16"/>
                <w:color w:val="auto"/>
              </w:rPr>
              <w:t>5,282</w:t>
            </w:r>
          </w:p>
        </w:tc>
        <w:tc>
          <w:tcPr>
            <w:tcW w:w="0" w:type="dxa"/>
            <w:vAlign w:val="bottom"/>
          </w:tcPr>
          <w:p>
            <w:pPr>
              <w:spacing w:after="0"/>
              <w:rPr>
                <w:sz w:val="1"/>
                <w:szCs w:val="1"/>
                <w:color w:val="auto"/>
              </w:rPr>
            </w:pPr>
          </w:p>
        </w:tc>
      </w:tr>
      <w:tr>
        <w:trPr>
          <w:trHeight w:val="216"/>
        </w:trPr>
        <w:tc>
          <w:tcPr>
            <w:tcW w:w="3740" w:type="dxa"/>
            <w:vAlign w:val="bottom"/>
          </w:tcPr>
          <w:p>
            <w:pPr>
              <w:ind w:left="20"/>
              <w:spacing w:after="0"/>
              <w:rPr>
                <w:sz w:val="20"/>
                <w:szCs w:val="20"/>
                <w:color w:val="auto"/>
              </w:rPr>
            </w:pPr>
            <w:r>
              <w:rPr>
                <w:rFonts w:ascii="Arial" w:cs="Arial" w:eastAsia="Arial" w:hAnsi="Arial"/>
                <w:sz w:val="16"/>
                <w:szCs w:val="16"/>
                <w:color w:val="auto"/>
              </w:rPr>
              <w:t>Additions to property, plant and equipment</w:t>
            </w: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10,404</w:t>
            </w:r>
          </w:p>
        </w:tc>
        <w:tc>
          <w:tcPr>
            <w:tcW w:w="840" w:type="dxa"/>
            <w:vAlign w:val="bottom"/>
          </w:tcPr>
          <w:p>
            <w:pPr>
              <w:jc w:val="right"/>
              <w:spacing w:after="0"/>
              <w:rPr>
                <w:sz w:val="20"/>
                <w:szCs w:val="20"/>
                <w:color w:val="auto"/>
              </w:rPr>
            </w:pPr>
            <w:r>
              <w:rPr>
                <w:rFonts w:ascii="Arial" w:cs="Arial" w:eastAsia="Arial" w:hAnsi="Arial"/>
                <w:sz w:val="16"/>
                <w:szCs w:val="16"/>
                <w:color w:val="auto"/>
              </w:rPr>
              <w:t>7,347</w:t>
            </w:r>
          </w:p>
        </w:tc>
        <w:tc>
          <w:tcPr>
            <w:tcW w:w="120" w:type="dxa"/>
            <w:vAlign w:val="bottom"/>
          </w:tcPr>
          <w:p>
            <w:pPr>
              <w:spacing w:after="0"/>
              <w:rPr>
                <w:sz w:val="18"/>
                <w:szCs w:val="18"/>
                <w:color w:val="auto"/>
              </w:rPr>
            </w:pPr>
          </w:p>
        </w:tc>
        <w:tc>
          <w:tcPr>
            <w:tcW w:w="920" w:type="dxa"/>
            <w:vAlign w:val="bottom"/>
          </w:tcPr>
          <w:p>
            <w:pPr>
              <w:jc w:val="right"/>
              <w:ind w:right="100"/>
              <w:spacing w:after="0"/>
              <w:rPr>
                <w:sz w:val="20"/>
                <w:szCs w:val="20"/>
                <w:color w:val="auto"/>
              </w:rPr>
            </w:pPr>
            <w:r>
              <w:rPr>
                <w:rFonts w:ascii="Arial" w:cs="Arial" w:eastAsia="Arial" w:hAnsi="Arial"/>
                <w:sz w:val="16"/>
                <w:szCs w:val="16"/>
                <w:color w:val="auto"/>
              </w:rPr>
              <w:t>2,685</w:t>
            </w:r>
          </w:p>
        </w:tc>
        <w:tc>
          <w:tcPr>
            <w:tcW w:w="840" w:type="dxa"/>
            <w:vAlign w:val="bottom"/>
          </w:tcPr>
          <w:p>
            <w:pPr>
              <w:jc w:val="right"/>
              <w:spacing w:after="0"/>
              <w:rPr>
                <w:sz w:val="20"/>
                <w:szCs w:val="20"/>
                <w:color w:val="auto"/>
              </w:rPr>
            </w:pPr>
            <w:r>
              <w:rPr>
                <w:rFonts w:ascii="Arial" w:cs="Arial" w:eastAsia="Arial" w:hAnsi="Arial"/>
                <w:sz w:val="16"/>
                <w:szCs w:val="16"/>
                <w:color w:val="auto"/>
              </w:rPr>
              <w:t>1,777</w:t>
            </w:r>
          </w:p>
        </w:tc>
        <w:tc>
          <w:tcPr>
            <w:tcW w:w="100" w:type="dxa"/>
            <w:vAlign w:val="bottom"/>
          </w:tcPr>
          <w:p>
            <w:pPr>
              <w:spacing w:after="0"/>
              <w:rPr>
                <w:sz w:val="18"/>
                <w:szCs w:val="18"/>
                <w:color w:val="auto"/>
              </w:rPr>
            </w:pPr>
          </w:p>
        </w:tc>
        <w:tc>
          <w:tcPr>
            <w:tcW w:w="920" w:type="dxa"/>
            <w:vAlign w:val="bottom"/>
          </w:tcPr>
          <w:p>
            <w:pPr>
              <w:jc w:val="right"/>
              <w:ind w:right="100"/>
              <w:spacing w:after="0"/>
              <w:rPr>
                <w:sz w:val="20"/>
                <w:szCs w:val="20"/>
                <w:color w:val="auto"/>
              </w:rPr>
            </w:pPr>
            <w:r>
              <w:rPr>
                <w:rFonts w:ascii="Arial" w:cs="Arial" w:eastAsia="Arial" w:hAnsi="Arial"/>
                <w:sz w:val="16"/>
                <w:szCs w:val="16"/>
                <w:color w:val="auto"/>
              </w:rPr>
              <w:t>1,344</w:t>
            </w:r>
          </w:p>
        </w:tc>
        <w:tc>
          <w:tcPr>
            <w:tcW w:w="820" w:type="dxa"/>
            <w:vAlign w:val="bottom"/>
          </w:tcPr>
          <w:p>
            <w:pPr>
              <w:jc w:val="right"/>
              <w:spacing w:after="0"/>
              <w:rPr>
                <w:sz w:val="20"/>
                <w:szCs w:val="20"/>
                <w:color w:val="auto"/>
              </w:rPr>
            </w:pPr>
            <w:r>
              <w:rPr>
                <w:rFonts w:ascii="Arial" w:cs="Arial" w:eastAsia="Arial" w:hAnsi="Arial"/>
                <w:sz w:val="16"/>
                <w:szCs w:val="16"/>
                <w:color w:val="auto"/>
              </w:rPr>
              <w:t>589</w:t>
            </w: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758</w:t>
            </w:r>
          </w:p>
        </w:tc>
        <w:tc>
          <w:tcPr>
            <w:tcW w:w="900" w:type="dxa"/>
            <w:vAlign w:val="bottom"/>
          </w:tcPr>
          <w:p>
            <w:pPr>
              <w:jc w:val="right"/>
              <w:spacing w:after="0"/>
              <w:rPr>
                <w:sz w:val="20"/>
                <w:szCs w:val="20"/>
                <w:color w:val="auto"/>
              </w:rPr>
            </w:pPr>
            <w:r>
              <w:rPr>
                <w:rFonts w:ascii="Arial" w:cs="Arial" w:eastAsia="Arial" w:hAnsi="Arial"/>
                <w:sz w:val="16"/>
                <w:szCs w:val="16"/>
                <w:color w:val="auto"/>
              </w:rPr>
              <w:t>24,904</w:t>
            </w:r>
          </w:p>
        </w:tc>
        <w:tc>
          <w:tcPr>
            <w:tcW w:w="0" w:type="dxa"/>
            <w:vAlign w:val="bottom"/>
          </w:tcPr>
          <w:p>
            <w:pPr>
              <w:spacing w:after="0"/>
              <w:rPr>
                <w:sz w:val="1"/>
                <w:szCs w:val="1"/>
                <w:color w:val="auto"/>
              </w:rPr>
            </w:pPr>
          </w:p>
        </w:tc>
      </w:tr>
      <w:tr>
        <w:trPr>
          <w:trHeight w:val="216"/>
        </w:trPr>
        <w:tc>
          <w:tcPr>
            <w:tcW w:w="3740" w:type="dxa"/>
            <w:vAlign w:val="bottom"/>
          </w:tcPr>
          <w:p>
            <w:pPr>
              <w:ind w:left="20"/>
              <w:spacing w:after="0"/>
              <w:rPr>
                <w:sz w:val="20"/>
                <w:szCs w:val="20"/>
                <w:color w:val="auto"/>
              </w:rPr>
            </w:pPr>
            <w:r>
              <w:rPr>
                <w:rFonts w:ascii="Arial" w:cs="Arial" w:eastAsia="Arial" w:hAnsi="Arial"/>
                <w:sz w:val="16"/>
                <w:szCs w:val="16"/>
                <w:color w:val="auto"/>
              </w:rPr>
              <w:t>Investments in equity companies</w:t>
            </w: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5,313</w:t>
            </w:r>
          </w:p>
        </w:tc>
        <w:tc>
          <w:tcPr>
            <w:tcW w:w="840" w:type="dxa"/>
            <w:vAlign w:val="bottom"/>
          </w:tcPr>
          <w:p>
            <w:pPr>
              <w:jc w:val="right"/>
              <w:spacing w:after="0"/>
              <w:rPr>
                <w:sz w:val="20"/>
                <w:szCs w:val="20"/>
                <w:color w:val="auto"/>
              </w:rPr>
            </w:pPr>
            <w:r>
              <w:rPr>
                <w:rFonts w:ascii="Arial" w:cs="Arial" w:eastAsia="Arial" w:hAnsi="Arial"/>
                <w:sz w:val="16"/>
                <w:szCs w:val="16"/>
                <w:color w:val="auto"/>
              </w:rPr>
              <w:t>17,736</w:t>
            </w:r>
          </w:p>
        </w:tc>
        <w:tc>
          <w:tcPr>
            <w:tcW w:w="120" w:type="dxa"/>
            <w:vAlign w:val="bottom"/>
          </w:tcPr>
          <w:p>
            <w:pPr>
              <w:spacing w:after="0"/>
              <w:rPr>
                <w:sz w:val="18"/>
                <w:szCs w:val="18"/>
                <w:color w:val="auto"/>
              </w:rPr>
            </w:pPr>
          </w:p>
        </w:tc>
        <w:tc>
          <w:tcPr>
            <w:tcW w:w="920" w:type="dxa"/>
            <w:vAlign w:val="bottom"/>
          </w:tcPr>
          <w:p>
            <w:pPr>
              <w:jc w:val="right"/>
              <w:ind w:right="100"/>
              <w:spacing w:after="0"/>
              <w:rPr>
                <w:sz w:val="20"/>
                <w:szCs w:val="20"/>
                <w:color w:val="auto"/>
              </w:rPr>
            </w:pPr>
            <w:r>
              <w:rPr>
                <w:rFonts w:ascii="Arial" w:cs="Arial" w:eastAsia="Arial" w:hAnsi="Arial"/>
                <w:sz w:val="16"/>
                <w:szCs w:val="16"/>
                <w:color w:val="auto"/>
              </w:rPr>
              <w:t>319</w:t>
            </w:r>
          </w:p>
        </w:tc>
        <w:tc>
          <w:tcPr>
            <w:tcW w:w="840" w:type="dxa"/>
            <w:vAlign w:val="bottom"/>
          </w:tcPr>
          <w:p>
            <w:pPr>
              <w:jc w:val="right"/>
              <w:spacing w:after="0"/>
              <w:rPr>
                <w:sz w:val="20"/>
                <w:szCs w:val="20"/>
                <w:color w:val="auto"/>
              </w:rPr>
            </w:pPr>
            <w:r>
              <w:rPr>
                <w:rFonts w:ascii="Arial" w:cs="Arial" w:eastAsia="Arial" w:hAnsi="Arial"/>
                <w:sz w:val="16"/>
                <w:szCs w:val="16"/>
                <w:color w:val="auto"/>
              </w:rPr>
              <w:t>1,062</w:t>
            </w:r>
          </w:p>
        </w:tc>
        <w:tc>
          <w:tcPr>
            <w:tcW w:w="100" w:type="dxa"/>
            <w:vAlign w:val="bottom"/>
          </w:tcPr>
          <w:p>
            <w:pPr>
              <w:spacing w:after="0"/>
              <w:rPr>
                <w:sz w:val="18"/>
                <w:szCs w:val="18"/>
                <w:color w:val="auto"/>
              </w:rPr>
            </w:pPr>
          </w:p>
        </w:tc>
        <w:tc>
          <w:tcPr>
            <w:tcW w:w="920" w:type="dxa"/>
            <w:vAlign w:val="bottom"/>
          </w:tcPr>
          <w:p>
            <w:pPr>
              <w:jc w:val="right"/>
              <w:ind w:right="100"/>
              <w:spacing w:after="0"/>
              <w:rPr>
                <w:sz w:val="20"/>
                <w:szCs w:val="20"/>
                <w:color w:val="auto"/>
              </w:rPr>
            </w:pPr>
            <w:r>
              <w:rPr>
                <w:rFonts w:ascii="Arial" w:cs="Arial" w:eastAsia="Arial" w:hAnsi="Arial"/>
                <w:sz w:val="16"/>
                <w:szCs w:val="16"/>
                <w:color w:val="auto"/>
              </w:rPr>
              <w:t>1,835</w:t>
            </w:r>
          </w:p>
        </w:tc>
        <w:tc>
          <w:tcPr>
            <w:tcW w:w="820" w:type="dxa"/>
            <w:vAlign w:val="bottom"/>
          </w:tcPr>
          <w:p>
            <w:pPr>
              <w:jc w:val="right"/>
              <w:spacing w:after="0"/>
              <w:rPr>
                <w:sz w:val="20"/>
                <w:szCs w:val="20"/>
                <w:color w:val="auto"/>
              </w:rPr>
            </w:pPr>
            <w:r>
              <w:rPr>
                <w:rFonts w:ascii="Arial" w:cs="Arial" w:eastAsia="Arial" w:hAnsi="Arial"/>
                <w:sz w:val="16"/>
                <w:szCs w:val="16"/>
                <w:color w:val="auto"/>
              </w:rPr>
              <w:t>3,335</w:t>
            </w: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(309)</w:t>
            </w:r>
          </w:p>
        </w:tc>
        <w:tc>
          <w:tcPr>
            <w:tcW w:w="900" w:type="dxa"/>
            <w:vAlign w:val="bottom"/>
          </w:tcPr>
          <w:p>
            <w:pPr>
              <w:jc w:val="right"/>
              <w:spacing w:after="0"/>
              <w:rPr>
                <w:sz w:val="20"/>
                <w:szCs w:val="20"/>
                <w:color w:val="auto"/>
              </w:rPr>
            </w:pPr>
            <w:r>
              <w:rPr>
                <w:rFonts w:ascii="Arial" w:cs="Arial" w:eastAsia="Arial" w:hAnsi="Arial"/>
                <w:sz w:val="16"/>
                <w:szCs w:val="16"/>
                <w:color w:val="auto"/>
              </w:rPr>
              <w:t>29,291</w:t>
            </w:r>
          </w:p>
        </w:tc>
        <w:tc>
          <w:tcPr>
            <w:tcW w:w="0" w:type="dxa"/>
            <w:vAlign w:val="bottom"/>
          </w:tcPr>
          <w:p>
            <w:pPr>
              <w:spacing w:after="0"/>
              <w:rPr>
                <w:sz w:val="1"/>
                <w:szCs w:val="1"/>
                <w:color w:val="auto"/>
              </w:rPr>
            </w:pPr>
          </w:p>
        </w:tc>
      </w:tr>
      <w:tr>
        <w:trPr>
          <w:trHeight w:val="219"/>
        </w:trPr>
        <w:tc>
          <w:tcPr>
            <w:tcW w:w="374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95,750</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151,181</w:t>
            </w: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23,442</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37,133</w:t>
            </w: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16,544</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20,376</w:t>
            </w:r>
          </w:p>
        </w:tc>
        <w:tc>
          <w:tcPr>
            <w:tcW w:w="10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18,171</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362,597</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6" w:name="page107"/>
    <w:bookmarkEnd w:id="106"/>
    <w:tbl>
      <w:tblPr>
        <w:tblLayout w:type="fixed"/>
        <w:tblInd w:w="0" w:type="dxa"/>
        <w:tblCellMar>
          <w:top w:w="0" w:type="dxa"/>
          <w:left w:w="0" w:type="dxa"/>
          <w:bottom w:w="0" w:type="dxa"/>
          <w:right w:w="0" w:type="dxa"/>
        </w:tblCellMar>
      </w:tblPr>
      <w:tr>
        <w:trPr>
          <w:trHeight w:val="234"/>
        </w:trPr>
        <w:tc>
          <w:tcPr>
            <w:tcW w:w="7860" w:type="dxa"/>
            <w:vAlign w:val="bottom"/>
          </w:tcPr>
          <w:p>
            <w:pPr>
              <w:spacing w:after="0"/>
              <w:rPr>
                <w:sz w:val="20"/>
                <w:szCs w:val="20"/>
                <w:color w:val="auto"/>
              </w:rPr>
            </w:pPr>
            <w:r>
              <w:rPr>
                <w:rFonts w:ascii="Arial" w:cs="Arial" w:eastAsia="Arial" w:hAnsi="Arial"/>
                <w:sz w:val="18"/>
                <w:szCs w:val="18"/>
                <w:b w:val="1"/>
                <w:bCs w:val="1"/>
                <w:color w:val="auto"/>
              </w:rPr>
              <w:t>NOTES TO CONSOLIDATED FINANCIAL STATEMENTS</w:t>
            </w:r>
          </w:p>
        </w:tc>
        <w:tc>
          <w:tcPr>
            <w:tcW w:w="10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743"/>
        </w:trPr>
        <w:tc>
          <w:tcPr>
            <w:tcW w:w="7860" w:type="dxa"/>
            <w:vAlign w:val="bottom"/>
          </w:tcPr>
          <w:p>
            <w:pPr>
              <w:spacing w:after="0"/>
              <w:rPr>
                <w:sz w:val="20"/>
                <w:szCs w:val="20"/>
                <w:color w:val="auto"/>
              </w:rPr>
            </w:pPr>
            <w:r>
              <w:rPr>
                <w:rFonts w:ascii="Arial" w:cs="Arial" w:eastAsia="Arial" w:hAnsi="Arial"/>
                <w:sz w:val="18"/>
                <w:szCs w:val="18"/>
                <w:b w:val="1"/>
                <w:bCs w:val="1"/>
                <w:color w:val="auto"/>
              </w:rPr>
              <w:t>Geographic</w:t>
            </w:r>
          </w:p>
        </w:tc>
        <w:tc>
          <w:tcPr>
            <w:tcW w:w="10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38"/>
        </w:trPr>
        <w:tc>
          <w:tcPr>
            <w:tcW w:w="78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Sales and other operating revenue</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142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2020</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r>
      <w:tr>
        <w:trPr>
          <w:trHeight w:val="184"/>
        </w:trPr>
        <w:tc>
          <w:tcPr>
            <w:tcW w:w="78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20" w:type="dxa"/>
            <w:vAlign w:val="bottom"/>
          </w:tcPr>
          <w:p>
            <w:pPr>
              <w:jc w:val="right"/>
              <w:ind w:right="153"/>
              <w:spacing w:after="0"/>
              <w:rPr>
                <w:sz w:val="20"/>
                <w:szCs w:val="20"/>
                <w:color w:val="auto"/>
              </w:rPr>
            </w:pPr>
            <w:r>
              <w:rPr>
                <w:rFonts w:ascii="Arial" w:cs="Arial" w:eastAsia="Arial" w:hAnsi="Arial"/>
                <w:sz w:val="14"/>
                <w:szCs w:val="14"/>
                <w:i w:val="1"/>
                <w:iCs w:val="1"/>
                <w:color w:val="auto"/>
                <w:w w:val="99"/>
              </w:rPr>
              <w:t>(millions of dollars)</w:t>
            </w:r>
          </w:p>
        </w:tc>
        <w:tc>
          <w:tcPr>
            <w:tcW w:w="880" w:type="dxa"/>
            <w:vAlign w:val="bottom"/>
          </w:tcPr>
          <w:p>
            <w:pPr>
              <w:spacing w:after="0"/>
              <w:rPr>
                <w:sz w:val="16"/>
                <w:szCs w:val="16"/>
                <w:color w:val="auto"/>
              </w:rPr>
            </w:pPr>
          </w:p>
        </w:tc>
      </w:tr>
      <w:tr>
        <w:trPr>
          <w:trHeight w:val="268"/>
        </w:trPr>
        <w:tc>
          <w:tcPr>
            <w:tcW w:w="786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104,236</w:t>
            </w:r>
          </w:p>
        </w:tc>
        <w:tc>
          <w:tcPr>
            <w:tcW w:w="1420" w:type="dxa"/>
            <w:vAlign w:val="bottom"/>
          </w:tcPr>
          <w:p>
            <w:pPr>
              <w:jc w:val="right"/>
              <w:ind w:right="273"/>
              <w:spacing w:after="0"/>
              <w:rPr>
                <w:sz w:val="20"/>
                <w:szCs w:val="20"/>
                <w:color w:val="auto"/>
              </w:rPr>
            </w:pPr>
            <w:r>
              <w:rPr>
                <w:rFonts w:ascii="Arial" w:cs="Arial" w:eastAsia="Arial" w:hAnsi="Arial"/>
                <w:sz w:val="18"/>
                <w:szCs w:val="18"/>
                <w:color w:val="auto"/>
              </w:rPr>
              <w:t>62,663</w:t>
            </w:r>
          </w:p>
        </w:tc>
        <w:tc>
          <w:tcPr>
            <w:tcW w:w="880" w:type="dxa"/>
            <w:vAlign w:val="bottom"/>
          </w:tcPr>
          <w:p>
            <w:pPr>
              <w:jc w:val="right"/>
              <w:spacing w:after="0"/>
              <w:rPr>
                <w:sz w:val="20"/>
                <w:szCs w:val="20"/>
                <w:color w:val="auto"/>
              </w:rPr>
            </w:pPr>
            <w:r>
              <w:rPr>
                <w:rFonts w:ascii="Arial" w:cs="Arial" w:eastAsia="Arial" w:hAnsi="Arial"/>
                <w:sz w:val="18"/>
                <w:szCs w:val="18"/>
                <w:color w:val="auto"/>
              </w:rPr>
              <w:t>89,612</w:t>
            </w: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Non-U.S.</w:t>
            </w: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172,456</w:t>
            </w:r>
          </w:p>
        </w:tc>
        <w:tc>
          <w:tcPr>
            <w:tcW w:w="1420" w:type="dxa"/>
            <w:vAlign w:val="bottom"/>
            <w:tcBorders>
              <w:bottom w:val="single" w:sz="8" w:color="auto"/>
            </w:tcBorders>
          </w:tcPr>
          <w:p>
            <w:pPr>
              <w:jc w:val="right"/>
              <w:ind w:right="273"/>
              <w:spacing w:after="0"/>
              <w:rPr>
                <w:sz w:val="20"/>
                <w:szCs w:val="20"/>
                <w:color w:val="auto"/>
              </w:rPr>
            </w:pPr>
            <w:r>
              <w:rPr>
                <w:rFonts w:ascii="Arial" w:cs="Arial" w:eastAsia="Arial" w:hAnsi="Arial"/>
                <w:sz w:val="18"/>
                <w:szCs w:val="18"/>
                <w:color w:val="auto"/>
              </w:rPr>
              <w:t>115,911</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165,971</w:t>
            </w:r>
          </w:p>
        </w:tc>
      </w:tr>
      <w:tr>
        <w:trPr>
          <w:trHeight w:val="223"/>
        </w:trPr>
        <w:tc>
          <w:tcPr>
            <w:tcW w:w="7860" w:type="dxa"/>
            <w:vAlign w:val="bottom"/>
          </w:tcPr>
          <w:p>
            <w:pPr>
              <w:ind w:left="220"/>
              <w:spacing w:after="0"/>
              <w:rPr>
                <w:sz w:val="20"/>
                <w:szCs w:val="20"/>
                <w:color w:val="auto"/>
              </w:rPr>
            </w:pPr>
            <w:r>
              <w:rPr>
                <w:rFonts w:ascii="Arial" w:cs="Arial" w:eastAsia="Arial" w:hAnsi="Arial"/>
                <w:sz w:val="18"/>
                <w:szCs w:val="18"/>
                <w:color w:val="auto"/>
              </w:rPr>
              <w:t>Total</w:t>
            </w: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276,692</w:t>
            </w:r>
          </w:p>
        </w:tc>
        <w:tc>
          <w:tcPr>
            <w:tcW w:w="1420" w:type="dxa"/>
            <w:vAlign w:val="bottom"/>
            <w:tcBorders>
              <w:bottom w:val="single" w:sz="8" w:color="auto"/>
            </w:tcBorders>
          </w:tcPr>
          <w:p>
            <w:pPr>
              <w:jc w:val="right"/>
              <w:ind w:right="273"/>
              <w:spacing w:after="0"/>
              <w:rPr>
                <w:sz w:val="20"/>
                <w:szCs w:val="20"/>
                <w:color w:val="auto"/>
              </w:rPr>
            </w:pPr>
            <w:r>
              <w:rPr>
                <w:rFonts w:ascii="Arial" w:cs="Arial" w:eastAsia="Arial" w:hAnsi="Arial"/>
                <w:sz w:val="18"/>
                <w:szCs w:val="18"/>
                <w:color w:val="auto"/>
              </w:rPr>
              <w:t>178,574</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255,583</w:t>
            </w:r>
          </w:p>
        </w:tc>
      </w:tr>
      <w:tr>
        <w:trPr>
          <w:trHeight w:val="479"/>
        </w:trPr>
        <w:tc>
          <w:tcPr>
            <w:tcW w:w="7860" w:type="dxa"/>
            <w:vAlign w:val="bottom"/>
          </w:tcPr>
          <w:p>
            <w:pPr>
              <w:ind w:left="20"/>
              <w:spacing w:after="0"/>
              <w:rPr>
                <w:sz w:val="20"/>
                <w:szCs w:val="20"/>
                <w:color w:val="auto"/>
              </w:rPr>
            </w:pPr>
            <w:r>
              <w:rPr>
                <w:rFonts w:ascii="Arial" w:cs="Arial" w:eastAsia="Arial" w:hAnsi="Arial"/>
                <w:sz w:val="18"/>
                <w:szCs w:val="18"/>
                <w:color w:val="auto"/>
              </w:rPr>
              <w:t xml:space="preserve">Significant non-U.S. revenue sources include: </w:t>
            </w:r>
            <w:r>
              <w:rPr>
                <w:rFonts w:ascii="Arial" w:cs="Arial" w:eastAsia="Arial" w:hAnsi="Arial"/>
                <w:sz w:val="14"/>
                <w:szCs w:val="14"/>
                <w:i w:val="1"/>
                <w:iCs w:val="1"/>
                <w:color w:val="auto"/>
              </w:rPr>
              <w:t>(1)</w:t>
            </w:r>
          </w:p>
        </w:tc>
        <w:tc>
          <w:tcPr>
            <w:tcW w:w="10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29"/>
        </w:trPr>
        <w:tc>
          <w:tcPr>
            <w:tcW w:w="7860" w:type="dxa"/>
            <w:vAlign w:val="bottom"/>
          </w:tcPr>
          <w:p>
            <w:pPr>
              <w:ind w:left="220"/>
              <w:spacing w:after="0"/>
              <w:rPr>
                <w:sz w:val="20"/>
                <w:szCs w:val="20"/>
                <w:color w:val="auto"/>
              </w:rPr>
            </w:pPr>
            <w:r>
              <w:rPr>
                <w:rFonts w:ascii="Arial" w:cs="Arial" w:eastAsia="Arial" w:hAnsi="Arial"/>
                <w:sz w:val="18"/>
                <w:szCs w:val="18"/>
                <w:color w:val="auto"/>
              </w:rPr>
              <w:t>Canada</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22,166</w:t>
            </w:r>
          </w:p>
        </w:tc>
        <w:tc>
          <w:tcPr>
            <w:tcW w:w="1420" w:type="dxa"/>
            <w:vAlign w:val="bottom"/>
          </w:tcPr>
          <w:p>
            <w:pPr>
              <w:jc w:val="right"/>
              <w:ind w:right="273"/>
              <w:spacing w:after="0"/>
              <w:rPr>
                <w:sz w:val="20"/>
                <w:szCs w:val="20"/>
                <w:color w:val="auto"/>
              </w:rPr>
            </w:pPr>
            <w:r>
              <w:rPr>
                <w:rFonts w:ascii="Arial" w:cs="Arial" w:eastAsia="Arial" w:hAnsi="Arial"/>
                <w:sz w:val="18"/>
                <w:szCs w:val="18"/>
                <w:color w:val="auto"/>
              </w:rPr>
              <w:t>13,093</w:t>
            </w:r>
          </w:p>
        </w:tc>
        <w:tc>
          <w:tcPr>
            <w:tcW w:w="880" w:type="dxa"/>
            <w:vAlign w:val="bottom"/>
          </w:tcPr>
          <w:p>
            <w:pPr>
              <w:jc w:val="right"/>
              <w:spacing w:after="0"/>
              <w:rPr>
                <w:sz w:val="20"/>
                <w:szCs w:val="20"/>
                <w:color w:val="auto"/>
              </w:rPr>
            </w:pPr>
            <w:r>
              <w:rPr>
                <w:rFonts w:ascii="Arial" w:cs="Arial" w:eastAsia="Arial" w:hAnsi="Arial"/>
                <w:sz w:val="18"/>
                <w:szCs w:val="18"/>
                <w:color w:val="auto"/>
              </w:rPr>
              <w:t>19,735</w:t>
            </w:r>
          </w:p>
        </w:tc>
      </w:tr>
      <w:tr>
        <w:trPr>
          <w:trHeight w:val="230"/>
        </w:trPr>
        <w:tc>
          <w:tcPr>
            <w:tcW w:w="7860" w:type="dxa"/>
            <w:vAlign w:val="bottom"/>
          </w:tcPr>
          <w:p>
            <w:pPr>
              <w:ind w:left="220"/>
              <w:spacing w:after="0"/>
              <w:rPr>
                <w:sz w:val="20"/>
                <w:szCs w:val="20"/>
                <w:color w:val="auto"/>
              </w:rPr>
            </w:pPr>
            <w:r>
              <w:rPr>
                <w:rFonts w:ascii="Arial" w:cs="Arial" w:eastAsia="Arial" w:hAnsi="Arial"/>
                <w:sz w:val="18"/>
                <w:szCs w:val="18"/>
                <w:color w:val="auto"/>
              </w:rPr>
              <w:t>Singapore</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15,031</w:t>
            </w:r>
          </w:p>
        </w:tc>
        <w:tc>
          <w:tcPr>
            <w:tcW w:w="1420" w:type="dxa"/>
            <w:vAlign w:val="bottom"/>
          </w:tcPr>
          <w:p>
            <w:pPr>
              <w:jc w:val="right"/>
              <w:ind w:right="273"/>
              <w:spacing w:after="0"/>
              <w:rPr>
                <w:sz w:val="20"/>
                <w:szCs w:val="20"/>
                <w:color w:val="auto"/>
              </w:rPr>
            </w:pPr>
            <w:r>
              <w:rPr>
                <w:rFonts w:ascii="Arial" w:cs="Arial" w:eastAsia="Arial" w:hAnsi="Arial"/>
                <w:sz w:val="18"/>
                <w:szCs w:val="18"/>
                <w:color w:val="auto"/>
              </w:rPr>
              <w:t>9,442</w:t>
            </w:r>
          </w:p>
        </w:tc>
        <w:tc>
          <w:tcPr>
            <w:tcW w:w="880" w:type="dxa"/>
            <w:vAlign w:val="bottom"/>
          </w:tcPr>
          <w:p>
            <w:pPr>
              <w:jc w:val="right"/>
              <w:spacing w:after="0"/>
              <w:rPr>
                <w:sz w:val="20"/>
                <w:szCs w:val="20"/>
                <w:color w:val="auto"/>
              </w:rPr>
            </w:pPr>
            <w:r>
              <w:rPr>
                <w:rFonts w:ascii="Arial" w:cs="Arial" w:eastAsia="Arial" w:hAnsi="Arial"/>
                <w:sz w:val="18"/>
                <w:szCs w:val="18"/>
                <w:color w:val="auto"/>
              </w:rPr>
              <w:t>12,128</w:t>
            </w:r>
          </w:p>
        </w:tc>
      </w:tr>
      <w:tr>
        <w:trPr>
          <w:trHeight w:val="229"/>
        </w:trPr>
        <w:tc>
          <w:tcPr>
            <w:tcW w:w="7860" w:type="dxa"/>
            <w:vAlign w:val="bottom"/>
          </w:tcPr>
          <w:p>
            <w:pPr>
              <w:ind w:left="220"/>
              <w:spacing w:after="0"/>
              <w:rPr>
                <w:sz w:val="20"/>
                <w:szCs w:val="20"/>
                <w:color w:val="auto"/>
              </w:rPr>
            </w:pPr>
            <w:r>
              <w:rPr>
                <w:rFonts w:ascii="Arial" w:cs="Arial" w:eastAsia="Arial" w:hAnsi="Arial"/>
                <w:sz w:val="18"/>
                <w:szCs w:val="18"/>
                <w:color w:val="auto"/>
              </w:rPr>
              <w:t>United Kingdom</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14,759</w:t>
            </w:r>
          </w:p>
        </w:tc>
        <w:tc>
          <w:tcPr>
            <w:tcW w:w="1420" w:type="dxa"/>
            <w:vAlign w:val="bottom"/>
          </w:tcPr>
          <w:p>
            <w:pPr>
              <w:jc w:val="right"/>
              <w:ind w:right="273"/>
              <w:spacing w:after="0"/>
              <w:rPr>
                <w:sz w:val="20"/>
                <w:szCs w:val="20"/>
                <w:color w:val="auto"/>
              </w:rPr>
            </w:pPr>
            <w:r>
              <w:rPr>
                <w:rFonts w:ascii="Arial" w:cs="Arial" w:eastAsia="Arial" w:hAnsi="Arial"/>
                <w:sz w:val="18"/>
                <w:szCs w:val="18"/>
                <w:color w:val="auto"/>
              </w:rPr>
              <w:t>11,055</w:t>
            </w:r>
          </w:p>
        </w:tc>
        <w:tc>
          <w:tcPr>
            <w:tcW w:w="880" w:type="dxa"/>
            <w:vAlign w:val="bottom"/>
          </w:tcPr>
          <w:p>
            <w:pPr>
              <w:jc w:val="right"/>
              <w:spacing w:after="0"/>
              <w:rPr>
                <w:sz w:val="20"/>
                <w:szCs w:val="20"/>
                <w:color w:val="auto"/>
              </w:rPr>
            </w:pPr>
            <w:r>
              <w:rPr>
                <w:rFonts w:ascii="Arial" w:cs="Arial" w:eastAsia="Arial" w:hAnsi="Arial"/>
                <w:sz w:val="18"/>
                <w:szCs w:val="18"/>
                <w:color w:val="auto"/>
              </w:rPr>
              <w:t>17,479</w:t>
            </w:r>
          </w:p>
        </w:tc>
      </w:tr>
      <w:tr>
        <w:trPr>
          <w:trHeight w:val="229"/>
        </w:trPr>
        <w:tc>
          <w:tcPr>
            <w:tcW w:w="7860" w:type="dxa"/>
            <w:vAlign w:val="bottom"/>
          </w:tcPr>
          <w:p>
            <w:pPr>
              <w:ind w:left="220"/>
              <w:spacing w:after="0"/>
              <w:rPr>
                <w:sz w:val="20"/>
                <w:szCs w:val="20"/>
                <w:color w:val="auto"/>
              </w:rPr>
            </w:pPr>
            <w:r>
              <w:rPr>
                <w:rFonts w:ascii="Arial" w:cs="Arial" w:eastAsia="Arial" w:hAnsi="Arial"/>
                <w:sz w:val="18"/>
                <w:szCs w:val="18"/>
                <w:color w:val="auto"/>
              </w:rPr>
              <w:t>France</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13,236</w:t>
            </w:r>
          </w:p>
        </w:tc>
        <w:tc>
          <w:tcPr>
            <w:tcW w:w="1420" w:type="dxa"/>
            <w:vAlign w:val="bottom"/>
          </w:tcPr>
          <w:p>
            <w:pPr>
              <w:jc w:val="right"/>
              <w:ind w:right="273"/>
              <w:spacing w:after="0"/>
              <w:rPr>
                <w:sz w:val="20"/>
                <w:szCs w:val="20"/>
                <w:color w:val="auto"/>
              </w:rPr>
            </w:pPr>
            <w:r>
              <w:rPr>
                <w:rFonts w:ascii="Arial" w:cs="Arial" w:eastAsia="Arial" w:hAnsi="Arial"/>
                <w:sz w:val="18"/>
                <w:szCs w:val="18"/>
                <w:color w:val="auto"/>
              </w:rPr>
              <w:t>8,676</w:t>
            </w:r>
          </w:p>
        </w:tc>
        <w:tc>
          <w:tcPr>
            <w:tcW w:w="880" w:type="dxa"/>
            <w:vAlign w:val="bottom"/>
          </w:tcPr>
          <w:p>
            <w:pPr>
              <w:jc w:val="right"/>
              <w:spacing w:after="0"/>
              <w:rPr>
                <w:sz w:val="20"/>
                <w:szCs w:val="20"/>
                <w:color w:val="auto"/>
              </w:rPr>
            </w:pPr>
            <w:r>
              <w:rPr>
                <w:rFonts w:ascii="Arial" w:cs="Arial" w:eastAsia="Arial" w:hAnsi="Arial"/>
                <w:sz w:val="18"/>
                <w:szCs w:val="18"/>
                <w:color w:val="auto"/>
              </w:rPr>
              <w:t>12,740</w:t>
            </w:r>
          </w:p>
        </w:tc>
      </w:tr>
      <w:tr>
        <w:trPr>
          <w:trHeight w:val="230"/>
        </w:trPr>
        <w:tc>
          <w:tcPr>
            <w:tcW w:w="7860" w:type="dxa"/>
            <w:vAlign w:val="bottom"/>
          </w:tcPr>
          <w:p>
            <w:pPr>
              <w:ind w:left="220"/>
              <w:spacing w:after="0"/>
              <w:rPr>
                <w:sz w:val="20"/>
                <w:szCs w:val="20"/>
                <w:color w:val="auto"/>
              </w:rPr>
            </w:pPr>
            <w:r>
              <w:rPr>
                <w:rFonts w:ascii="Arial" w:cs="Arial" w:eastAsia="Arial" w:hAnsi="Arial"/>
                <w:sz w:val="18"/>
                <w:szCs w:val="18"/>
                <w:color w:val="auto"/>
              </w:rPr>
              <w:t>Italy</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10,056</w:t>
            </w:r>
          </w:p>
        </w:tc>
        <w:tc>
          <w:tcPr>
            <w:tcW w:w="1420" w:type="dxa"/>
            <w:vAlign w:val="bottom"/>
          </w:tcPr>
          <w:p>
            <w:pPr>
              <w:jc w:val="right"/>
              <w:ind w:right="273"/>
              <w:spacing w:after="0"/>
              <w:rPr>
                <w:sz w:val="20"/>
                <w:szCs w:val="20"/>
                <w:color w:val="auto"/>
              </w:rPr>
            </w:pPr>
            <w:r>
              <w:rPr>
                <w:rFonts w:ascii="Arial" w:cs="Arial" w:eastAsia="Arial" w:hAnsi="Arial"/>
                <w:sz w:val="18"/>
                <w:szCs w:val="18"/>
                <w:color w:val="auto"/>
              </w:rPr>
              <w:t>7,091</w:t>
            </w:r>
          </w:p>
        </w:tc>
        <w:tc>
          <w:tcPr>
            <w:tcW w:w="880" w:type="dxa"/>
            <w:vAlign w:val="bottom"/>
          </w:tcPr>
          <w:p>
            <w:pPr>
              <w:jc w:val="right"/>
              <w:spacing w:after="0"/>
              <w:rPr>
                <w:sz w:val="20"/>
                <w:szCs w:val="20"/>
                <w:color w:val="auto"/>
              </w:rPr>
            </w:pPr>
            <w:r>
              <w:rPr>
                <w:rFonts w:ascii="Arial" w:cs="Arial" w:eastAsia="Arial" w:hAnsi="Arial"/>
                <w:sz w:val="18"/>
                <w:szCs w:val="18"/>
                <w:color w:val="auto"/>
              </w:rPr>
              <w:t>10,459</w:t>
            </w:r>
          </w:p>
        </w:tc>
      </w:tr>
      <w:tr>
        <w:trPr>
          <w:trHeight w:val="229"/>
        </w:trPr>
        <w:tc>
          <w:tcPr>
            <w:tcW w:w="7860" w:type="dxa"/>
            <w:vAlign w:val="bottom"/>
          </w:tcPr>
          <w:p>
            <w:pPr>
              <w:ind w:left="220"/>
              <w:spacing w:after="0"/>
              <w:rPr>
                <w:sz w:val="20"/>
                <w:szCs w:val="20"/>
                <w:color w:val="auto"/>
              </w:rPr>
            </w:pPr>
            <w:r>
              <w:rPr>
                <w:rFonts w:ascii="Arial" w:cs="Arial" w:eastAsia="Arial" w:hAnsi="Arial"/>
                <w:sz w:val="18"/>
                <w:szCs w:val="18"/>
                <w:color w:val="auto"/>
              </w:rPr>
              <w:t>Belgium</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9,153</w:t>
            </w:r>
          </w:p>
        </w:tc>
        <w:tc>
          <w:tcPr>
            <w:tcW w:w="1420" w:type="dxa"/>
            <w:vAlign w:val="bottom"/>
          </w:tcPr>
          <w:p>
            <w:pPr>
              <w:jc w:val="right"/>
              <w:ind w:right="273"/>
              <w:spacing w:after="0"/>
              <w:rPr>
                <w:sz w:val="20"/>
                <w:szCs w:val="20"/>
                <w:color w:val="auto"/>
              </w:rPr>
            </w:pPr>
            <w:r>
              <w:rPr>
                <w:rFonts w:ascii="Arial" w:cs="Arial" w:eastAsia="Arial" w:hAnsi="Arial"/>
                <w:sz w:val="18"/>
                <w:szCs w:val="18"/>
                <w:color w:val="auto"/>
              </w:rPr>
              <w:t>6,231</w:t>
            </w:r>
          </w:p>
        </w:tc>
        <w:tc>
          <w:tcPr>
            <w:tcW w:w="880" w:type="dxa"/>
            <w:vAlign w:val="bottom"/>
          </w:tcPr>
          <w:p>
            <w:pPr>
              <w:jc w:val="right"/>
              <w:spacing w:after="0"/>
              <w:rPr>
                <w:sz w:val="20"/>
                <w:szCs w:val="20"/>
                <w:color w:val="auto"/>
              </w:rPr>
            </w:pPr>
            <w:r>
              <w:rPr>
                <w:rFonts w:ascii="Arial" w:cs="Arial" w:eastAsia="Arial" w:hAnsi="Arial"/>
                <w:sz w:val="18"/>
                <w:szCs w:val="18"/>
                <w:color w:val="auto"/>
              </w:rPr>
              <w:t>11,644</w:t>
            </w:r>
          </w:p>
        </w:tc>
      </w:tr>
      <w:tr>
        <w:trPr>
          <w:trHeight w:val="230"/>
        </w:trPr>
        <w:tc>
          <w:tcPr>
            <w:tcW w:w="7860" w:type="dxa"/>
            <w:vAlign w:val="bottom"/>
          </w:tcPr>
          <w:p>
            <w:pPr>
              <w:ind w:left="220"/>
              <w:spacing w:after="0"/>
              <w:rPr>
                <w:sz w:val="20"/>
                <w:szCs w:val="20"/>
                <w:color w:val="auto"/>
              </w:rPr>
            </w:pPr>
            <w:r>
              <w:rPr>
                <w:rFonts w:ascii="Arial" w:cs="Arial" w:eastAsia="Arial" w:hAnsi="Arial"/>
                <w:sz w:val="18"/>
                <w:szCs w:val="18"/>
                <w:color w:val="auto"/>
              </w:rPr>
              <w:t>Australia</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7,646</w:t>
            </w:r>
          </w:p>
        </w:tc>
        <w:tc>
          <w:tcPr>
            <w:tcW w:w="1420" w:type="dxa"/>
            <w:vAlign w:val="bottom"/>
          </w:tcPr>
          <w:p>
            <w:pPr>
              <w:jc w:val="right"/>
              <w:ind w:right="273"/>
              <w:spacing w:after="0"/>
              <w:rPr>
                <w:sz w:val="20"/>
                <w:szCs w:val="20"/>
                <w:color w:val="auto"/>
              </w:rPr>
            </w:pPr>
            <w:r>
              <w:rPr>
                <w:rFonts w:ascii="Arial" w:cs="Arial" w:eastAsia="Arial" w:hAnsi="Arial"/>
                <w:sz w:val="18"/>
                <w:szCs w:val="18"/>
                <w:color w:val="auto"/>
              </w:rPr>
              <w:t>5,839</w:t>
            </w:r>
          </w:p>
        </w:tc>
        <w:tc>
          <w:tcPr>
            <w:tcW w:w="880" w:type="dxa"/>
            <w:vAlign w:val="bottom"/>
          </w:tcPr>
          <w:p>
            <w:pPr>
              <w:jc w:val="right"/>
              <w:spacing w:after="0"/>
              <w:rPr>
                <w:sz w:val="20"/>
                <w:szCs w:val="20"/>
                <w:color w:val="auto"/>
              </w:rPr>
            </w:pPr>
            <w:r>
              <w:rPr>
                <w:rFonts w:ascii="Arial" w:cs="Arial" w:eastAsia="Arial" w:hAnsi="Arial"/>
                <w:sz w:val="18"/>
                <w:szCs w:val="18"/>
                <w:color w:val="auto"/>
              </w:rPr>
              <w:t>7,941</w:t>
            </w:r>
          </w:p>
        </w:tc>
      </w:tr>
    </w:tbl>
    <w:p>
      <w:pPr>
        <w:spacing w:after="0" w:line="175" w:lineRule="exact"/>
        <w:rPr>
          <w:sz w:val="20"/>
          <w:szCs w:val="20"/>
          <w:color w:val="auto"/>
        </w:rPr>
      </w:pPr>
    </w:p>
    <w:p>
      <w:pPr>
        <w:ind w:left="260" w:right="20" w:hanging="252"/>
        <w:spacing w:after="0" w:line="277" w:lineRule="auto"/>
        <w:tabs>
          <w:tab w:leader="none" w:pos="254" w:val="left"/>
        </w:tabs>
        <w:numPr>
          <w:ilvl w:val="0"/>
          <w:numId w:val="31"/>
        </w:numPr>
        <w:rPr>
          <w:rFonts w:ascii="Arial" w:cs="Arial" w:eastAsia="Arial" w:hAnsi="Arial"/>
          <w:sz w:val="18"/>
          <w:szCs w:val="18"/>
          <w:i w:val="1"/>
          <w:iCs w:val="1"/>
          <w:color w:val="auto"/>
        </w:rPr>
      </w:pPr>
      <w:r>
        <w:rPr>
          <w:rFonts w:ascii="Arial" w:cs="Arial" w:eastAsia="Arial" w:hAnsi="Arial"/>
          <w:sz w:val="18"/>
          <w:szCs w:val="18"/>
          <w:i w:val="1"/>
          <w:iCs w:val="1"/>
          <w:color w:val="auto"/>
        </w:rPr>
        <w:t>Revenue is determined by primary country of operations. Excludes certain sales and other operating revenues in Non-U.S. operations where attribution to a specific country is not practicable.</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20" w:type="dxa"/>
            <w:vAlign w:val="bottom"/>
          </w:tcPr>
          <w:p>
            <w:pPr>
              <w:jc w:val="right"/>
              <w:ind w:right="293"/>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Pr>
          <w:p>
            <w:pPr>
              <w:spacing w:after="0"/>
              <w:rPr>
                <w:sz w:val="16"/>
                <w:szCs w:val="16"/>
                <w:color w:val="auto"/>
              </w:rPr>
            </w:pPr>
          </w:p>
        </w:tc>
      </w:tr>
      <w:tr>
        <w:trPr>
          <w:trHeight w:val="242"/>
        </w:trPr>
        <w:tc>
          <w:tcPr>
            <w:tcW w:w="78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Long-lived assets</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142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2020</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r>
      <w:tr>
        <w:trPr>
          <w:trHeight w:val="184"/>
        </w:trPr>
        <w:tc>
          <w:tcPr>
            <w:tcW w:w="78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20" w:type="dxa"/>
            <w:vAlign w:val="bottom"/>
          </w:tcPr>
          <w:p>
            <w:pPr>
              <w:jc w:val="right"/>
              <w:ind w:right="153"/>
              <w:spacing w:after="0"/>
              <w:rPr>
                <w:sz w:val="20"/>
                <w:szCs w:val="20"/>
                <w:color w:val="auto"/>
              </w:rPr>
            </w:pPr>
            <w:r>
              <w:rPr>
                <w:rFonts w:ascii="Arial" w:cs="Arial" w:eastAsia="Arial" w:hAnsi="Arial"/>
                <w:sz w:val="14"/>
                <w:szCs w:val="14"/>
                <w:i w:val="1"/>
                <w:iCs w:val="1"/>
                <w:color w:val="auto"/>
                <w:w w:val="99"/>
              </w:rPr>
              <w:t>(millions of dollars)</w:t>
            </w:r>
          </w:p>
        </w:tc>
        <w:tc>
          <w:tcPr>
            <w:tcW w:w="880" w:type="dxa"/>
            <w:vAlign w:val="bottom"/>
          </w:tcPr>
          <w:p>
            <w:pPr>
              <w:spacing w:after="0"/>
              <w:rPr>
                <w:sz w:val="16"/>
                <w:szCs w:val="16"/>
                <w:color w:val="auto"/>
              </w:rPr>
            </w:pPr>
          </w:p>
        </w:tc>
      </w:tr>
      <w:tr>
        <w:trPr>
          <w:trHeight w:val="268"/>
        </w:trPr>
        <w:tc>
          <w:tcPr>
            <w:tcW w:w="786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90,412</w:t>
            </w:r>
          </w:p>
        </w:tc>
        <w:tc>
          <w:tcPr>
            <w:tcW w:w="1420" w:type="dxa"/>
            <w:vAlign w:val="bottom"/>
          </w:tcPr>
          <w:p>
            <w:pPr>
              <w:jc w:val="right"/>
              <w:ind w:right="273"/>
              <w:spacing w:after="0"/>
              <w:rPr>
                <w:sz w:val="20"/>
                <w:szCs w:val="20"/>
                <w:color w:val="auto"/>
              </w:rPr>
            </w:pPr>
            <w:r>
              <w:rPr>
                <w:rFonts w:ascii="Arial" w:cs="Arial" w:eastAsia="Arial" w:hAnsi="Arial"/>
                <w:sz w:val="18"/>
                <w:szCs w:val="18"/>
                <w:color w:val="auto"/>
              </w:rPr>
              <w:t>94,732</w:t>
            </w:r>
          </w:p>
        </w:tc>
        <w:tc>
          <w:tcPr>
            <w:tcW w:w="880" w:type="dxa"/>
            <w:vAlign w:val="bottom"/>
          </w:tcPr>
          <w:p>
            <w:pPr>
              <w:jc w:val="right"/>
              <w:spacing w:after="0"/>
              <w:rPr>
                <w:sz w:val="20"/>
                <w:szCs w:val="20"/>
                <w:color w:val="auto"/>
              </w:rPr>
            </w:pPr>
            <w:r>
              <w:rPr>
                <w:rFonts w:ascii="Arial" w:cs="Arial" w:eastAsia="Arial" w:hAnsi="Arial"/>
                <w:sz w:val="18"/>
                <w:szCs w:val="18"/>
                <w:color w:val="auto"/>
              </w:rPr>
              <w:t>114,372</w:t>
            </w: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Non-U.S.</w:t>
            </w: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126,140</w:t>
            </w:r>
          </w:p>
        </w:tc>
        <w:tc>
          <w:tcPr>
            <w:tcW w:w="1420" w:type="dxa"/>
            <w:vAlign w:val="bottom"/>
            <w:tcBorders>
              <w:bottom w:val="single" w:sz="8" w:color="auto"/>
            </w:tcBorders>
          </w:tcPr>
          <w:p>
            <w:pPr>
              <w:jc w:val="right"/>
              <w:ind w:right="273"/>
              <w:spacing w:after="0"/>
              <w:rPr>
                <w:sz w:val="20"/>
                <w:szCs w:val="20"/>
                <w:color w:val="auto"/>
              </w:rPr>
            </w:pPr>
            <w:r>
              <w:rPr>
                <w:rFonts w:ascii="Arial" w:cs="Arial" w:eastAsia="Arial" w:hAnsi="Arial"/>
                <w:sz w:val="18"/>
                <w:szCs w:val="18"/>
                <w:color w:val="auto"/>
              </w:rPr>
              <w:t>132,821</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138,646</w:t>
            </w:r>
          </w:p>
        </w:tc>
      </w:tr>
      <w:tr>
        <w:trPr>
          <w:trHeight w:val="223"/>
        </w:trPr>
        <w:tc>
          <w:tcPr>
            <w:tcW w:w="7860" w:type="dxa"/>
            <w:vAlign w:val="bottom"/>
          </w:tcPr>
          <w:p>
            <w:pPr>
              <w:ind w:left="220"/>
              <w:spacing w:after="0"/>
              <w:rPr>
                <w:sz w:val="20"/>
                <w:szCs w:val="20"/>
                <w:color w:val="auto"/>
              </w:rPr>
            </w:pPr>
            <w:r>
              <w:rPr>
                <w:rFonts w:ascii="Arial" w:cs="Arial" w:eastAsia="Arial" w:hAnsi="Arial"/>
                <w:sz w:val="18"/>
                <w:szCs w:val="18"/>
                <w:color w:val="auto"/>
              </w:rPr>
              <w:t>Total</w:t>
            </w: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216,552</w:t>
            </w:r>
          </w:p>
        </w:tc>
        <w:tc>
          <w:tcPr>
            <w:tcW w:w="1420" w:type="dxa"/>
            <w:vAlign w:val="bottom"/>
            <w:tcBorders>
              <w:bottom w:val="single" w:sz="8" w:color="auto"/>
            </w:tcBorders>
          </w:tcPr>
          <w:p>
            <w:pPr>
              <w:jc w:val="right"/>
              <w:ind w:right="273"/>
              <w:spacing w:after="0"/>
              <w:rPr>
                <w:sz w:val="20"/>
                <w:szCs w:val="20"/>
                <w:color w:val="auto"/>
              </w:rPr>
            </w:pPr>
            <w:r>
              <w:rPr>
                <w:rFonts w:ascii="Arial" w:cs="Arial" w:eastAsia="Arial" w:hAnsi="Arial"/>
                <w:sz w:val="18"/>
                <w:szCs w:val="18"/>
                <w:color w:val="auto"/>
              </w:rPr>
              <w:t>227,553</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253,018</w:t>
            </w:r>
          </w:p>
        </w:tc>
      </w:tr>
      <w:tr>
        <w:trPr>
          <w:trHeight w:val="479"/>
        </w:trPr>
        <w:tc>
          <w:tcPr>
            <w:tcW w:w="7860" w:type="dxa"/>
            <w:vAlign w:val="bottom"/>
          </w:tcPr>
          <w:p>
            <w:pPr>
              <w:ind w:left="20"/>
              <w:spacing w:after="0"/>
              <w:rPr>
                <w:sz w:val="20"/>
                <w:szCs w:val="20"/>
                <w:color w:val="auto"/>
              </w:rPr>
            </w:pPr>
            <w:r>
              <w:rPr>
                <w:rFonts w:ascii="Arial" w:cs="Arial" w:eastAsia="Arial" w:hAnsi="Arial"/>
                <w:sz w:val="18"/>
                <w:szCs w:val="18"/>
                <w:color w:val="auto"/>
              </w:rPr>
              <w:t>Significant non-U.S. long-lived assets include:</w:t>
            </w:r>
          </w:p>
        </w:tc>
        <w:tc>
          <w:tcPr>
            <w:tcW w:w="10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30"/>
        </w:trPr>
        <w:tc>
          <w:tcPr>
            <w:tcW w:w="7860" w:type="dxa"/>
            <w:vAlign w:val="bottom"/>
          </w:tcPr>
          <w:p>
            <w:pPr>
              <w:ind w:left="220"/>
              <w:spacing w:after="0"/>
              <w:rPr>
                <w:sz w:val="20"/>
                <w:szCs w:val="20"/>
                <w:color w:val="auto"/>
              </w:rPr>
            </w:pPr>
            <w:r>
              <w:rPr>
                <w:rFonts w:ascii="Arial" w:cs="Arial" w:eastAsia="Arial" w:hAnsi="Arial"/>
                <w:sz w:val="18"/>
                <w:szCs w:val="18"/>
                <w:color w:val="auto"/>
              </w:rPr>
              <w:t>Canada</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34,907</w:t>
            </w:r>
          </w:p>
        </w:tc>
        <w:tc>
          <w:tcPr>
            <w:tcW w:w="1420" w:type="dxa"/>
            <w:vAlign w:val="bottom"/>
          </w:tcPr>
          <w:p>
            <w:pPr>
              <w:jc w:val="right"/>
              <w:ind w:right="273"/>
              <w:spacing w:after="0"/>
              <w:rPr>
                <w:sz w:val="20"/>
                <w:szCs w:val="20"/>
                <w:color w:val="auto"/>
              </w:rPr>
            </w:pPr>
            <w:r>
              <w:rPr>
                <w:rFonts w:ascii="Arial" w:cs="Arial" w:eastAsia="Arial" w:hAnsi="Arial"/>
                <w:sz w:val="18"/>
                <w:szCs w:val="18"/>
                <w:color w:val="auto"/>
              </w:rPr>
              <w:t>36,232</w:t>
            </w:r>
          </w:p>
        </w:tc>
        <w:tc>
          <w:tcPr>
            <w:tcW w:w="880" w:type="dxa"/>
            <w:vAlign w:val="bottom"/>
          </w:tcPr>
          <w:p>
            <w:pPr>
              <w:jc w:val="right"/>
              <w:spacing w:after="0"/>
              <w:rPr>
                <w:sz w:val="20"/>
                <w:szCs w:val="20"/>
                <w:color w:val="auto"/>
              </w:rPr>
            </w:pPr>
            <w:r>
              <w:rPr>
                <w:rFonts w:ascii="Arial" w:cs="Arial" w:eastAsia="Arial" w:hAnsi="Arial"/>
                <w:sz w:val="18"/>
                <w:szCs w:val="18"/>
                <w:color w:val="auto"/>
              </w:rPr>
              <w:t>39,130</w:t>
            </w:r>
          </w:p>
        </w:tc>
      </w:tr>
      <w:tr>
        <w:trPr>
          <w:trHeight w:val="230"/>
        </w:trPr>
        <w:tc>
          <w:tcPr>
            <w:tcW w:w="7860" w:type="dxa"/>
            <w:vAlign w:val="bottom"/>
          </w:tcPr>
          <w:p>
            <w:pPr>
              <w:ind w:left="220"/>
              <w:spacing w:after="0"/>
              <w:rPr>
                <w:sz w:val="20"/>
                <w:szCs w:val="20"/>
                <w:color w:val="auto"/>
              </w:rPr>
            </w:pPr>
            <w:r>
              <w:rPr>
                <w:rFonts w:ascii="Arial" w:cs="Arial" w:eastAsia="Arial" w:hAnsi="Arial"/>
                <w:sz w:val="18"/>
                <w:szCs w:val="18"/>
                <w:color w:val="auto"/>
              </w:rPr>
              <w:t>Australia</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12,988</w:t>
            </w:r>
          </w:p>
        </w:tc>
        <w:tc>
          <w:tcPr>
            <w:tcW w:w="1420" w:type="dxa"/>
            <w:vAlign w:val="bottom"/>
          </w:tcPr>
          <w:p>
            <w:pPr>
              <w:jc w:val="right"/>
              <w:ind w:right="273"/>
              <w:spacing w:after="0"/>
              <w:rPr>
                <w:sz w:val="20"/>
                <w:szCs w:val="20"/>
                <w:color w:val="auto"/>
              </w:rPr>
            </w:pPr>
            <w:r>
              <w:rPr>
                <w:rFonts w:ascii="Arial" w:cs="Arial" w:eastAsia="Arial" w:hAnsi="Arial"/>
                <w:sz w:val="18"/>
                <w:szCs w:val="18"/>
                <w:color w:val="auto"/>
              </w:rPr>
              <w:t>14,792</w:t>
            </w:r>
          </w:p>
        </w:tc>
        <w:tc>
          <w:tcPr>
            <w:tcW w:w="880" w:type="dxa"/>
            <w:vAlign w:val="bottom"/>
          </w:tcPr>
          <w:p>
            <w:pPr>
              <w:jc w:val="right"/>
              <w:spacing w:after="0"/>
              <w:rPr>
                <w:sz w:val="20"/>
                <w:szCs w:val="20"/>
                <w:color w:val="auto"/>
              </w:rPr>
            </w:pPr>
            <w:r>
              <w:rPr>
                <w:rFonts w:ascii="Arial" w:cs="Arial" w:eastAsia="Arial" w:hAnsi="Arial"/>
                <w:sz w:val="18"/>
                <w:szCs w:val="18"/>
                <w:color w:val="auto"/>
              </w:rPr>
              <w:t>13,933</w:t>
            </w:r>
          </w:p>
        </w:tc>
      </w:tr>
      <w:tr>
        <w:trPr>
          <w:trHeight w:val="230"/>
        </w:trPr>
        <w:tc>
          <w:tcPr>
            <w:tcW w:w="7860" w:type="dxa"/>
            <w:vAlign w:val="bottom"/>
          </w:tcPr>
          <w:p>
            <w:pPr>
              <w:ind w:left="220"/>
              <w:spacing w:after="0"/>
              <w:rPr>
                <w:sz w:val="20"/>
                <w:szCs w:val="20"/>
                <w:color w:val="auto"/>
              </w:rPr>
            </w:pPr>
            <w:r>
              <w:rPr>
                <w:rFonts w:ascii="Arial" w:cs="Arial" w:eastAsia="Arial" w:hAnsi="Arial"/>
                <w:sz w:val="18"/>
                <w:szCs w:val="18"/>
                <w:color w:val="auto"/>
              </w:rPr>
              <w:t>Singapore</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11,969</w:t>
            </w:r>
          </w:p>
        </w:tc>
        <w:tc>
          <w:tcPr>
            <w:tcW w:w="1420" w:type="dxa"/>
            <w:vAlign w:val="bottom"/>
          </w:tcPr>
          <w:p>
            <w:pPr>
              <w:jc w:val="right"/>
              <w:ind w:right="273"/>
              <w:spacing w:after="0"/>
              <w:rPr>
                <w:sz w:val="20"/>
                <w:szCs w:val="20"/>
                <w:color w:val="auto"/>
              </w:rPr>
            </w:pPr>
            <w:r>
              <w:rPr>
                <w:rFonts w:ascii="Arial" w:cs="Arial" w:eastAsia="Arial" w:hAnsi="Arial"/>
                <w:sz w:val="18"/>
                <w:szCs w:val="18"/>
                <w:color w:val="auto"/>
              </w:rPr>
              <w:t>12,129</w:t>
            </w:r>
          </w:p>
        </w:tc>
        <w:tc>
          <w:tcPr>
            <w:tcW w:w="880" w:type="dxa"/>
            <w:vAlign w:val="bottom"/>
          </w:tcPr>
          <w:p>
            <w:pPr>
              <w:jc w:val="right"/>
              <w:spacing w:after="0"/>
              <w:rPr>
                <w:sz w:val="20"/>
                <w:szCs w:val="20"/>
                <w:color w:val="auto"/>
              </w:rPr>
            </w:pPr>
            <w:r>
              <w:rPr>
                <w:rFonts w:ascii="Arial" w:cs="Arial" w:eastAsia="Arial" w:hAnsi="Arial"/>
                <w:sz w:val="18"/>
                <w:szCs w:val="18"/>
                <w:color w:val="auto"/>
              </w:rPr>
              <w:t>11,645</w:t>
            </w:r>
          </w:p>
        </w:tc>
      </w:tr>
      <w:tr>
        <w:trPr>
          <w:trHeight w:val="229"/>
        </w:trPr>
        <w:tc>
          <w:tcPr>
            <w:tcW w:w="7860" w:type="dxa"/>
            <w:vAlign w:val="bottom"/>
          </w:tcPr>
          <w:p>
            <w:pPr>
              <w:ind w:left="220"/>
              <w:spacing w:after="0"/>
              <w:rPr>
                <w:sz w:val="20"/>
                <w:szCs w:val="20"/>
                <w:color w:val="auto"/>
              </w:rPr>
            </w:pPr>
            <w:r>
              <w:rPr>
                <w:rFonts w:ascii="Arial" w:cs="Arial" w:eastAsia="Arial" w:hAnsi="Arial"/>
                <w:sz w:val="18"/>
                <w:szCs w:val="18"/>
                <w:color w:val="auto"/>
              </w:rPr>
              <w:t>Kazakhstan</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8,463</w:t>
            </w:r>
          </w:p>
        </w:tc>
        <w:tc>
          <w:tcPr>
            <w:tcW w:w="1420" w:type="dxa"/>
            <w:vAlign w:val="bottom"/>
          </w:tcPr>
          <w:p>
            <w:pPr>
              <w:jc w:val="right"/>
              <w:ind w:right="273"/>
              <w:spacing w:after="0"/>
              <w:rPr>
                <w:sz w:val="20"/>
                <w:szCs w:val="20"/>
                <w:color w:val="auto"/>
              </w:rPr>
            </w:pPr>
            <w:r>
              <w:rPr>
                <w:rFonts w:ascii="Arial" w:cs="Arial" w:eastAsia="Arial" w:hAnsi="Arial"/>
                <w:sz w:val="18"/>
                <w:szCs w:val="18"/>
                <w:color w:val="auto"/>
              </w:rPr>
              <w:t>8,882</w:t>
            </w:r>
          </w:p>
        </w:tc>
        <w:tc>
          <w:tcPr>
            <w:tcW w:w="880" w:type="dxa"/>
            <w:vAlign w:val="bottom"/>
          </w:tcPr>
          <w:p>
            <w:pPr>
              <w:jc w:val="right"/>
              <w:spacing w:after="0"/>
              <w:rPr>
                <w:sz w:val="20"/>
                <w:szCs w:val="20"/>
                <w:color w:val="auto"/>
              </w:rPr>
            </w:pPr>
            <w:r>
              <w:rPr>
                <w:rFonts w:ascii="Arial" w:cs="Arial" w:eastAsia="Arial" w:hAnsi="Arial"/>
                <w:sz w:val="18"/>
                <w:szCs w:val="18"/>
                <w:color w:val="auto"/>
              </w:rPr>
              <w:t>9,315</w:t>
            </w:r>
          </w:p>
        </w:tc>
      </w:tr>
      <w:tr>
        <w:trPr>
          <w:trHeight w:val="230"/>
        </w:trPr>
        <w:tc>
          <w:tcPr>
            <w:tcW w:w="7860" w:type="dxa"/>
            <w:vAlign w:val="bottom"/>
          </w:tcPr>
          <w:p>
            <w:pPr>
              <w:ind w:left="220"/>
              <w:spacing w:after="0"/>
              <w:rPr>
                <w:sz w:val="20"/>
                <w:szCs w:val="20"/>
                <w:color w:val="auto"/>
              </w:rPr>
            </w:pPr>
            <w:r>
              <w:rPr>
                <w:rFonts w:ascii="Arial" w:cs="Arial" w:eastAsia="Arial" w:hAnsi="Arial"/>
                <w:sz w:val="18"/>
                <w:szCs w:val="18"/>
                <w:color w:val="auto"/>
              </w:rPr>
              <w:t>Papua New Guinea</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7,534</w:t>
            </w:r>
          </w:p>
        </w:tc>
        <w:tc>
          <w:tcPr>
            <w:tcW w:w="1420" w:type="dxa"/>
            <w:vAlign w:val="bottom"/>
          </w:tcPr>
          <w:p>
            <w:pPr>
              <w:jc w:val="right"/>
              <w:ind w:right="273"/>
              <w:spacing w:after="0"/>
              <w:rPr>
                <w:sz w:val="20"/>
                <w:szCs w:val="20"/>
                <w:color w:val="auto"/>
              </w:rPr>
            </w:pPr>
            <w:r>
              <w:rPr>
                <w:rFonts w:ascii="Arial" w:cs="Arial" w:eastAsia="Arial" w:hAnsi="Arial"/>
                <w:sz w:val="18"/>
                <w:szCs w:val="18"/>
                <w:color w:val="auto"/>
              </w:rPr>
              <w:t>7,803</w:t>
            </w:r>
          </w:p>
        </w:tc>
        <w:tc>
          <w:tcPr>
            <w:tcW w:w="880" w:type="dxa"/>
            <w:vAlign w:val="bottom"/>
          </w:tcPr>
          <w:p>
            <w:pPr>
              <w:jc w:val="right"/>
              <w:spacing w:after="0"/>
              <w:rPr>
                <w:sz w:val="20"/>
                <w:szCs w:val="20"/>
                <w:color w:val="auto"/>
              </w:rPr>
            </w:pPr>
            <w:r>
              <w:rPr>
                <w:rFonts w:ascii="Arial" w:cs="Arial" w:eastAsia="Arial" w:hAnsi="Arial"/>
                <w:sz w:val="18"/>
                <w:szCs w:val="18"/>
                <w:color w:val="auto"/>
              </w:rPr>
              <w:t>8,057</w:t>
            </w:r>
          </w:p>
        </w:tc>
      </w:tr>
      <w:tr>
        <w:trPr>
          <w:trHeight w:val="230"/>
        </w:trPr>
        <w:tc>
          <w:tcPr>
            <w:tcW w:w="7860" w:type="dxa"/>
            <w:vAlign w:val="bottom"/>
          </w:tcPr>
          <w:p>
            <w:pPr>
              <w:ind w:left="220"/>
              <w:spacing w:after="0"/>
              <w:rPr>
                <w:sz w:val="20"/>
                <w:szCs w:val="20"/>
                <w:color w:val="auto"/>
              </w:rPr>
            </w:pPr>
            <w:r>
              <w:rPr>
                <w:rFonts w:ascii="Arial" w:cs="Arial" w:eastAsia="Arial" w:hAnsi="Arial"/>
                <w:sz w:val="18"/>
                <w:szCs w:val="18"/>
                <w:color w:val="auto"/>
              </w:rPr>
              <w:t>United Arab Emirates</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5,392</w:t>
            </w:r>
          </w:p>
        </w:tc>
        <w:tc>
          <w:tcPr>
            <w:tcW w:w="1420" w:type="dxa"/>
            <w:vAlign w:val="bottom"/>
          </w:tcPr>
          <w:p>
            <w:pPr>
              <w:jc w:val="right"/>
              <w:ind w:right="273"/>
              <w:spacing w:after="0"/>
              <w:rPr>
                <w:sz w:val="20"/>
                <w:szCs w:val="20"/>
                <w:color w:val="auto"/>
              </w:rPr>
            </w:pPr>
            <w:r>
              <w:rPr>
                <w:rFonts w:ascii="Arial" w:cs="Arial" w:eastAsia="Arial" w:hAnsi="Arial"/>
                <w:sz w:val="18"/>
                <w:szCs w:val="18"/>
                <w:color w:val="auto"/>
              </w:rPr>
              <w:t>5,381</w:t>
            </w:r>
          </w:p>
        </w:tc>
        <w:tc>
          <w:tcPr>
            <w:tcW w:w="880" w:type="dxa"/>
            <w:vAlign w:val="bottom"/>
          </w:tcPr>
          <w:p>
            <w:pPr>
              <w:jc w:val="right"/>
              <w:spacing w:after="0"/>
              <w:rPr>
                <w:sz w:val="20"/>
                <w:szCs w:val="20"/>
                <w:color w:val="auto"/>
              </w:rPr>
            </w:pPr>
            <w:r>
              <w:rPr>
                <w:rFonts w:ascii="Arial" w:cs="Arial" w:eastAsia="Arial" w:hAnsi="Arial"/>
                <w:sz w:val="18"/>
                <w:szCs w:val="18"/>
                <w:color w:val="auto"/>
              </w:rPr>
              <w:t>5,262</w:t>
            </w:r>
          </w:p>
        </w:tc>
      </w:tr>
      <w:tr>
        <w:trPr>
          <w:trHeight w:val="230"/>
        </w:trPr>
        <w:tc>
          <w:tcPr>
            <w:tcW w:w="7860" w:type="dxa"/>
            <w:vAlign w:val="bottom"/>
          </w:tcPr>
          <w:p>
            <w:pPr>
              <w:ind w:left="220"/>
              <w:spacing w:after="0"/>
              <w:rPr>
                <w:sz w:val="20"/>
                <w:szCs w:val="20"/>
                <w:color w:val="auto"/>
              </w:rPr>
            </w:pPr>
            <w:r>
              <w:rPr>
                <w:rFonts w:ascii="Arial" w:cs="Arial" w:eastAsia="Arial" w:hAnsi="Arial"/>
                <w:sz w:val="18"/>
                <w:szCs w:val="18"/>
                <w:color w:val="auto"/>
              </w:rPr>
              <w:t>Nigeria</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5,235</w:t>
            </w:r>
          </w:p>
        </w:tc>
        <w:tc>
          <w:tcPr>
            <w:tcW w:w="1420" w:type="dxa"/>
            <w:vAlign w:val="bottom"/>
          </w:tcPr>
          <w:p>
            <w:pPr>
              <w:jc w:val="right"/>
              <w:ind w:right="273"/>
              <w:spacing w:after="0"/>
              <w:rPr>
                <w:sz w:val="20"/>
                <w:szCs w:val="20"/>
                <w:color w:val="auto"/>
              </w:rPr>
            </w:pPr>
            <w:r>
              <w:rPr>
                <w:rFonts w:ascii="Arial" w:cs="Arial" w:eastAsia="Arial" w:hAnsi="Arial"/>
                <w:sz w:val="18"/>
                <w:szCs w:val="18"/>
                <w:color w:val="auto"/>
              </w:rPr>
              <w:t>6,345</w:t>
            </w:r>
          </w:p>
        </w:tc>
        <w:tc>
          <w:tcPr>
            <w:tcW w:w="880" w:type="dxa"/>
            <w:vAlign w:val="bottom"/>
          </w:tcPr>
          <w:p>
            <w:pPr>
              <w:jc w:val="right"/>
              <w:spacing w:after="0"/>
              <w:rPr>
                <w:sz w:val="20"/>
                <w:szCs w:val="20"/>
                <w:color w:val="auto"/>
              </w:rPr>
            </w:pPr>
            <w:r>
              <w:rPr>
                <w:rFonts w:ascii="Arial" w:cs="Arial" w:eastAsia="Arial" w:hAnsi="Arial"/>
                <w:sz w:val="18"/>
                <w:szCs w:val="18"/>
                <w:color w:val="auto"/>
              </w:rPr>
              <w:t>7,640</w:t>
            </w:r>
          </w:p>
        </w:tc>
      </w:tr>
      <w:tr>
        <w:trPr>
          <w:trHeight w:val="230"/>
        </w:trPr>
        <w:tc>
          <w:tcPr>
            <w:tcW w:w="7860" w:type="dxa"/>
            <w:vAlign w:val="bottom"/>
          </w:tcPr>
          <w:p>
            <w:pPr>
              <w:ind w:left="220"/>
              <w:spacing w:after="0"/>
              <w:rPr>
                <w:sz w:val="20"/>
                <w:szCs w:val="20"/>
                <w:color w:val="auto"/>
              </w:rPr>
            </w:pPr>
            <w:r>
              <w:rPr>
                <w:rFonts w:ascii="Arial" w:cs="Arial" w:eastAsia="Arial" w:hAnsi="Arial"/>
                <w:sz w:val="18"/>
                <w:szCs w:val="18"/>
                <w:color w:val="auto"/>
              </w:rPr>
              <w:t>Guyana</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4,892</w:t>
            </w:r>
          </w:p>
        </w:tc>
        <w:tc>
          <w:tcPr>
            <w:tcW w:w="1420" w:type="dxa"/>
            <w:vAlign w:val="bottom"/>
          </w:tcPr>
          <w:p>
            <w:pPr>
              <w:jc w:val="right"/>
              <w:ind w:right="273"/>
              <w:spacing w:after="0"/>
              <w:rPr>
                <w:sz w:val="20"/>
                <w:szCs w:val="20"/>
                <w:color w:val="auto"/>
              </w:rPr>
            </w:pPr>
            <w:r>
              <w:rPr>
                <w:rFonts w:ascii="Arial" w:cs="Arial" w:eastAsia="Arial" w:hAnsi="Arial"/>
                <w:sz w:val="18"/>
                <w:szCs w:val="18"/>
                <w:color w:val="auto"/>
              </w:rPr>
              <w:t>3,547</w:t>
            </w:r>
          </w:p>
        </w:tc>
        <w:tc>
          <w:tcPr>
            <w:tcW w:w="880" w:type="dxa"/>
            <w:vAlign w:val="bottom"/>
          </w:tcPr>
          <w:p>
            <w:pPr>
              <w:jc w:val="right"/>
              <w:spacing w:after="0"/>
              <w:rPr>
                <w:sz w:val="20"/>
                <w:szCs w:val="20"/>
                <w:color w:val="auto"/>
              </w:rPr>
            </w:pPr>
            <w:r>
              <w:rPr>
                <w:rFonts w:ascii="Arial" w:cs="Arial" w:eastAsia="Arial" w:hAnsi="Arial"/>
                <w:sz w:val="18"/>
                <w:szCs w:val="18"/>
                <w:color w:val="auto"/>
              </w:rPr>
              <w:t>2,542</w:t>
            </w:r>
          </w:p>
        </w:tc>
      </w:tr>
      <w:tr>
        <w:trPr>
          <w:trHeight w:val="229"/>
        </w:trPr>
        <w:tc>
          <w:tcPr>
            <w:tcW w:w="7860" w:type="dxa"/>
            <w:vAlign w:val="bottom"/>
          </w:tcPr>
          <w:p>
            <w:pPr>
              <w:ind w:left="220"/>
              <w:spacing w:after="0"/>
              <w:rPr>
                <w:sz w:val="20"/>
                <w:szCs w:val="20"/>
                <w:color w:val="auto"/>
              </w:rPr>
            </w:pPr>
            <w:r>
              <w:rPr>
                <w:rFonts w:ascii="Arial" w:cs="Arial" w:eastAsia="Arial" w:hAnsi="Arial"/>
                <w:sz w:val="18"/>
                <w:szCs w:val="18"/>
                <w:color w:val="auto"/>
              </w:rPr>
              <w:t>Brazil</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4,337</w:t>
            </w:r>
          </w:p>
        </w:tc>
        <w:tc>
          <w:tcPr>
            <w:tcW w:w="1420" w:type="dxa"/>
            <w:vAlign w:val="bottom"/>
          </w:tcPr>
          <w:p>
            <w:pPr>
              <w:jc w:val="right"/>
              <w:ind w:right="273"/>
              <w:spacing w:after="0"/>
              <w:rPr>
                <w:sz w:val="20"/>
                <w:szCs w:val="20"/>
                <w:color w:val="auto"/>
              </w:rPr>
            </w:pPr>
            <w:r>
              <w:rPr>
                <w:rFonts w:ascii="Arial" w:cs="Arial" w:eastAsia="Arial" w:hAnsi="Arial"/>
                <w:sz w:val="18"/>
                <w:szCs w:val="18"/>
                <w:color w:val="auto"/>
              </w:rPr>
              <w:t>3,281</w:t>
            </w:r>
          </w:p>
        </w:tc>
        <w:tc>
          <w:tcPr>
            <w:tcW w:w="880" w:type="dxa"/>
            <w:vAlign w:val="bottom"/>
          </w:tcPr>
          <w:p>
            <w:pPr>
              <w:jc w:val="right"/>
              <w:spacing w:after="0"/>
              <w:rPr>
                <w:sz w:val="20"/>
                <w:szCs w:val="20"/>
                <w:color w:val="auto"/>
              </w:rPr>
            </w:pPr>
            <w:r>
              <w:rPr>
                <w:rFonts w:ascii="Arial" w:cs="Arial" w:eastAsia="Arial" w:hAnsi="Arial"/>
                <w:sz w:val="18"/>
                <w:szCs w:val="18"/>
                <w:color w:val="auto"/>
              </w:rPr>
              <w:t>3,338</w:t>
            </w:r>
          </w:p>
        </w:tc>
      </w:tr>
      <w:tr>
        <w:trPr>
          <w:trHeight w:val="230"/>
        </w:trPr>
        <w:tc>
          <w:tcPr>
            <w:tcW w:w="7860" w:type="dxa"/>
            <w:vAlign w:val="bottom"/>
          </w:tcPr>
          <w:p>
            <w:pPr>
              <w:ind w:left="220"/>
              <w:spacing w:after="0"/>
              <w:rPr>
                <w:sz w:val="20"/>
                <w:szCs w:val="20"/>
                <w:color w:val="auto"/>
              </w:rPr>
            </w:pPr>
            <w:r>
              <w:rPr>
                <w:rFonts w:ascii="Arial" w:cs="Arial" w:eastAsia="Arial" w:hAnsi="Arial"/>
                <w:sz w:val="18"/>
                <w:szCs w:val="18"/>
                <w:color w:val="auto"/>
              </w:rPr>
              <w:t>Russia</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4,055</w:t>
            </w:r>
          </w:p>
        </w:tc>
        <w:tc>
          <w:tcPr>
            <w:tcW w:w="1420" w:type="dxa"/>
            <w:vAlign w:val="bottom"/>
          </w:tcPr>
          <w:p>
            <w:pPr>
              <w:jc w:val="right"/>
              <w:ind w:right="273"/>
              <w:spacing w:after="0"/>
              <w:rPr>
                <w:sz w:val="20"/>
                <w:szCs w:val="20"/>
                <w:color w:val="auto"/>
              </w:rPr>
            </w:pPr>
            <w:r>
              <w:rPr>
                <w:rFonts w:ascii="Arial" w:cs="Arial" w:eastAsia="Arial" w:hAnsi="Arial"/>
                <w:sz w:val="18"/>
                <w:szCs w:val="18"/>
                <w:color w:val="auto"/>
              </w:rPr>
              <w:t>4,616</w:t>
            </w:r>
          </w:p>
        </w:tc>
        <w:tc>
          <w:tcPr>
            <w:tcW w:w="880" w:type="dxa"/>
            <w:vAlign w:val="bottom"/>
          </w:tcPr>
          <w:p>
            <w:pPr>
              <w:jc w:val="right"/>
              <w:spacing w:after="0"/>
              <w:rPr>
                <w:sz w:val="20"/>
                <w:szCs w:val="20"/>
                <w:color w:val="auto"/>
              </w:rPr>
            </w:pPr>
            <w:r>
              <w:rPr>
                <w:rFonts w:ascii="Arial" w:cs="Arial" w:eastAsia="Arial" w:hAnsi="Arial"/>
                <w:sz w:val="18"/>
                <w:szCs w:val="18"/>
                <w:color w:val="auto"/>
              </w:rPr>
              <w:t>5,135</w:t>
            </w:r>
          </w:p>
        </w:tc>
      </w:tr>
      <w:tr>
        <w:trPr>
          <w:trHeight w:val="230"/>
        </w:trPr>
        <w:tc>
          <w:tcPr>
            <w:tcW w:w="7860" w:type="dxa"/>
            <w:vAlign w:val="bottom"/>
          </w:tcPr>
          <w:p>
            <w:pPr>
              <w:ind w:left="220"/>
              <w:spacing w:after="0"/>
              <w:rPr>
                <w:sz w:val="20"/>
                <w:szCs w:val="20"/>
                <w:color w:val="auto"/>
              </w:rPr>
            </w:pPr>
            <w:r>
              <w:rPr>
                <w:rFonts w:ascii="Arial" w:cs="Arial" w:eastAsia="Arial" w:hAnsi="Arial"/>
                <w:sz w:val="18"/>
                <w:szCs w:val="18"/>
                <w:color w:val="auto"/>
              </w:rPr>
              <w:t>Angola</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3,207</w:t>
            </w:r>
          </w:p>
        </w:tc>
        <w:tc>
          <w:tcPr>
            <w:tcW w:w="1420" w:type="dxa"/>
            <w:vAlign w:val="bottom"/>
          </w:tcPr>
          <w:p>
            <w:pPr>
              <w:jc w:val="right"/>
              <w:ind w:right="273"/>
              <w:spacing w:after="0"/>
              <w:rPr>
                <w:sz w:val="20"/>
                <w:szCs w:val="20"/>
                <w:color w:val="auto"/>
              </w:rPr>
            </w:pPr>
            <w:r>
              <w:rPr>
                <w:rFonts w:ascii="Arial" w:cs="Arial" w:eastAsia="Arial" w:hAnsi="Arial"/>
                <w:sz w:val="18"/>
                <w:szCs w:val="18"/>
                <w:color w:val="auto"/>
              </w:rPr>
              <w:t>4,405</w:t>
            </w:r>
          </w:p>
        </w:tc>
        <w:tc>
          <w:tcPr>
            <w:tcW w:w="880" w:type="dxa"/>
            <w:vAlign w:val="bottom"/>
          </w:tcPr>
          <w:p>
            <w:pPr>
              <w:jc w:val="right"/>
              <w:spacing w:after="0"/>
              <w:rPr>
                <w:sz w:val="20"/>
                <w:szCs w:val="20"/>
                <w:color w:val="auto"/>
              </w:rPr>
            </w:pPr>
            <w:r>
              <w:rPr>
                <w:rFonts w:ascii="Arial" w:cs="Arial" w:eastAsia="Arial" w:hAnsi="Arial"/>
                <w:sz w:val="18"/>
                <w:szCs w:val="18"/>
                <w:color w:val="auto"/>
              </w:rPr>
              <w:t>5,784</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Income and Other Taxes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9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0" w:type="dxa"/>
            <w:vAlign w:val="bottom"/>
          </w:tcPr>
          <w:p>
            <w:pPr>
              <w:jc w:val="right"/>
              <w:ind w:right="333"/>
              <w:spacing w:after="0"/>
              <w:rPr>
                <w:sz w:val="20"/>
                <w:szCs w:val="20"/>
                <w:color w:val="auto"/>
              </w:rPr>
            </w:pPr>
            <w:r>
              <w:rPr>
                <w:rFonts w:ascii="Arial" w:cs="Arial" w:eastAsia="Arial" w:hAnsi="Arial"/>
                <w:sz w:val="14"/>
                <w:szCs w:val="14"/>
                <w:b w:val="1"/>
                <w:bCs w:val="1"/>
                <w:color w:val="auto"/>
              </w:rPr>
              <w:t>2021</w:t>
            </w:r>
          </w:p>
        </w:tc>
        <w:tc>
          <w:tcPr>
            <w:tcW w:w="9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00" w:type="dxa"/>
            <w:vAlign w:val="bottom"/>
          </w:tcPr>
          <w:p>
            <w:pPr>
              <w:ind w:left="280"/>
              <w:spacing w:after="0"/>
              <w:rPr>
                <w:sz w:val="20"/>
                <w:szCs w:val="20"/>
                <w:color w:val="auto"/>
              </w:rPr>
            </w:pPr>
            <w:r>
              <w:rPr>
                <w:rFonts w:ascii="Arial" w:cs="Arial" w:eastAsia="Arial" w:hAnsi="Arial"/>
                <w:sz w:val="14"/>
                <w:szCs w:val="14"/>
                <w:b w:val="1"/>
                <w:bCs w:val="1"/>
                <w:color w:val="auto"/>
              </w:rPr>
              <w:t>2020</w:t>
            </w:r>
          </w:p>
        </w:tc>
        <w:tc>
          <w:tcPr>
            <w:tcW w:w="8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0" w:type="dxa"/>
            <w:vAlign w:val="bottom"/>
          </w:tcPr>
          <w:p>
            <w:pPr>
              <w:jc w:val="right"/>
              <w:ind w:right="353"/>
              <w:spacing w:after="0"/>
              <w:rPr>
                <w:sz w:val="20"/>
                <w:szCs w:val="20"/>
                <w:color w:val="auto"/>
              </w:rPr>
            </w:pPr>
            <w:r>
              <w:rPr>
                <w:rFonts w:ascii="Arial" w:cs="Arial" w:eastAsia="Arial" w:hAnsi="Arial"/>
                <w:sz w:val="14"/>
                <w:szCs w:val="14"/>
                <w:b w:val="1"/>
                <w:bCs w:val="1"/>
                <w:color w:val="auto"/>
              </w:rPr>
              <w:t>2019</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9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9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U.S.</w:t>
            </w:r>
          </w:p>
        </w:tc>
        <w:tc>
          <w:tcPr>
            <w:tcW w:w="10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Non-U.S.</w:t>
            </w:r>
          </w:p>
        </w:tc>
        <w:tc>
          <w:tcPr>
            <w:tcW w:w="9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Total</w:t>
            </w:r>
          </w:p>
        </w:tc>
        <w:tc>
          <w:tcPr>
            <w:tcW w:w="86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U.S.</w:t>
            </w:r>
          </w:p>
        </w:tc>
        <w:tc>
          <w:tcPr>
            <w:tcW w:w="11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Non-U.S.</w:t>
            </w:r>
          </w:p>
        </w:tc>
        <w:tc>
          <w:tcPr>
            <w:tcW w:w="8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Total</w:t>
            </w:r>
          </w:p>
        </w:tc>
        <w:tc>
          <w:tcPr>
            <w:tcW w:w="86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U.S.</w:t>
            </w:r>
          </w:p>
        </w:tc>
        <w:tc>
          <w:tcPr>
            <w:tcW w:w="10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Non-U.S.</w:t>
            </w:r>
          </w:p>
        </w:tc>
        <w:tc>
          <w:tcPr>
            <w:tcW w:w="7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0"/>
        </w:trPr>
        <w:tc>
          <w:tcPr>
            <w:tcW w:w="29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960" w:type="dxa"/>
            <w:vAlign w:val="bottom"/>
            <w:gridSpan w:val="2"/>
          </w:tcPr>
          <w:p>
            <w:pPr>
              <w:jc w:val="right"/>
              <w:ind w:right="13"/>
              <w:spacing w:after="0"/>
              <w:rPr>
                <w:sz w:val="20"/>
                <w:szCs w:val="20"/>
                <w:color w:val="auto"/>
              </w:rPr>
            </w:pPr>
            <w:r>
              <w:rPr>
                <w:rFonts w:ascii="Arial" w:cs="Arial" w:eastAsia="Arial" w:hAnsi="Arial"/>
                <w:sz w:val="14"/>
                <w:szCs w:val="14"/>
                <w:i w:val="1"/>
                <w:iCs w:val="1"/>
                <w:color w:val="auto"/>
              </w:rPr>
              <w:t>(millions of dollars)</w:t>
            </w:r>
          </w:p>
        </w:tc>
        <w:tc>
          <w:tcPr>
            <w:tcW w:w="8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298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9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980" w:type="dxa"/>
            <w:vAlign w:val="bottom"/>
          </w:tcPr>
          <w:p>
            <w:pPr>
              <w:ind w:left="220"/>
              <w:spacing w:after="0"/>
              <w:rPr>
                <w:sz w:val="20"/>
                <w:szCs w:val="20"/>
                <w:color w:val="auto"/>
              </w:rPr>
            </w:pPr>
            <w:r>
              <w:rPr>
                <w:rFonts w:ascii="Arial" w:cs="Arial" w:eastAsia="Arial" w:hAnsi="Arial"/>
                <w:sz w:val="18"/>
                <w:szCs w:val="18"/>
                <w:color w:val="auto"/>
              </w:rPr>
              <w:t>Federal and non-U.S.</w:t>
            </w:r>
          </w:p>
        </w:tc>
        <w:tc>
          <w:tcPr>
            <w:tcW w:w="9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80" w:type="dxa"/>
            <w:vAlign w:val="bottom"/>
          </w:tcPr>
          <w:p>
            <w:pPr>
              <w:ind w:left="480"/>
              <w:spacing w:after="0"/>
              <w:rPr>
                <w:sz w:val="20"/>
                <w:szCs w:val="20"/>
                <w:color w:val="auto"/>
              </w:rPr>
            </w:pPr>
            <w:r>
              <w:rPr>
                <w:rFonts w:ascii="Arial" w:cs="Arial" w:eastAsia="Arial" w:hAnsi="Arial"/>
                <w:sz w:val="18"/>
                <w:szCs w:val="18"/>
                <w:color w:val="auto"/>
              </w:rPr>
              <w:t>Current</w:t>
            </w: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236</w:t>
            </w:r>
          </w:p>
        </w:tc>
        <w:tc>
          <w:tcPr>
            <w:tcW w:w="1000" w:type="dxa"/>
            <w:vAlign w:val="bottom"/>
          </w:tcPr>
          <w:p>
            <w:pPr>
              <w:jc w:val="right"/>
              <w:ind w:right="153"/>
              <w:spacing w:after="0"/>
              <w:rPr>
                <w:sz w:val="20"/>
                <w:szCs w:val="20"/>
                <w:color w:val="auto"/>
              </w:rPr>
            </w:pPr>
            <w:r>
              <w:rPr>
                <w:rFonts w:ascii="Arial" w:cs="Arial" w:eastAsia="Arial" w:hAnsi="Arial"/>
                <w:sz w:val="18"/>
                <w:szCs w:val="18"/>
                <w:color w:val="auto"/>
              </w:rPr>
              <w:t>6,948</w:t>
            </w:r>
          </w:p>
        </w:tc>
        <w:tc>
          <w:tcPr>
            <w:tcW w:w="940" w:type="dxa"/>
            <w:vAlign w:val="bottom"/>
          </w:tcPr>
          <w:p>
            <w:pPr>
              <w:jc w:val="right"/>
              <w:ind w:right="152"/>
              <w:spacing w:after="0"/>
              <w:rPr>
                <w:sz w:val="20"/>
                <w:szCs w:val="20"/>
                <w:color w:val="auto"/>
              </w:rPr>
            </w:pPr>
            <w:r>
              <w:rPr>
                <w:rFonts w:ascii="Arial" w:cs="Arial" w:eastAsia="Arial" w:hAnsi="Arial"/>
                <w:sz w:val="18"/>
                <w:szCs w:val="18"/>
                <w:color w:val="auto"/>
              </w:rPr>
              <w:t>7,184</w:t>
            </w:r>
          </w:p>
        </w:tc>
        <w:tc>
          <w:tcPr>
            <w:tcW w:w="860" w:type="dxa"/>
            <w:vAlign w:val="bottom"/>
          </w:tcPr>
          <w:p>
            <w:pPr>
              <w:jc w:val="right"/>
              <w:ind w:right="73"/>
              <w:spacing w:after="0"/>
              <w:rPr>
                <w:sz w:val="20"/>
                <w:szCs w:val="20"/>
                <w:color w:val="auto"/>
              </w:rPr>
            </w:pPr>
            <w:r>
              <w:rPr>
                <w:rFonts w:ascii="Arial" w:cs="Arial" w:eastAsia="Arial" w:hAnsi="Arial"/>
                <w:sz w:val="18"/>
                <w:szCs w:val="18"/>
                <w:color w:val="auto"/>
              </w:rPr>
              <w:t>262</w:t>
            </w:r>
          </w:p>
        </w:tc>
        <w:tc>
          <w:tcPr>
            <w:tcW w:w="1100" w:type="dxa"/>
            <w:vAlign w:val="bottom"/>
          </w:tcPr>
          <w:p>
            <w:pPr>
              <w:jc w:val="right"/>
              <w:ind w:right="253"/>
              <w:spacing w:after="0"/>
              <w:rPr>
                <w:sz w:val="20"/>
                <w:szCs w:val="20"/>
                <w:color w:val="auto"/>
              </w:rPr>
            </w:pPr>
            <w:r>
              <w:rPr>
                <w:rFonts w:ascii="Arial" w:cs="Arial" w:eastAsia="Arial" w:hAnsi="Arial"/>
                <w:sz w:val="18"/>
                <w:szCs w:val="18"/>
                <w:color w:val="auto"/>
              </w:rPr>
              <w:t>2,908</w:t>
            </w:r>
          </w:p>
        </w:tc>
        <w:tc>
          <w:tcPr>
            <w:tcW w:w="840" w:type="dxa"/>
            <w:vAlign w:val="bottom"/>
          </w:tcPr>
          <w:p>
            <w:pPr>
              <w:jc w:val="right"/>
              <w:ind w:right="152"/>
              <w:spacing w:after="0"/>
              <w:rPr>
                <w:sz w:val="20"/>
                <w:szCs w:val="20"/>
                <w:color w:val="auto"/>
              </w:rPr>
            </w:pPr>
            <w:r>
              <w:rPr>
                <w:rFonts w:ascii="Arial" w:cs="Arial" w:eastAsia="Arial" w:hAnsi="Arial"/>
                <w:sz w:val="18"/>
                <w:szCs w:val="18"/>
                <w:color w:val="auto"/>
              </w:rPr>
              <w:t>3,170</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(121)</w:t>
            </w:r>
          </w:p>
        </w:tc>
        <w:tc>
          <w:tcPr>
            <w:tcW w:w="1000" w:type="dxa"/>
            <w:vAlign w:val="bottom"/>
          </w:tcPr>
          <w:p>
            <w:pPr>
              <w:jc w:val="right"/>
              <w:ind w:right="153"/>
              <w:spacing w:after="0"/>
              <w:rPr>
                <w:sz w:val="20"/>
                <w:szCs w:val="20"/>
                <w:color w:val="auto"/>
              </w:rPr>
            </w:pPr>
            <w:r>
              <w:rPr>
                <w:rFonts w:ascii="Arial" w:cs="Arial" w:eastAsia="Arial" w:hAnsi="Arial"/>
                <w:sz w:val="18"/>
                <w:szCs w:val="18"/>
                <w:color w:val="auto"/>
              </w:rPr>
              <w:t>6,171</w:t>
            </w:r>
          </w:p>
        </w:tc>
        <w:tc>
          <w:tcPr>
            <w:tcW w:w="760" w:type="dxa"/>
            <w:vAlign w:val="bottom"/>
          </w:tcPr>
          <w:p>
            <w:pPr>
              <w:jc w:val="right"/>
              <w:spacing w:after="0"/>
              <w:rPr>
                <w:sz w:val="20"/>
                <w:szCs w:val="20"/>
                <w:color w:val="auto"/>
              </w:rPr>
            </w:pPr>
            <w:r>
              <w:rPr>
                <w:rFonts w:ascii="Arial" w:cs="Arial" w:eastAsia="Arial" w:hAnsi="Arial"/>
                <w:sz w:val="18"/>
                <w:szCs w:val="18"/>
                <w:color w:val="auto"/>
              </w:rPr>
              <w:t>6,050</w:t>
            </w:r>
          </w:p>
        </w:tc>
        <w:tc>
          <w:tcPr>
            <w:tcW w:w="0" w:type="dxa"/>
            <w:vAlign w:val="bottom"/>
          </w:tcPr>
          <w:p>
            <w:pPr>
              <w:spacing w:after="0"/>
              <w:rPr>
                <w:sz w:val="1"/>
                <w:szCs w:val="1"/>
                <w:color w:val="auto"/>
              </w:rPr>
            </w:pPr>
          </w:p>
        </w:tc>
      </w:tr>
      <w:tr>
        <w:trPr>
          <w:trHeight w:val="230"/>
        </w:trPr>
        <w:tc>
          <w:tcPr>
            <w:tcW w:w="2980" w:type="dxa"/>
            <w:vAlign w:val="bottom"/>
          </w:tcPr>
          <w:p>
            <w:pPr>
              <w:ind w:left="480"/>
              <w:spacing w:after="0"/>
              <w:rPr>
                <w:sz w:val="20"/>
                <w:szCs w:val="20"/>
                <w:color w:val="auto"/>
              </w:rPr>
            </w:pPr>
            <w:r>
              <w:rPr>
                <w:rFonts w:ascii="Arial" w:cs="Arial" w:eastAsia="Arial" w:hAnsi="Arial"/>
                <w:sz w:val="18"/>
                <w:szCs w:val="18"/>
                <w:color w:val="auto"/>
              </w:rPr>
              <w:t>Deferred - net</w:t>
            </w: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870</w:t>
            </w:r>
          </w:p>
        </w:tc>
        <w:tc>
          <w:tcPr>
            <w:tcW w:w="1000" w:type="dxa"/>
            <w:vAlign w:val="bottom"/>
          </w:tcPr>
          <w:p>
            <w:pPr>
              <w:jc w:val="right"/>
              <w:ind w:right="93"/>
              <w:spacing w:after="0"/>
              <w:rPr>
                <w:sz w:val="20"/>
                <w:szCs w:val="20"/>
                <w:color w:val="auto"/>
              </w:rPr>
            </w:pPr>
            <w:r>
              <w:rPr>
                <w:rFonts w:ascii="Arial" w:cs="Arial" w:eastAsia="Arial" w:hAnsi="Arial"/>
                <w:sz w:val="18"/>
                <w:szCs w:val="18"/>
                <w:color w:val="auto"/>
              </w:rPr>
              <w:t>(914)</w:t>
            </w: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(44)</w:t>
            </w: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(6,045)</w:t>
            </w:r>
          </w:p>
        </w:tc>
        <w:tc>
          <w:tcPr>
            <w:tcW w:w="1100" w:type="dxa"/>
            <w:vAlign w:val="bottom"/>
          </w:tcPr>
          <w:p>
            <w:pPr>
              <w:ind w:left="280"/>
              <w:spacing w:after="0"/>
              <w:rPr>
                <w:sz w:val="20"/>
                <w:szCs w:val="20"/>
                <w:color w:val="auto"/>
              </w:rPr>
            </w:pPr>
            <w:r>
              <w:rPr>
                <w:rFonts w:ascii="Arial" w:cs="Arial" w:eastAsia="Arial" w:hAnsi="Arial"/>
                <w:sz w:val="18"/>
                <w:szCs w:val="18"/>
                <w:color w:val="auto"/>
              </w:rPr>
              <w:t>(2,007)</w:t>
            </w:r>
          </w:p>
        </w:tc>
        <w:tc>
          <w:tcPr>
            <w:tcW w:w="840" w:type="dxa"/>
            <w:vAlign w:val="bottom"/>
          </w:tcPr>
          <w:p>
            <w:pPr>
              <w:jc w:val="right"/>
              <w:ind w:right="112"/>
              <w:spacing w:after="0"/>
              <w:rPr>
                <w:sz w:val="20"/>
                <w:szCs w:val="20"/>
                <w:color w:val="auto"/>
              </w:rPr>
            </w:pPr>
            <w:r>
              <w:rPr>
                <w:rFonts w:ascii="Arial" w:cs="Arial" w:eastAsia="Arial" w:hAnsi="Arial"/>
                <w:sz w:val="18"/>
                <w:szCs w:val="18"/>
                <w:color w:val="auto"/>
              </w:rPr>
              <w:t>(8,052)</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(255)</w:t>
            </w:r>
          </w:p>
        </w:tc>
        <w:tc>
          <w:tcPr>
            <w:tcW w:w="1000" w:type="dxa"/>
            <w:vAlign w:val="bottom"/>
          </w:tcPr>
          <w:p>
            <w:pPr>
              <w:jc w:val="right"/>
              <w:ind w:right="113"/>
              <w:spacing w:after="0"/>
              <w:rPr>
                <w:sz w:val="20"/>
                <w:szCs w:val="20"/>
                <w:color w:val="auto"/>
              </w:rPr>
            </w:pPr>
            <w:r>
              <w:rPr>
                <w:rFonts w:ascii="Arial" w:cs="Arial" w:eastAsia="Arial" w:hAnsi="Arial"/>
                <w:sz w:val="18"/>
                <w:szCs w:val="18"/>
                <w:color w:val="auto"/>
              </w:rPr>
              <w:t>(420)</w:t>
            </w:r>
          </w:p>
        </w:tc>
        <w:tc>
          <w:tcPr>
            <w:tcW w:w="760" w:type="dxa"/>
            <w:vAlign w:val="bottom"/>
          </w:tcPr>
          <w:p>
            <w:pPr>
              <w:jc w:val="right"/>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30"/>
        </w:trPr>
        <w:tc>
          <w:tcPr>
            <w:tcW w:w="2980" w:type="dxa"/>
            <w:vAlign w:val="bottom"/>
          </w:tcPr>
          <w:p>
            <w:pPr>
              <w:ind w:left="220"/>
              <w:spacing w:after="0"/>
              <w:rPr>
                <w:sz w:val="20"/>
                <w:szCs w:val="20"/>
                <w:color w:val="auto"/>
              </w:rPr>
            </w:pPr>
            <w:r>
              <w:rPr>
                <w:rFonts w:ascii="Arial" w:cs="Arial" w:eastAsia="Arial" w:hAnsi="Arial"/>
                <w:sz w:val="18"/>
                <w:szCs w:val="18"/>
                <w:color w:val="auto"/>
              </w:rPr>
              <w:t>U.S. tax on non-U.S. operations</w:t>
            </w:r>
          </w:p>
        </w:tc>
        <w:tc>
          <w:tcPr>
            <w:tcW w:w="9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26</w:t>
            </w:r>
          </w:p>
        </w:tc>
        <w:tc>
          <w:tcPr>
            <w:tcW w:w="100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26</w:t>
            </w:r>
          </w:p>
        </w:tc>
        <w:tc>
          <w:tcPr>
            <w:tcW w:w="8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13</w:t>
            </w:r>
          </w:p>
        </w:tc>
        <w:tc>
          <w:tcPr>
            <w:tcW w:w="1100" w:type="dxa"/>
            <w:vAlign w:val="bottom"/>
            <w:tcBorders>
              <w:bottom w:val="single" w:sz="8" w:color="auto"/>
            </w:tcBorders>
          </w:tcPr>
          <w:p>
            <w:pPr>
              <w:jc w:val="right"/>
              <w:ind w:right="253"/>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13</w:t>
            </w:r>
          </w:p>
        </w:tc>
        <w:tc>
          <w:tcPr>
            <w:tcW w:w="8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89</w:t>
            </w:r>
          </w:p>
        </w:tc>
        <w:tc>
          <w:tcPr>
            <w:tcW w:w="100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22"/>
        </w:trPr>
        <w:tc>
          <w:tcPr>
            <w:tcW w:w="2980" w:type="dxa"/>
            <w:vAlign w:val="bottom"/>
          </w:tcPr>
          <w:p>
            <w:pPr>
              <w:ind w:left="680"/>
              <w:spacing w:after="0"/>
              <w:rPr>
                <w:sz w:val="20"/>
                <w:szCs w:val="20"/>
                <w:color w:val="auto"/>
              </w:rPr>
            </w:pPr>
            <w:r>
              <w:rPr>
                <w:rFonts w:ascii="Arial" w:cs="Arial" w:eastAsia="Arial" w:hAnsi="Arial"/>
                <w:sz w:val="18"/>
                <w:szCs w:val="18"/>
                <w:color w:val="auto"/>
              </w:rPr>
              <w:t>Total federal and non-U.S.</w:t>
            </w: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1,132</w:t>
            </w:r>
          </w:p>
        </w:tc>
        <w:tc>
          <w:tcPr>
            <w:tcW w:w="1000" w:type="dxa"/>
            <w:vAlign w:val="bottom"/>
          </w:tcPr>
          <w:p>
            <w:pPr>
              <w:jc w:val="right"/>
              <w:ind w:right="153"/>
              <w:spacing w:after="0"/>
              <w:rPr>
                <w:sz w:val="20"/>
                <w:szCs w:val="20"/>
                <w:color w:val="auto"/>
              </w:rPr>
            </w:pPr>
            <w:r>
              <w:rPr>
                <w:rFonts w:ascii="Arial" w:cs="Arial" w:eastAsia="Arial" w:hAnsi="Arial"/>
                <w:sz w:val="18"/>
                <w:szCs w:val="18"/>
                <w:color w:val="auto"/>
              </w:rPr>
              <w:t>6,034</w:t>
            </w:r>
          </w:p>
        </w:tc>
        <w:tc>
          <w:tcPr>
            <w:tcW w:w="940" w:type="dxa"/>
            <w:vAlign w:val="bottom"/>
          </w:tcPr>
          <w:p>
            <w:pPr>
              <w:jc w:val="right"/>
              <w:ind w:right="152"/>
              <w:spacing w:after="0"/>
              <w:rPr>
                <w:sz w:val="20"/>
                <w:szCs w:val="20"/>
                <w:color w:val="auto"/>
              </w:rPr>
            </w:pPr>
            <w:r>
              <w:rPr>
                <w:rFonts w:ascii="Arial" w:cs="Arial" w:eastAsia="Arial" w:hAnsi="Arial"/>
                <w:sz w:val="18"/>
                <w:szCs w:val="18"/>
                <w:color w:val="auto"/>
              </w:rPr>
              <w:t>7,166</w:t>
            </w: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(5,770)</w:t>
            </w:r>
          </w:p>
        </w:tc>
        <w:tc>
          <w:tcPr>
            <w:tcW w:w="1100" w:type="dxa"/>
            <w:vAlign w:val="bottom"/>
          </w:tcPr>
          <w:p>
            <w:pPr>
              <w:jc w:val="right"/>
              <w:ind w:right="253"/>
              <w:spacing w:after="0"/>
              <w:rPr>
                <w:sz w:val="20"/>
                <w:szCs w:val="20"/>
                <w:color w:val="auto"/>
              </w:rPr>
            </w:pPr>
            <w:r>
              <w:rPr>
                <w:rFonts w:ascii="Arial" w:cs="Arial" w:eastAsia="Arial" w:hAnsi="Arial"/>
                <w:sz w:val="18"/>
                <w:szCs w:val="18"/>
                <w:color w:val="auto"/>
              </w:rPr>
              <w:t>901</w:t>
            </w:r>
          </w:p>
        </w:tc>
        <w:tc>
          <w:tcPr>
            <w:tcW w:w="840" w:type="dxa"/>
            <w:vAlign w:val="bottom"/>
          </w:tcPr>
          <w:p>
            <w:pPr>
              <w:jc w:val="right"/>
              <w:ind w:right="112"/>
              <w:spacing w:after="0"/>
              <w:rPr>
                <w:sz w:val="20"/>
                <w:szCs w:val="20"/>
                <w:color w:val="auto"/>
              </w:rPr>
            </w:pPr>
            <w:r>
              <w:rPr>
                <w:rFonts w:ascii="Arial" w:cs="Arial" w:eastAsia="Arial" w:hAnsi="Arial"/>
                <w:sz w:val="18"/>
                <w:szCs w:val="18"/>
                <w:color w:val="auto"/>
              </w:rPr>
              <w:t>(4,869)</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(287)</w:t>
            </w:r>
          </w:p>
        </w:tc>
        <w:tc>
          <w:tcPr>
            <w:tcW w:w="1000" w:type="dxa"/>
            <w:vAlign w:val="bottom"/>
          </w:tcPr>
          <w:p>
            <w:pPr>
              <w:jc w:val="right"/>
              <w:ind w:right="153"/>
              <w:spacing w:after="0"/>
              <w:rPr>
                <w:sz w:val="20"/>
                <w:szCs w:val="20"/>
                <w:color w:val="auto"/>
              </w:rPr>
            </w:pPr>
            <w:r>
              <w:rPr>
                <w:rFonts w:ascii="Arial" w:cs="Arial" w:eastAsia="Arial" w:hAnsi="Arial"/>
                <w:sz w:val="18"/>
                <w:szCs w:val="18"/>
                <w:color w:val="auto"/>
              </w:rPr>
              <w:t>5,751</w:t>
            </w:r>
          </w:p>
        </w:tc>
        <w:tc>
          <w:tcPr>
            <w:tcW w:w="760" w:type="dxa"/>
            <w:vAlign w:val="bottom"/>
          </w:tcPr>
          <w:p>
            <w:pPr>
              <w:jc w:val="right"/>
              <w:spacing w:after="0"/>
              <w:rPr>
                <w:sz w:val="20"/>
                <w:szCs w:val="20"/>
                <w:color w:val="auto"/>
              </w:rPr>
            </w:pPr>
            <w:r>
              <w:rPr>
                <w:rFonts w:ascii="Arial" w:cs="Arial" w:eastAsia="Arial" w:hAnsi="Arial"/>
                <w:sz w:val="18"/>
                <w:szCs w:val="18"/>
                <w:color w:val="auto"/>
              </w:rPr>
              <w:t>5,464</w:t>
            </w:r>
          </w:p>
        </w:tc>
        <w:tc>
          <w:tcPr>
            <w:tcW w:w="0" w:type="dxa"/>
            <w:vAlign w:val="bottom"/>
          </w:tcPr>
          <w:p>
            <w:pPr>
              <w:spacing w:after="0"/>
              <w:rPr>
                <w:sz w:val="1"/>
                <w:szCs w:val="1"/>
                <w:color w:val="auto"/>
              </w:rPr>
            </w:pPr>
          </w:p>
        </w:tc>
      </w:tr>
      <w:tr>
        <w:trPr>
          <w:trHeight w:val="230"/>
        </w:trPr>
        <w:tc>
          <w:tcPr>
            <w:tcW w:w="2980" w:type="dxa"/>
            <w:vAlign w:val="bottom"/>
          </w:tcPr>
          <w:p>
            <w:pPr>
              <w:ind w:left="220"/>
              <w:spacing w:after="0"/>
              <w:rPr>
                <w:sz w:val="20"/>
                <w:szCs w:val="20"/>
                <w:color w:val="auto"/>
              </w:rPr>
            </w:pPr>
            <w:r>
              <w:rPr>
                <w:rFonts w:ascii="Arial" w:cs="Arial" w:eastAsia="Arial" w:hAnsi="Arial"/>
                <w:sz w:val="18"/>
                <w:szCs w:val="18"/>
                <w:color w:val="auto"/>
              </w:rPr>
              <w:t>State</w:t>
            </w:r>
          </w:p>
        </w:tc>
        <w:tc>
          <w:tcPr>
            <w:tcW w:w="9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470</w:t>
            </w:r>
          </w:p>
        </w:tc>
        <w:tc>
          <w:tcPr>
            <w:tcW w:w="100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470</w:t>
            </w:r>
          </w:p>
        </w:tc>
        <w:tc>
          <w:tcPr>
            <w:tcW w:w="8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(763)</w:t>
            </w:r>
          </w:p>
        </w:tc>
        <w:tc>
          <w:tcPr>
            <w:tcW w:w="1100" w:type="dxa"/>
            <w:vAlign w:val="bottom"/>
            <w:tcBorders>
              <w:bottom w:val="single" w:sz="8" w:color="auto"/>
            </w:tcBorders>
          </w:tcPr>
          <w:p>
            <w:pPr>
              <w:jc w:val="right"/>
              <w:ind w:right="253"/>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(763)</w:t>
            </w:r>
          </w:p>
        </w:tc>
        <w:tc>
          <w:tcPr>
            <w:tcW w:w="8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(182)</w:t>
            </w:r>
          </w:p>
        </w:tc>
        <w:tc>
          <w:tcPr>
            <w:tcW w:w="100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169"/>
        </w:trPr>
        <w:tc>
          <w:tcPr>
            <w:tcW w:w="2980" w:type="dxa"/>
            <w:vAlign w:val="bottom"/>
          </w:tcPr>
          <w:p>
            <w:pPr>
              <w:ind w:left="680"/>
              <w:spacing w:after="0" w:line="169" w:lineRule="exact"/>
              <w:rPr>
                <w:sz w:val="20"/>
                <w:szCs w:val="20"/>
                <w:color w:val="auto"/>
              </w:rPr>
            </w:pPr>
            <w:r>
              <w:rPr>
                <w:rFonts w:ascii="Arial" w:cs="Arial" w:eastAsia="Arial" w:hAnsi="Arial"/>
                <w:sz w:val="18"/>
                <w:szCs w:val="18"/>
                <w:color w:val="auto"/>
              </w:rPr>
              <w:t>Total income tax expense</w:t>
            </w:r>
          </w:p>
        </w:tc>
        <w:tc>
          <w:tcPr>
            <w:tcW w:w="900" w:type="dxa"/>
            <w:vAlign w:val="bottom"/>
          </w:tcPr>
          <w:p>
            <w:pPr>
              <w:jc w:val="right"/>
              <w:ind w:right="72"/>
              <w:spacing w:after="0" w:line="169" w:lineRule="exact"/>
              <w:rPr>
                <w:sz w:val="20"/>
                <w:szCs w:val="20"/>
                <w:color w:val="auto"/>
              </w:rPr>
            </w:pPr>
            <w:r>
              <w:rPr>
                <w:rFonts w:ascii="Arial" w:cs="Arial" w:eastAsia="Arial" w:hAnsi="Arial"/>
                <w:sz w:val="18"/>
                <w:szCs w:val="18"/>
                <w:color w:val="auto"/>
              </w:rPr>
              <w:t>1,602</w:t>
            </w:r>
          </w:p>
        </w:tc>
        <w:tc>
          <w:tcPr>
            <w:tcW w:w="1000" w:type="dxa"/>
            <w:vAlign w:val="bottom"/>
          </w:tcPr>
          <w:p>
            <w:pPr>
              <w:jc w:val="right"/>
              <w:ind w:right="153"/>
              <w:spacing w:after="0" w:line="169" w:lineRule="exact"/>
              <w:rPr>
                <w:sz w:val="20"/>
                <w:szCs w:val="20"/>
                <w:color w:val="auto"/>
              </w:rPr>
            </w:pPr>
            <w:r>
              <w:rPr>
                <w:rFonts w:ascii="Arial" w:cs="Arial" w:eastAsia="Arial" w:hAnsi="Arial"/>
                <w:sz w:val="18"/>
                <w:szCs w:val="18"/>
                <w:color w:val="auto"/>
              </w:rPr>
              <w:t>6,034</w:t>
            </w:r>
          </w:p>
        </w:tc>
        <w:tc>
          <w:tcPr>
            <w:tcW w:w="940" w:type="dxa"/>
            <w:vAlign w:val="bottom"/>
          </w:tcPr>
          <w:p>
            <w:pPr>
              <w:jc w:val="right"/>
              <w:ind w:right="152"/>
              <w:spacing w:after="0" w:line="169" w:lineRule="exact"/>
              <w:rPr>
                <w:sz w:val="20"/>
                <w:szCs w:val="20"/>
                <w:color w:val="auto"/>
              </w:rPr>
            </w:pPr>
            <w:r>
              <w:rPr>
                <w:rFonts w:ascii="Arial" w:cs="Arial" w:eastAsia="Arial" w:hAnsi="Arial"/>
                <w:sz w:val="18"/>
                <w:szCs w:val="18"/>
                <w:color w:val="auto"/>
              </w:rPr>
              <w:t>7,636</w:t>
            </w:r>
          </w:p>
        </w:tc>
        <w:tc>
          <w:tcPr>
            <w:tcW w:w="860" w:type="dxa"/>
            <w:vAlign w:val="bottom"/>
          </w:tcPr>
          <w:p>
            <w:pPr>
              <w:jc w:val="right"/>
              <w:ind w:right="33"/>
              <w:spacing w:after="0" w:line="169" w:lineRule="exact"/>
              <w:rPr>
                <w:sz w:val="20"/>
                <w:szCs w:val="20"/>
                <w:color w:val="auto"/>
              </w:rPr>
            </w:pPr>
            <w:r>
              <w:rPr>
                <w:rFonts w:ascii="Arial" w:cs="Arial" w:eastAsia="Arial" w:hAnsi="Arial"/>
                <w:sz w:val="18"/>
                <w:szCs w:val="18"/>
                <w:color w:val="auto"/>
              </w:rPr>
              <w:t>(6,533)</w:t>
            </w:r>
          </w:p>
        </w:tc>
        <w:tc>
          <w:tcPr>
            <w:tcW w:w="1100" w:type="dxa"/>
            <w:vAlign w:val="bottom"/>
          </w:tcPr>
          <w:p>
            <w:pPr>
              <w:jc w:val="right"/>
              <w:ind w:right="253"/>
              <w:spacing w:after="0" w:line="169" w:lineRule="exact"/>
              <w:rPr>
                <w:sz w:val="20"/>
                <w:szCs w:val="20"/>
                <w:color w:val="auto"/>
              </w:rPr>
            </w:pPr>
            <w:r>
              <w:rPr>
                <w:rFonts w:ascii="Arial" w:cs="Arial" w:eastAsia="Arial" w:hAnsi="Arial"/>
                <w:sz w:val="18"/>
                <w:szCs w:val="18"/>
                <w:color w:val="auto"/>
              </w:rPr>
              <w:t>901</w:t>
            </w:r>
          </w:p>
        </w:tc>
        <w:tc>
          <w:tcPr>
            <w:tcW w:w="840" w:type="dxa"/>
            <w:vAlign w:val="bottom"/>
          </w:tcPr>
          <w:p>
            <w:pPr>
              <w:jc w:val="right"/>
              <w:ind w:right="112"/>
              <w:spacing w:after="0" w:line="169" w:lineRule="exact"/>
              <w:rPr>
                <w:sz w:val="20"/>
                <w:szCs w:val="20"/>
                <w:color w:val="auto"/>
              </w:rPr>
            </w:pPr>
            <w:r>
              <w:rPr>
                <w:rFonts w:ascii="Arial" w:cs="Arial" w:eastAsia="Arial" w:hAnsi="Arial"/>
                <w:sz w:val="18"/>
                <w:szCs w:val="18"/>
                <w:color w:val="auto"/>
              </w:rPr>
              <w:t>(5,632)</w:t>
            </w:r>
          </w:p>
        </w:tc>
        <w:tc>
          <w:tcPr>
            <w:tcW w:w="860" w:type="dxa"/>
            <w:vAlign w:val="bottom"/>
          </w:tcPr>
          <w:p>
            <w:pPr>
              <w:jc w:val="right"/>
              <w:ind w:right="32"/>
              <w:spacing w:after="0" w:line="169" w:lineRule="exact"/>
              <w:rPr>
                <w:sz w:val="20"/>
                <w:szCs w:val="20"/>
                <w:color w:val="auto"/>
              </w:rPr>
            </w:pPr>
            <w:r>
              <w:rPr>
                <w:rFonts w:ascii="Arial" w:cs="Arial" w:eastAsia="Arial" w:hAnsi="Arial"/>
                <w:sz w:val="18"/>
                <w:szCs w:val="18"/>
                <w:color w:val="auto"/>
              </w:rPr>
              <w:t>(469)</w:t>
            </w:r>
          </w:p>
        </w:tc>
        <w:tc>
          <w:tcPr>
            <w:tcW w:w="1000" w:type="dxa"/>
            <w:vAlign w:val="bottom"/>
          </w:tcPr>
          <w:p>
            <w:pPr>
              <w:jc w:val="right"/>
              <w:ind w:right="153"/>
              <w:spacing w:after="0" w:line="169" w:lineRule="exact"/>
              <w:rPr>
                <w:sz w:val="20"/>
                <w:szCs w:val="20"/>
                <w:color w:val="auto"/>
              </w:rPr>
            </w:pPr>
            <w:r>
              <w:rPr>
                <w:rFonts w:ascii="Arial" w:cs="Arial" w:eastAsia="Arial" w:hAnsi="Arial"/>
                <w:sz w:val="18"/>
                <w:szCs w:val="18"/>
                <w:color w:val="auto"/>
              </w:rPr>
              <w:t>5,751</w:t>
            </w:r>
          </w:p>
        </w:tc>
        <w:tc>
          <w:tcPr>
            <w:tcW w:w="760" w:type="dxa"/>
            <w:vAlign w:val="bottom"/>
          </w:tcPr>
          <w:p>
            <w:pPr>
              <w:jc w:val="right"/>
              <w:spacing w:after="0" w:line="169" w:lineRule="exact"/>
              <w:rPr>
                <w:sz w:val="20"/>
                <w:szCs w:val="20"/>
                <w:color w:val="auto"/>
              </w:rPr>
            </w:pPr>
            <w:r>
              <w:rPr>
                <w:rFonts w:ascii="Arial" w:cs="Arial" w:eastAsia="Arial" w:hAnsi="Arial"/>
                <w:sz w:val="18"/>
                <w:szCs w:val="18"/>
                <w:color w:val="auto"/>
              </w:rPr>
              <w:t>5,282</w:t>
            </w:r>
          </w:p>
        </w:tc>
        <w:tc>
          <w:tcPr>
            <w:tcW w:w="0" w:type="dxa"/>
            <w:vAlign w:val="bottom"/>
          </w:tcPr>
          <w:p>
            <w:pPr>
              <w:spacing w:after="0"/>
              <w:rPr>
                <w:sz w:val="1"/>
                <w:szCs w:val="1"/>
                <w:color w:val="auto"/>
              </w:rPr>
            </w:pPr>
          </w:p>
        </w:tc>
      </w:tr>
      <w:tr>
        <w:trPr>
          <w:trHeight w:val="215"/>
        </w:trPr>
        <w:tc>
          <w:tcPr>
            <w:tcW w:w="2980" w:type="dxa"/>
            <w:vAlign w:val="bottom"/>
          </w:tcPr>
          <w:p>
            <w:pPr>
              <w:ind w:left="680"/>
              <w:spacing w:after="0"/>
              <w:rPr>
                <w:sz w:val="20"/>
                <w:szCs w:val="20"/>
                <w:color w:val="auto"/>
              </w:rPr>
            </w:pPr>
            <w:r>
              <w:rPr>
                <w:rFonts w:ascii="Arial" w:cs="Arial" w:eastAsia="Arial" w:hAnsi="Arial"/>
                <w:sz w:val="18"/>
                <w:szCs w:val="18"/>
                <w:color w:val="auto"/>
              </w:rPr>
              <w:t>(benefit)</w:t>
            </w:r>
          </w:p>
        </w:tc>
        <w:tc>
          <w:tcPr>
            <w:tcW w:w="9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980" w:type="dxa"/>
            <w:vAlign w:val="bottom"/>
          </w:tcPr>
          <w:p>
            <w:pPr>
              <w:ind w:left="20"/>
              <w:spacing w:after="0"/>
              <w:rPr>
                <w:sz w:val="20"/>
                <w:szCs w:val="20"/>
                <w:color w:val="auto"/>
              </w:rPr>
            </w:pPr>
            <w:r>
              <w:rPr>
                <w:rFonts w:ascii="Arial" w:cs="Arial" w:eastAsia="Arial" w:hAnsi="Arial"/>
                <w:sz w:val="18"/>
                <w:szCs w:val="18"/>
                <w:color w:val="auto"/>
              </w:rPr>
              <w:t>All other taxes and duties</w:t>
            </w:r>
          </w:p>
        </w:tc>
        <w:tc>
          <w:tcPr>
            <w:tcW w:w="9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80" w:type="dxa"/>
            <w:vAlign w:val="bottom"/>
          </w:tcPr>
          <w:p>
            <w:pPr>
              <w:ind w:left="220"/>
              <w:spacing w:after="0"/>
              <w:rPr>
                <w:sz w:val="20"/>
                <w:szCs w:val="20"/>
                <w:color w:val="auto"/>
              </w:rPr>
            </w:pPr>
            <w:r>
              <w:rPr>
                <w:rFonts w:ascii="Arial" w:cs="Arial" w:eastAsia="Arial" w:hAnsi="Arial"/>
                <w:sz w:val="18"/>
                <w:szCs w:val="18"/>
                <w:color w:val="auto"/>
              </w:rPr>
              <w:t>Other taxes and duties</w:t>
            </w: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3,731</w:t>
            </w:r>
          </w:p>
        </w:tc>
        <w:tc>
          <w:tcPr>
            <w:tcW w:w="1000" w:type="dxa"/>
            <w:vAlign w:val="bottom"/>
          </w:tcPr>
          <w:p>
            <w:pPr>
              <w:jc w:val="right"/>
              <w:ind w:right="153"/>
              <w:spacing w:after="0"/>
              <w:rPr>
                <w:sz w:val="20"/>
                <w:szCs w:val="20"/>
                <w:color w:val="auto"/>
              </w:rPr>
            </w:pPr>
            <w:r>
              <w:rPr>
                <w:rFonts w:ascii="Arial" w:cs="Arial" w:eastAsia="Arial" w:hAnsi="Arial"/>
                <w:sz w:val="18"/>
                <w:szCs w:val="18"/>
                <w:color w:val="auto"/>
              </w:rPr>
              <w:t>26,508</w:t>
            </w:r>
          </w:p>
        </w:tc>
        <w:tc>
          <w:tcPr>
            <w:tcW w:w="940" w:type="dxa"/>
            <w:vAlign w:val="bottom"/>
          </w:tcPr>
          <w:p>
            <w:pPr>
              <w:jc w:val="right"/>
              <w:ind w:right="152"/>
              <w:spacing w:after="0"/>
              <w:rPr>
                <w:sz w:val="20"/>
                <w:szCs w:val="20"/>
                <w:color w:val="auto"/>
              </w:rPr>
            </w:pPr>
            <w:r>
              <w:rPr>
                <w:rFonts w:ascii="Arial" w:cs="Arial" w:eastAsia="Arial" w:hAnsi="Arial"/>
                <w:sz w:val="18"/>
                <w:szCs w:val="18"/>
                <w:color w:val="auto"/>
              </w:rPr>
              <w:t>30,239</w:t>
            </w:r>
          </w:p>
        </w:tc>
        <w:tc>
          <w:tcPr>
            <w:tcW w:w="860" w:type="dxa"/>
            <w:vAlign w:val="bottom"/>
          </w:tcPr>
          <w:p>
            <w:pPr>
              <w:jc w:val="right"/>
              <w:ind w:right="73"/>
              <w:spacing w:after="0"/>
              <w:rPr>
                <w:sz w:val="20"/>
                <w:szCs w:val="20"/>
                <w:color w:val="auto"/>
              </w:rPr>
            </w:pPr>
            <w:r>
              <w:rPr>
                <w:rFonts w:ascii="Arial" w:cs="Arial" w:eastAsia="Arial" w:hAnsi="Arial"/>
                <w:sz w:val="18"/>
                <w:szCs w:val="18"/>
                <w:color w:val="auto"/>
              </w:rPr>
              <w:t>3,108</w:t>
            </w:r>
          </w:p>
        </w:tc>
        <w:tc>
          <w:tcPr>
            <w:tcW w:w="1100" w:type="dxa"/>
            <w:vAlign w:val="bottom"/>
          </w:tcPr>
          <w:p>
            <w:pPr>
              <w:jc w:val="right"/>
              <w:ind w:right="253"/>
              <w:spacing w:after="0"/>
              <w:rPr>
                <w:sz w:val="20"/>
                <w:szCs w:val="20"/>
                <w:color w:val="auto"/>
              </w:rPr>
            </w:pPr>
            <w:r>
              <w:rPr>
                <w:rFonts w:ascii="Arial" w:cs="Arial" w:eastAsia="Arial" w:hAnsi="Arial"/>
                <w:sz w:val="18"/>
                <w:szCs w:val="18"/>
                <w:color w:val="auto"/>
              </w:rPr>
              <w:t>23,014</w:t>
            </w:r>
          </w:p>
        </w:tc>
        <w:tc>
          <w:tcPr>
            <w:tcW w:w="840" w:type="dxa"/>
            <w:vAlign w:val="bottom"/>
          </w:tcPr>
          <w:p>
            <w:pPr>
              <w:jc w:val="right"/>
              <w:ind w:right="152"/>
              <w:spacing w:after="0"/>
              <w:rPr>
                <w:sz w:val="20"/>
                <w:szCs w:val="20"/>
                <w:color w:val="auto"/>
              </w:rPr>
            </w:pPr>
            <w:r>
              <w:rPr>
                <w:rFonts w:ascii="Arial" w:cs="Arial" w:eastAsia="Arial" w:hAnsi="Arial"/>
                <w:sz w:val="18"/>
                <w:szCs w:val="18"/>
                <w:color w:val="auto"/>
              </w:rPr>
              <w:t>26,122</w:t>
            </w:r>
          </w:p>
        </w:tc>
        <w:tc>
          <w:tcPr>
            <w:tcW w:w="860" w:type="dxa"/>
            <w:vAlign w:val="bottom"/>
          </w:tcPr>
          <w:p>
            <w:pPr>
              <w:jc w:val="right"/>
              <w:ind w:right="92"/>
              <w:spacing w:after="0"/>
              <w:rPr>
                <w:sz w:val="20"/>
                <w:szCs w:val="20"/>
                <w:color w:val="auto"/>
              </w:rPr>
            </w:pPr>
            <w:r>
              <w:rPr>
                <w:rFonts w:ascii="Arial" w:cs="Arial" w:eastAsia="Arial" w:hAnsi="Arial"/>
                <w:sz w:val="18"/>
                <w:szCs w:val="18"/>
                <w:color w:val="auto"/>
              </w:rPr>
              <w:t>3,566</w:t>
            </w:r>
          </w:p>
        </w:tc>
        <w:tc>
          <w:tcPr>
            <w:tcW w:w="1000" w:type="dxa"/>
            <w:vAlign w:val="bottom"/>
          </w:tcPr>
          <w:p>
            <w:pPr>
              <w:jc w:val="right"/>
              <w:ind w:right="153"/>
              <w:spacing w:after="0"/>
              <w:rPr>
                <w:sz w:val="20"/>
                <w:szCs w:val="20"/>
                <w:color w:val="auto"/>
              </w:rPr>
            </w:pPr>
            <w:r>
              <w:rPr>
                <w:rFonts w:ascii="Arial" w:cs="Arial" w:eastAsia="Arial" w:hAnsi="Arial"/>
                <w:sz w:val="18"/>
                <w:szCs w:val="18"/>
                <w:color w:val="auto"/>
              </w:rPr>
              <w:t>26,959</w:t>
            </w:r>
          </w:p>
        </w:tc>
        <w:tc>
          <w:tcPr>
            <w:tcW w:w="760" w:type="dxa"/>
            <w:vAlign w:val="bottom"/>
          </w:tcPr>
          <w:p>
            <w:pPr>
              <w:jc w:val="right"/>
              <w:spacing w:after="0"/>
              <w:rPr>
                <w:sz w:val="20"/>
                <w:szCs w:val="20"/>
                <w:color w:val="auto"/>
              </w:rPr>
            </w:pPr>
            <w:r>
              <w:rPr>
                <w:rFonts w:ascii="Arial" w:cs="Arial" w:eastAsia="Arial" w:hAnsi="Arial"/>
                <w:sz w:val="18"/>
                <w:szCs w:val="18"/>
                <w:color w:val="auto"/>
              </w:rPr>
              <w:t>30,525</w:t>
            </w:r>
          </w:p>
        </w:tc>
        <w:tc>
          <w:tcPr>
            <w:tcW w:w="0" w:type="dxa"/>
            <w:vAlign w:val="bottom"/>
          </w:tcPr>
          <w:p>
            <w:pPr>
              <w:spacing w:after="0"/>
              <w:rPr>
                <w:sz w:val="1"/>
                <w:szCs w:val="1"/>
                <w:color w:val="auto"/>
              </w:rPr>
            </w:pPr>
          </w:p>
        </w:tc>
      </w:tr>
      <w:tr>
        <w:trPr>
          <w:trHeight w:val="176"/>
        </w:trPr>
        <w:tc>
          <w:tcPr>
            <w:tcW w:w="2980" w:type="dxa"/>
            <w:vAlign w:val="bottom"/>
          </w:tcPr>
          <w:p>
            <w:pPr>
              <w:ind w:left="220"/>
              <w:spacing w:after="0" w:line="176" w:lineRule="exact"/>
              <w:rPr>
                <w:sz w:val="20"/>
                <w:szCs w:val="20"/>
                <w:color w:val="auto"/>
              </w:rPr>
            </w:pPr>
            <w:r>
              <w:rPr>
                <w:rFonts w:ascii="Arial" w:cs="Arial" w:eastAsia="Arial" w:hAnsi="Arial"/>
                <w:sz w:val="18"/>
                <w:szCs w:val="18"/>
                <w:color w:val="auto"/>
              </w:rPr>
              <w:t>Included in production</w:t>
            </w:r>
          </w:p>
        </w:tc>
        <w:tc>
          <w:tcPr>
            <w:tcW w:w="900" w:type="dxa"/>
            <w:vAlign w:val="bottom"/>
            <w:vMerge w:val="restart"/>
          </w:tcPr>
          <w:p>
            <w:pPr>
              <w:jc w:val="right"/>
              <w:ind w:right="72"/>
              <w:spacing w:after="0"/>
              <w:rPr>
                <w:sz w:val="20"/>
                <w:szCs w:val="20"/>
                <w:color w:val="auto"/>
              </w:rPr>
            </w:pPr>
            <w:r>
              <w:rPr>
                <w:rFonts w:ascii="Arial" w:cs="Arial" w:eastAsia="Arial" w:hAnsi="Arial"/>
                <w:sz w:val="18"/>
                <w:szCs w:val="18"/>
                <w:color w:val="auto"/>
              </w:rPr>
              <w:t>1,589</w:t>
            </w:r>
          </w:p>
        </w:tc>
        <w:tc>
          <w:tcPr>
            <w:tcW w:w="1000" w:type="dxa"/>
            <w:vAlign w:val="bottom"/>
            <w:vMerge w:val="restart"/>
          </w:tcPr>
          <w:p>
            <w:pPr>
              <w:jc w:val="right"/>
              <w:ind w:right="153"/>
              <w:spacing w:after="0"/>
              <w:rPr>
                <w:sz w:val="20"/>
                <w:szCs w:val="20"/>
                <w:color w:val="auto"/>
              </w:rPr>
            </w:pPr>
            <w:r>
              <w:rPr>
                <w:rFonts w:ascii="Arial" w:cs="Arial" w:eastAsia="Arial" w:hAnsi="Arial"/>
                <w:sz w:val="18"/>
                <w:szCs w:val="18"/>
                <w:color w:val="auto"/>
              </w:rPr>
              <w:t>674</w:t>
            </w:r>
          </w:p>
        </w:tc>
        <w:tc>
          <w:tcPr>
            <w:tcW w:w="940" w:type="dxa"/>
            <w:vAlign w:val="bottom"/>
            <w:vMerge w:val="restart"/>
          </w:tcPr>
          <w:p>
            <w:pPr>
              <w:jc w:val="right"/>
              <w:ind w:right="152"/>
              <w:spacing w:after="0"/>
              <w:rPr>
                <w:sz w:val="20"/>
                <w:szCs w:val="20"/>
                <w:color w:val="auto"/>
              </w:rPr>
            </w:pPr>
            <w:r>
              <w:rPr>
                <w:rFonts w:ascii="Arial" w:cs="Arial" w:eastAsia="Arial" w:hAnsi="Arial"/>
                <w:sz w:val="18"/>
                <w:szCs w:val="18"/>
                <w:color w:val="auto"/>
              </w:rPr>
              <w:t>2,263</w:t>
            </w:r>
          </w:p>
        </w:tc>
        <w:tc>
          <w:tcPr>
            <w:tcW w:w="860" w:type="dxa"/>
            <w:vAlign w:val="bottom"/>
            <w:vMerge w:val="restart"/>
          </w:tcPr>
          <w:p>
            <w:pPr>
              <w:jc w:val="right"/>
              <w:ind w:right="73"/>
              <w:spacing w:after="0"/>
              <w:rPr>
                <w:sz w:val="20"/>
                <w:szCs w:val="20"/>
                <w:color w:val="auto"/>
              </w:rPr>
            </w:pPr>
            <w:r>
              <w:rPr>
                <w:rFonts w:ascii="Arial" w:cs="Arial" w:eastAsia="Arial" w:hAnsi="Arial"/>
                <w:sz w:val="18"/>
                <w:szCs w:val="18"/>
                <w:color w:val="auto"/>
              </w:rPr>
              <w:t>1,148</w:t>
            </w:r>
          </w:p>
        </w:tc>
        <w:tc>
          <w:tcPr>
            <w:tcW w:w="1100" w:type="dxa"/>
            <w:vAlign w:val="bottom"/>
            <w:vMerge w:val="restart"/>
          </w:tcPr>
          <w:p>
            <w:pPr>
              <w:jc w:val="right"/>
              <w:ind w:right="253"/>
              <w:spacing w:after="0"/>
              <w:rPr>
                <w:sz w:val="20"/>
                <w:szCs w:val="20"/>
                <w:color w:val="auto"/>
              </w:rPr>
            </w:pPr>
            <w:r>
              <w:rPr>
                <w:rFonts w:ascii="Arial" w:cs="Arial" w:eastAsia="Arial" w:hAnsi="Arial"/>
                <w:sz w:val="18"/>
                <w:szCs w:val="18"/>
                <w:color w:val="auto"/>
              </w:rPr>
              <w:t>663</w:t>
            </w:r>
          </w:p>
        </w:tc>
        <w:tc>
          <w:tcPr>
            <w:tcW w:w="840" w:type="dxa"/>
            <w:vAlign w:val="bottom"/>
            <w:vMerge w:val="restart"/>
          </w:tcPr>
          <w:p>
            <w:pPr>
              <w:jc w:val="right"/>
              <w:ind w:right="152"/>
              <w:spacing w:after="0"/>
              <w:rPr>
                <w:sz w:val="20"/>
                <w:szCs w:val="20"/>
                <w:color w:val="auto"/>
              </w:rPr>
            </w:pPr>
            <w:r>
              <w:rPr>
                <w:rFonts w:ascii="Arial" w:cs="Arial" w:eastAsia="Arial" w:hAnsi="Arial"/>
                <w:sz w:val="18"/>
                <w:szCs w:val="18"/>
                <w:color w:val="auto"/>
              </w:rPr>
              <w:t>1,811</w:t>
            </w:r>
          </w:p>
        </w:tc>
        <w:tc>
          <w:tcPr>
            <w:tcW w:w="860" w:type="dxa"/>
            <w:vAlign w:val="bottom"/>
            <w:vMerge w:val="restart"/>
          </w:tcPr>
          <w:p>
            <w:pPr>
              <w:jc w:val="right"/>
              <w:ind w:right="92"/>
              <w:spacing w:after="0"/>
              <w:rPr>
                <w:sz w:val="20"/>
                <w:szCs w:val="20"/>
                <w:color w:val="auto"/>
              </w:rPr>
            </w:pPr>
            <w:r>
              <w:rPr>
                <w:rFonts w:ascii="Arial" w:cs="Arial" w:eastAsia="Arial" w:hAnsi="Arial"/>
                <w:sz w:val="18"/>
                <w:szCs w:val="18"/>
                <w:color w:val="auto"/>
              </w:rPr>
              <w:t>1,385</w:t>
            </w:r>
          </w:p>
        </w:tc>
        <w:tc>
          <w:tcPr>
            <w:tcW w:w="1000" w:type="dxa"/>
            <w:vAlign w:val="bottom"/>
            <w:vMerge w:val="restart"/>
          </w:tcPr>
          <w:p>
            <w:pPr>
              <w:jc w:val="right"/>
              <w:ind w:right="153"/>
              <w:spacing w:after="0"/>
              <w:rPr>
                <w:sz w:val="20"/>
                <w:szCs w:val="20"/>
                <w:color w:val="auto"/>
              </w:rPr>
            </w:pPr>
            <w:r>
              <w:rPr>
                <w:rFonts w:ascii="Arial" w:cs="Arial" w:eastAsia="Arial" w:hAnsi="Arial"/>
                <w:sz w:val="18"/>
                <w:szCs w:val="18"/>
                <w:color w:val="auto"/>
              </w:rPr>
              <w:t>811</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2,196</w:t>
            </w:r>
          </w:p>
        </w:tc>
        <w:tc>
          <w:tcPr>
            <w:tcW w:w="0" w:type="dxa"/>
            <w:vAlign w:val="bottom"/>
          </w:tcPr>
          <w:p>
            <w:pPr>
              <w:spacing w:after="0"/>
              <w:rPr>
                <w:sz w:val="1"/>
                <w:szCs w:val="1"/>
                <w:color w:val="auto"/>
              </w:rPr>
            </w:pPr>
          </w:p>
        </w:tc>
      </w:tr>
      <w:tr>
        <w:trPr>
          <w:trHeight w:val="229"/>
        </w:trPr>
        <w:tc>
          <w:tcPr>
            <w:tcW w:w="2980" w:type="dxa"/>
            <w:vAlign w:val="bottom"/>
          </w:tcPr>
          <w:p>
            <w:pPr>
              <w:ind w:left="560"/>
              <w:spacing w:after="0"/>
              <w:rPr>
                <w:sz w:val="20"/>
                <w:szCs w:val="20"/>
                <w:color w:val="auto"/>
              </w:rPr>
            </w:pPr>
            <w:r>
              <w:rPr>
                <w:rFonts w:ascii="Arial" w:cs="Arial" w:eastAsia="Arial" w:hAnsi="Arial"/>
                <w:sz w:val="18"/>
                <w:szCs w:val="18"/>
                <w:color w:val="auto"/>
              </w:rPr>
              <w:t>and manufacturing expenses</w:t>
            </w:r>
          </w:p>
        </w:tc>
        <w:tc>
          <w:tcPr>
            <w:tcW w:w="90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80" w:type="dxa"/>
            <w:vAlign w:val="bottom"/>
          </w:tcPr>
          <w:p>
            <w:pPr>
              <w:ind w:left="220"/>
              <w:spacing w:after="0"/>
              <w:rPr>
                <w:sz w:val="20"/>
                <w:szCs w:val="20"/>
                <w:color w:val="auto"/>
              </w:rPr>
            </w:pPr>
            <w:r>
              <w:rPr>
                <w:rFonts w:ascii="Arial" w:cs="Arial" w:eastAsia="Arial" w:hAnsi="Arial"/>
                <w:sz w:val="18"/>
                <w:szCs w:val="18"/>
                <w:color w:val="auto"/>
              </w:rPr>
              <w:t>Included in SG&amp;A expenses</w:t>
            </w:r>
          </w:p>
        </w:tc>
        <w:tc>
          <w:tcPr>
            <w:tcW w:w="9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170</w:t>
            </w:r>
          </w:p>
        </w:tc>
        <w:tc>
          <w:tcPr>
            <w:tcW w:w="100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283</w:t>
            </w:r>
          </w:p>
        </w:tc>
        <w:tc>
          <w:tcPr>
            <w:tcW w:w="9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453</w:t>
            </w:r>
          </w:p>
        </w:tc>
        <w:tc>
          <w:tcPr>
            <w:tcW w:w="8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164</w:t>
            </w:r>
          </w:p>
        </w:tc>
        <w:tc>
          <w:tcPr>
            <w:tcW w:w="1100" w:type="dxa"/>
            <w:vAlign w:val="bottom"/>
            <w:tcBorders>
              <w:bottom w:val="single" w:sz="8" w:color="auto"/>
            </w:tcBorders>
          </w:tcPr>
          <w:p>
            <w:pPr>
              <w:jc w:val="right"/>
              <w:ind w:right="253"/>
              <w:spacing w:after="0"/>
              <w:rPr>
                <w:sz w:val="20"/>
                <w:szCs w:val="20"/>
                <w:color w:val="auto"/>
              </w:rPr>
            </w:pPr>
            <w:r>
              <w:rPr>
                <w:rFonts w:ascii="Arial" w:cs="Arial" w:eastAsia="Arial" w:hAnsi="Arial"/>
                <w:sz w:val="18"/>
                <w:szCs w:val="18"/>
                <w:color w:val="auto"/>
              </w:rPr>
              <w:t>328</w:t>
            </w:r>
          </w:p>
        </w:tc>
        <w:tc>
          <w:tcPr>
            <w:tcW w:w="8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492</w:t>
            </w:r>
          </w:p>
        </w:tc>
        <w:tc>
          <w:tcPr>
            <w:tcW w:w="8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160</w:t>
            </w:r>
          </w:p>
        </w:tc>
        <w:tc>
          <w:tcPr>
            <w:tcW w:w="100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305</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23"/>
        </w:trPr>
        <w:tc>
          <w:tcPr>
            <w:tcW w:w="2980" w:type="dxa"/>
            <w:vAlign w:val="bottom"/>
          </w:tcPr>
          <w:p>
            <w:pPr>
              <w:ind w:left="480"/>
              <w:spacing w:after="0"/>
              <w:rPr>
                <w:sz w:val="20"/>
                <w:szCs w:val="20"/>
                <w:color w:val="auto"/>
              </w:rPr>
            </w:pPr>
            <w:r>
              <w:rPr>
                <w:rFonts w:ascii="Arial" w:cs="Arial" w:eastAsia="Arial" w:hAnsi="Arial"/>
                <w:sz w:val="18"/>
                <w:szCs w:val="18"/>
                <w:color w:val="auto"/>
              </w:rPr>
              <w:t>Total other taxes and duties</w:t>
            </w:r>
          </w:p>
        </w:tc>
        <w:tc>
          <w:tcPr>
            <w:tcW w:w="9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5,490</w:t>
            </w:r>
          </w:p>
        </w:tc>
        <w:tc>
          <w:tcPr>
            <w:tcW w:w="100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27,465</w:t>
            </w:r>
          </w:p>
        </w:tc>
        <w:tc>
          <w:tcPr>
            <w:tcW w:w="9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32,955</w:t>
            </w:r>
          </w:p>
        </w:tc>
        <w:tc>
          <w:tcPr>
            <w:tcW w:w="8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4,420</w:t>
            </w:r>
          </w:p>
        </w:tc>
        <w:tc>
          <w:tcPr>
            <w:tcW w:w="1100" w:type="dxa"/>
            <w:vAlign w:val="bottom"/>
            <w:tcBorders>
              <w:bottom w:val="single" w:sz="8" w:color="auto"/>
            </w:tcBorders>
          </w:tcPr>
          <w:p>
            <w:pPr>
              <w:jc w:val="right"/>
              <w:ind w:right="253"/>
              <w:spacing w:after="0"/>
              <w:rPr>
                <w:sz w:val="20"/>
                <w:szCs w:val="20"/>
                <w:color w:val="auto"/>
              </w:rPr>
            </w:pPr>
            <w:r>
              <w:rPr>
                <w:rFonts w:ascii="Arial" w:cs="Arial" w:eastAsia="Arial" w:hAnsi="Arial"/>
                <w:sz w:val="18"/>
                <w:szCs w:val="18"/>
                <w:color w:val="auto"/>
              </w:rPr>
              <w:t>24,005</w:t>
            </w:r>
          </w:p>
        </w:tc>
        <w:tc>
          <w:tcPr>
            <w:tcW w:w="8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28,425</w:t>
            </w:r>
          </w:p>
        </w:tc>
        <w:tc>
          <w:tcPr>
            <w:tcW w:w="8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5,111</w:t>
            </w:r>
          </w:p>
        </w:tc>
        <w:tc>
          <w:tcPr>
            <w:tcW w:w="100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28,075</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33,186</w:t>
            </w:r>
          </w:p>
        </w:tc>
        <w:tc>
          <w:tcPr>
            <w:tcW w:w="0" w:type="dxa"/>
            <w:vAlign w:val="bottom"/>
          </w:tcPr>
          <w:p>
            <w:pPr>
              <w:spacing w:after="0"/>
              <w:rPr>
                <w:sz w:val="1"/>
                <w:szCs w:val="1"/>
                <w:color w:val="auto"/>
              </w:rPr>
            </w:pPr>
          </w:p>
        </w:tc>
      </w:tr>
      <w:tr>
        <w:trPr>
          <w:trHeight w:val="223"/>
        </w:trPr>
        <w:tc>
          <w:tcPr>
            <w:tcW w:w="2980" w:type="dxa"/>
            <w:vAlign w:val="bottom"/>
          </w:tcPr>
          <w:p>
            <w:pPr>
              <w:ind w:left="680"/>
              <w:spacing w:after="0"/>
              <w:rPr>
                <w:sz w:val="20"/>
                <w:szCs w:val="20"/>
                <w:color w:val="auto"/>
              </w:rPr>
            </w:pPr>
            <w:r>
              <w:rPr>
                <w:rFonts w:ascii="Arial" w:cs="Arial" w:eastAsia="Arial" w:hAnsi="Arial"/>
                <w:sz w:val="18"/>
                <w:szCs w:val="18"/>
                <w:color w:val="auto"/>
              </w:rPr>
              <w:t>Total</w:t>
            </w:r>
          </w:p>
        </w:tc>
        <w:tc>
          <w:tcPr>
            <w:tcW w:w="9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7,092</w:t>
            </w:r>
          </w:p>
        </w:tc>
        <w:tc>
          <w:tcPr>
            <w:tcW w:w="100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33,499</w:t>
            </w:r>
          </w:p>
        </w:tc>
        <w:tc>
          <w:tcPr>
            <w:tcW w:w="9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40,591</w:t>
            </w:r>
          </w:p>
        </w:tc>
        <w:tc>
          <w:tcPr>
            <w:tcW w:w="8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(2,113)</w:t>
            </w:r>
          </w:p>
        </w:tc>
        <w:tc>
          <w:tcPr>
            <w:tcW w:w="1100" w:type="dxa"/>
            <w:vAlign w:val="bottom"/>
            <w:tcBorders>
              <w:bottom w:val="single" w:sz="8" w:color="auto"/>
            </w:tcBorders>
          </w:tcPr>
          <w:p>
            <w:pPr>
              <w:jc w:val="right"/>
              <w:ind w:right="253"/>
              <w:spacing w:after="0"/>
              <w:rPr>
                <w:sz w:val="20"/>
                <w:szCs w:val="20"/>
                <w:color w:val="auto"/>
              </w:rPr>
            </w:pPr>
            <w:r>
              <w:rPr>
                <w:rFonts w:ascii="Arial" w:cs="Arial" w:eastAsia="Arial" w:hAnsi="Arial"/>
                <w:sz w:val="18"/>
                <w:szCs w:val="18"/>
                <w:color w:val="auto"/>
              </w:rPr>
              <w:t>24,906</w:t>
            </w:r>
          </w:p>
        </w:tc>
        <w:tc>
          <w:tcPr>
            <w:tcW w:w="8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22,793</w:t>
            </w:r>
          </w:p>
        </w:tc>
        <w:tc>
          <w:tcPr>
            <w:tcW w:w="8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4,642</w:t>
            </w:r>
          </w:p>
        </w:tc>
        <w:tc>
          <w:tcPr>
            <w:tcW w:w="100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33,826</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38,468</w:t>
            </w: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above provisions for deferred income taxes include net benefits of $53 million in 2021, $25 million in 2020, and $740 million in 2019 related to changes in tax laws and rates, and a benefit of $6.3 billion in 2020 related to asset impairments.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9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reconciliation between income tax expense (credit) and a theoretical U.S. tax computed by applying a rate of 21 percent for 2021, 2020 and 2019 is as follows: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2021</w:t>
            </w:r>
          </w:p>
        </w:tc>
        <w:tc>
          <w:tcPr>
            <w:tcW w:w="18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2020</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r>
      <w:tr>
        <w:trPr>
          <w:trHeight w:val="190"/>
        </w:trPr>
        <w:tc>
          <w:tcPr>
            <w:tcW w:w="66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880" w:type="dxa"/>
            <w:vAlign w:val="bottom"/>
          </w:tcPr>
          <w:p>
            <w:pPr>
              <w:jc w:val="right"/>
              <w:ind w:right="492"/>
              <w:spacing w:after="0"/>
              <w:rPr>
                <w:sz w:val="20"/>
                <w:szCs w:val="20"/>
                <w:color w:val="auto"/>
              </w:rPr>
            </w:pPr>
            <w:r>
              <w:rPr>
                <w:rFonts w:ascii="Arial" w:cs="Arial" w:eastAsia="Arial" w:hAnsi="Arial"/>
                <w:sz w:val="14"/>
                <w:szCs w:val="14"/>
                <w:i w:val="1"/>
                <w:iCs w:val="1"/>
                <w:color w:val="auto"/>
              </w:rPr>
              <w:t>(millions of dollars)</w:t>
            </w:r>
          </w:p>
        </w:tc>
        <w:tc>
          <w:tcPr>
            <w:tcW w:w="1160" w:type="dxa"/>
            <w:vAlign w:val="bottom"/>
          </w:tcPr>
          <w:p>
            <w:pPr>
              <w:spacing w:after="0"/>
              <w:rPr>
                <w:sz w:val="16"/>
                <w:szCs w:val="16"/>
                <w:color w:val="auto"/>
              </w:rPr>
            </w:pPr>
          </w:p>
        </w:tc>
      </w:tr>
      <w:tr>
        <w:trPr>
          <w:trHeight w:val="268"/>
        </w:trPr>
        <w:tc>
          <w:tcPr>
            <w:tcW w:w="6600" w:type="dxa"/>
            <w:vAlign w:val="bottom"/>
          </w:tcPr>
          <w:p>
            <w:pPr>
              <w:ind w:left="20"/>
              <w:spacing w:after="0"/>
              <w:rPr>
                <w:sz w:val="20"/>
                <w:szCs w:val="20"/>
                <w:color w:val="auto"/>
              </w:rPr>
            </w:pPr>
            <w:r>
              <w:rPr>
                <w:rFonts w:ascii="Arial" w:cs="Arial" w:eastAsia="Arial" w:hAnsi="Arial"/>
                <w:sz w:val="18"/>
                <w:szCs w:val="18"/>
                <w:color w:val="auto"/>
              </w:rPr>
              <w:t>Income (loss) before income taxes</w:t>
            </w:r>
          </w:p>
        </w:tc>
        <w:tc>
          <w:tcPr>
            <w:tcW w:w="160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29"/>
        </w:trPr>
        <w:tc>
          <w:tcPr>
            <w:tcW w:w="6600" w:type="dxa"/>
            <w:vAlign w:val="bottom"/>
          </w:tcPr>
          <w:p>
            <w:pPr>
              <w:ind w:left="220"/>
              <w:spacing w:after="0"/>
              <w:rPr>
                <w:sz w:val="20"/>
                <w:szCs w:val="20"/>
                <w:color w:val="auto"/>
              </w:rPr>
            </w:pPr>
            <w:r>
              <w:rPr>
                <w:rFonts w:ascii="Arial" w:cs="Arial" w:eastAsia="Arial" w:hAnsi="Arial"/>
                <w:sz w:val="18"/>
                <w:szCs w:val="18"/>
                <w:color w:val="auto"/>
              </w:rPr>
              <w:t>United States</w:t>
            </w:r>
          </w:p>
        </w:tc>
        <w:tc>
          <w:tcPr>
            <w:tcW w:w="1600" w:type="dxa"/>
            <w:vAlign w:val="bottom"/>
          </w:tcPr>
          <w:p>
            <w:pPr>
              <w:jc w:val="right"/>
              <w:ind w:right="251"/>
              <w:spacing w:after="0"/>
              <w:rPr>
                <w:sz w:val="20"/>
                <w:szCs w:val="20"/>
                <w:color w:val="auto"/>
              </w:rPr>
            </w:pPr>
            <w:r>
              <w:rPr>
                <w:rFonts w:ascii="Arial" w:cs="Arial" w:eastAsia="Arial" w:hAnsi="Arial"/>
                <w:sz w:val="18"/>
                <w:szCs w:val="18"/>
                <w:color w:val="auto"/>
              </w:rPr>
              <w:t>9,478</w:t>
            </w:r>
          </w:p>
        </w:tc>
        <w:tc>
          <w:tcPr>
            <w:tcW w:w="1880" w:type="dxa"/>
            <w:vAlign w:val="bottom"/>
          </w:tcPr>
          <w:p>
            <w:pPr>
              <w:jc w:val="right"/>
              <w:ind w:right="512"/>
              <w:spacing w:after="0"/>
              <w:rPr>
                <w:sz w:val="20"/>
                <w:szCs w:val="20"/>
                <w:color w:val="auto"/>
              </w:rPr>
            </w:pPr>
            <w:r>
              <w:rPr>
                <w:rFonts w:ascii="Arial" w:cs="Arial" w:eastAsia="Arial" w:hAnsi="Arial"/>
                <w:sz w:val="18"/>
                <w:szCs w:val="18"/>
                <w:color w:val="auto"/>
              </w:rPr>
              <w:t>(27,704)</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(53)</w:t>
            </w:r>
          </w:p>
        </w:tc>
      </w:tr>
      <w:tr>
        <w:trPr>
          <w:trHeight w:val="230"/>
        </w:trPr>
        <w:tc>
          <w:tcPr>
            <w:tcW w:w="6600" w:type="dxa"/>
            <w:vAlign w:val="bottom"/>
          </w:tcPr>
          <w:p>
            <w:pPr>
              <w:ind w:left="220"/>
              <w:spacing w:after="0"/>
              <w:rPr>
                <w:sz w:val="20"/>
                <w:szCs w:val="20"/>
                <w:color w:val="auto"/>
              </w:rPr>
            </w:pPr>
            <w:r>
              <w:rPr>
                <w:rFonts w:ascii="Arial" w:cs="Arial" w:eastAsia="Arial" w:hAnsi="Arial"/>
                <w:sz w:val="18"/>
                <w:szCs w:val="18"/>
                <w:color w:val="auto"/>
              </w:rPr>
              <w:t>Non-U.S.</w:t>
            </w:r>
          </w:p>
        </w:tc>
        <w:tc>
          <w:tcPr>
            <w:tcW w:w="160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21,756</w:t>
            </w:r>
          </w:p>
        </w:tc>
        <w:tc>
          <w:tcPr>
            <w:tcW w:w="188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color w:val="auto"/>
              </w:rPr>
              <w:t>(1,179)</w:t>
            </w:r>
          </w:p>
        </w:tc>
        <w:tc>
          <w:tcPr>
            <w:tcW w:w="11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20,109</w:t>
            </w:r>
          </w:p>
        </w:tc>
      </w:tr>
      <w:tr>
        <w:trPr>
          <w:trHeight w:val="223"/>
        </w:trPr>
        <w:tc>
          <w:tcPr>
            <w:tcW w:w="6600" w:type="dxa"/>
            <w:vAlign w:val="bottom"/>
          </w:tcPr>
          <w:p>
            <w:pPr>
              <w:ind w:left="480"/>
              <w:spacing w:after="0"/>
              <w:rPr>
                <w:sz w:val="20"/>
                <w:szCs w:val="20"/>
                <w:color w:val="auto"/>
              </w:rPr>
            </w:pPr>
            <w:r>
              <w:rPr>
                <w:rFonts w:ascii="Arial" w:cs="Arial" w:eastAsia="Arial" w:hAnsi="Arial"/>
                <w:sz w:val="18"/>
                <w:szCs w:val="18"/>
                <w:color w:val="auto"/>
              </w:rPr>
              <w:t>Total</w:t>
            </w:r>
          </w:p>
        </w:tc>
        <w:tc>
          <w:tcPr>
            <w:tcW w:w="160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31,234</w:t>
            </w:r>
          </w:p>
        </w:tc>
        <w:tc>
          <w:tcPr>
            <w:tcW w:w="188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color w:val="auto"/>
              </w:rPr>
              <w:t>(28,883)</w:t>
            </w:r>
          </w:p>
        </w:tc>
        <w:tc>
          <w:tcPr>
            <w:tcW w:w="11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20,056</w:t>
            </w:r>
          </w:p>
        </w:tc>
      </w:tr>
      <w:tr>
        <w:trPr>
          <w:trHeight w:val="222"/>
        </w:trPr>
        <w:tc>
          <w:tcPr>
            <w:tcW w:w="6600" w:type="dxa"/>
            <w:vAlign w:val="bottom"/>
          </w:tcPr>
          <w:p>
            <w:pPr>
              <w:ind w:left="20"/>
              <w:spacing w:after="0"/>
              <w:rPr>
                <w:sz w:val="20"/>
                <w:szCs w:val="20"/>
                <w:color w:val="auto"/>
              </w:rPr>
            </w:pPr>
            <w:r>
              <w:rPr>
                <w:rFonts w:ascii="Arial" w:cs="Arial" w:eastAsia="Arial" w:hAnsi="Arial"/>
                <w:sz w:val="18"/>
                <w:szCs w:val="18"/>
                <w:color w:val="auto"/>
              </w:rPr>
              <w:t>Theoretical tax</w:t>
            </w:r>
          </w:p>
        </w:tc>
        <w:tc>
          <w:tcPr>
            <w:tcW w:w="1600" w:type="dxa"/>
            <w:vAlign w:val="bottom"/>
          </w:tcPr>
          <w:p>
            <w:pPr>
              <w:jc w:val="right"/>
              <w:ind w:right="251"/>
              <w:spacing w:after="0"/>
              <w:rPr>
                <w:sz w:val="20"/>
                <w:szCs w:val="20"/>
                <w:color w:val="auto"/>
              </w:rPr>
            </w:pPr>
            <w:r>
              <w:rPr>
                <w:rFonts w:ascii="Arial" w:cs="Arial" w:eastAsia="Arial" w:hAnsi="Arial"/>
                <w:sz w:val="18"/>
                <w:szCs w:val="18"/>
                <w:color w:val="auto"/>
              </w:rPr>
              <w:t>6,559</w:t>
            </w:r>
          </w:p>
        </w:tc>
        <w:tc>
          <w:tcPr>
            <w:tcW w:w="1880" w:type="dxa"/>
            <w:vAlign w:val="bottom"/>
          </w:tcPr>
          <w:p>
            <w:pPr>
              <w:jc w:val="right"/>
              <w:ind w:right="512"/>
              <w:spacing w:after="0"/>
              <w:rPr>
                <w:sz w:val="20"/>
                <w:szCs w:val="20"/>
                <w:color w:val="auto"/>
              </w:rPr>
            </w:pPr>
            <w:r>
              <w:rPr>
                <w:rFonts w:ascii="Arial" w:cs="Arial" w:eastAsia="Arial" w:hAnsi="Arial"/>
                <w:sz w:val="18"/>
                <w:szCs w:val="18"/>
                <w:color w:val="auto"/>
              </w:rPr>
              <w:t>(6,065)</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4,212</w:t>
            </w:r>
          </w:p>
        </w:tc>
      </w:tr>
      <w:tr>
        <w:trPr>
          <w:trHeight w:val="229"/>
        </w:trPr>
        <w:tc>
          <w:tcPr>
            <w:tcW w:w="6600" w:type="dxa"/>
            <w:vAlign w:val="bottom"/>
          </w:tcPr>
          <w:p>
            <w:pPr>
              <w:ind w:left="20"/>
              <w:spacing w:after="0"/>
              <w:rPr>
                <w:sz w:val="20"/>
                <w:szCs w:val="20"/>
                <w:color w:val="auto"/>
              </w:rPr>
            </w:pPr>
            <w:r>
              <w:rPr>
                <w:rFonts w:ascii="Arial" w:cs="Arial" w:eastAsia="Arial" w:hAnsi="Arial"/>
                <w:sz w:val="18"/>
                <w:szCs w:val="18"/>
                <w:color w:val="auto"/>
              </w:rPr>
              <w:t>Effect of equity method of accounting</w:t>
            </w:r>
          </w:p>
        </w:tc>
        <w:tc>
          <w:tcPr>
            <w:tcW w:w="1600" w:type="dxa"/>
            <w:vAlign w:val="bottom"/>
          </w:tcPr>
          <w:p>
            <w:pPr>
              <w:jc w:val="right"/>
              <w:ind w:right="211"/>
              <w:spacing w:after="0"/>
              <w:rPr>
                <w:sz w:val="20"/>
                <w:szCs w:val="20"/>
                <w:color w:val="auto"/>
              </w:rPr>
            </w:pPr>
            <w:r>
              <w:rPr>
                <w:rFonts w:ascii="Arial" w:cs="Arial" w:eastAsia="Arial" w:hAnsi="Arial"/>
                <w:sz w:val="18"/>
                <w:szCs w:val="18"/>
                <w:color w:val="auto"/>
              </w:rPr>
              <w:t>(1,398)</w:t>
            </w:r>
          </w:p>
        </w:tc>
        <w:tc>
          <w:tcPr>
            <w:tcW w:w="1880" w:type="dxa"/>
            <w:vAlign w:val="bottom"/>
          </w:tcPr>
          <w:p>
            <w:pPr>
              <w:jc w:val="right"/>
              <w:ind w:right="512"/>
              <w:spacing w:after="0"/>
              <w:rPr>
                <w:sz w:val="20"/>
                <w:szCs w:val="20"/>
                <w:color w:val="auto"/>
              </w:rPr>
            </w:pPr>
            <w:r>
              <w:rPr>
                <w:rFonts w:ascii="Arial" w:cs="Arial" w:eastAsia="Arial" w:hAnsi="Arial"/>
                <w:sz w:val="18"/>
                <w:szCs w:val="18"/>
                <w:color w:val="auto"/>
              </w:rPr>
              <w:t>(364)</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(1,143)</w:t>
            </w:r>
          </w:p>
        </w:tc>
      </w:tr>
      <w:tr>
        <w:trPr>
          <w:trHeight w:val="229"/>
        </w:trPr>
        <w:tc>
          <w:tcPr>
            <w:tcW w:w="6600" w:type="dxa"/>
            <w:vAlign w:val="bottom"/>
          </w:tcPr>
          <w:p>
            <w:pPr>
              <w:ind w:left="20"/>
              <w:spacing w:after="0"/>
              <w:rPr>
                <w:sz w:val="20"/>
                <w:szCs w:val="20"/>
                <w:color w:val="auto"/>
              </w:rPr>
            </w:pPr>
            <w:r>
              <w:rPr>
                <w:rFonts w:ascii="Arial" w:cs="Arial" w:eastAsia="Arial" w:hAnsi="Arial"/>
                <w:sz w:val="18"/>
                <w:szCs w:val="18"/>
                <w:color w:val="auto"/>
              </w:rPr>
              <w:t xml:space="preserve">Non-U.S. taxes in excess of/(less than) theoretical U.S. tax </w:t>
            </w:r>
            <w:r>
              <w:rPr>
                <w:rFonts w:ascii="Arial" w:cs="Arial" w:eastAsia="Arial" w:hAnsi="Arial"/>
                <w:sz w:val="14"/>
                <w:szCs w:val="14"/>
                <w:i w:val="1"/>
                <w:iCs w:val="1"/>
                <w:color w:val="auto"/>
              </w:rPr>
              <w:t>(1)(2)</w:t>
            </w:r>
          </w:p>
        </w:tc>
        <w:tc>
          <w:tcPr>
            <w:tcW w:w="1600" w:type="dxa"/>
            <w:vAlign w:val="bottom"/>
          </w:tcPr>
          <w:p>
            <w:pPr>
              <w:jc w:val="right"/>
              <w:ind w:right="251"/>
              <w:spacing w:after="0"/>
              <w:rPr>
                <w:sz w:val="20"/>
                <w:szCs w:val="20"/>
                <w:color w:val="auto"/>
              </w:rPr>
            </w:pPr>
            <w:r>
              <w:rPr>
                <w:rFonts w:ascii="Arial" w:cs="Arial" w:eastAsia="Arial" w:hAnsi="Arial"/>
                <w:sz w:val="18"/>
                <w:szCs w:val="18"/>
                <w:color w:val="auto"/>
              </w:rPr>
              <w:t>2,809</w:t>
            </w:r>
          </w:p>
        </w:tc>
        <w:tc>
          <w:tcPr>
            <w:tcW w:w="1880" w:type="dxa"/>
            <w:vAlign w:val="bottom"/>
          </w:tcPr>
          <w:p>
            <w:pPr>
              <w:jc w:val="right"/>
              <w:ind w:right="552"/>
              <w:spacing w:after="0"/>
              <w:rPr>
                <w:sz w:val="20"/>
                <w:szCs w:val="20"/>
                <w:color w:val="auto"/>
              </w:rPr>
            </w:pPr>
            <w:r>
              <w:rPr>
                <w:rFonts w:ascii="Arial" w:cs="Arial" w:eastAsia="Arial" w:hAnsi="Arial"/>
                <w:sz w:val="18"/>
                <w:szCs w:val="18"/>
                <w:color w:val="auto"/>
              </w:rPr>
              <w:t>1,606</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2,573</w:t>
            </w:r>
          </w:p>
        </w:tc>
      </w:tr>
      <w:tr>
        <w:trPr>
          <w:trHeight w:val="230"/>
        </w:trPr>
        <w:tc>
          <w:tcPr>
            <w:tcW w:w="6600" w:type="dxa"/>
            <w:vAlign w:val="bottom"/>
          </w:tcPr>
          <w:p>
            <w:pPr>
              <w:ind w:left="20"/>
              <w:spacing w:after="0"/>
              <w:rPr>
                <w:sz w:val="20"/>
                <w:szCs w:val="20"/>
                <w:color w:val="auto"/>
              </w:rPr>
            </w:pPr>
            <w:r>
              <w:rPr>
                <w:rFonts w:ascii="Arial" w:cs="Arial" w:eastAsia="Arial" w:hAnsi="Arial"/>
                <w:sz w:val="18"/>
                <w:szCs w:val="18"/>
                <w:color w:val="auto"/>
              </w:rPr>
              <w:t xml:space="preserve">State taxes, net of federal tax benefit </w:t>
            </w:r>
            <w:r>
              <w:rPr>
                <w:rFonts w:ascii="Arial" w:cs="Arial" w:eastAsia="Arial" w:hAnsi="Arial"/>
                <w:sz w:val="14"/>
                <w:szCs w:val="14"/>
                <w:i w:val="1"/>
                <w:iCs w:val="1"/>
                <w:color w:val="auto"/>
              </w:rPr>
              <w:t>(1)</w:t>
            </w:r>
          </w:p>
        </w:tc>
        <w:tc>
          <w:tcPr>
            <w:tcW w:w="1600" w:type="dxa"/>
            <w:vAlign w:val="bottom"/>
          </w:tcPr>
          <w:p>
            <w:pPr>
              <w:jc w:val="right"/>
              <w:ind w:right="251"/>
              <w:spacing w:after="0"/>
              <w:rPr>
                <w:sz w:val="20"/>
                <w:szCs w:val="20"/>
                <w:color w:val="auto"/>
              </w:rPr>
            </w:pPr>
            <w:r>
              <w:rPr>
                <w:rFonts w:ascii="Arial" w:cs="Arial" w:eastAsia="Arial" w:hAnsi="Arial"/>
                <w:sz w:val="18"/>
                <w:szCs w:val="18"/>
                <w:color w:val="auto"/>
              </w:rPr>
              <w:t>371</w:t>
            </w:r>
          </w:p>
        </w:tc>
        <w:tc>
          <w:tcPr>
            <w:tcW w:w="1880" w:type="dxa"/>
            <w:vAlign w:val="bottom"/>
          </w:tcPr>
          <w:p>
            <w:pPr>
              <w:jc w:val="right"/>
              <w:ind w:right="512"/>
              <w:spacing w:after="0"/>
              <w:rPr>
                <w:sz w:val="20"/>
                <w:szCs w:val="20"/>
                <w:color w:val="auto"/>
              </w:rPr>
            </w:pPr>
            <w:r>
              <w:rPr>
                <w:rFonts w:ascii="Arial" w:cs="Arial" w:eastAsia="Arial" w:hAnsi="Arial"/>
                <w:sz w:val="18"/>
                <w:szCs w:val="18"/>
                <w:color w:val="auto"/>
              </w:rPr>
              <w:t>(603)</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(144)</w:t>
            </w:r>
          </w:p>
        </w:tc>
      </w:tr>
      <w:tr>
        <w:trPr>
          <w:trHeight w:val="230"/>
        </w:trPr>
        <w:tc>
          <w:tcPr>
            <w:tcW w:w="6600" w:type="dxa"/>
            <w:vAlign w:val="bottom"/>
          </w:tcPr>
          <w:p>
            <w:pPr>
              <w:ind w:left="20"/>
              <w:spacing w:after="0"/>
              <w:rPr>
                <w:sz w:val="20"/>
                <w:szCs w:val="20"/>
                <w:color w:val="auto"/>
              </w:rPr>
            </w:pPr>
            <w:r>
              <w:rPr>
                <w:rFonts w:ascii="Arial" w:cs="Arial" w:eastAsia="Arial" w:hAnsi="Arial"/>
                <w:sz w:val="18"/>
                <w:szCs w:val="18"/>
                <w:color w:val="auto"/>
              </w:rPr>
              <w:t>Other</w:t>
            </w:r>
          </w:p>
        </w:tc>
        <w:tc>
          <w:tcPr>
            <w:tcW w:w="160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(705)</w:t>
            </w:r>
          </w:p>
        </w:tc>
        <w:tc>
          <w:tcPr>
            <w:tcW w:w="188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color w:val="auto"/>
              </w:rPr>
              <w:t>(206)</w:t>
            </w:r>
          </w:p>
        </w:tc>
        <w:tc>
          <w:tcPr>
            <w:tcW w:w="116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(216)</w:t>
            </w:r>
          </w:p>
        </w:tc>
      </w:tr>
      <w:tr>
        <w:trPr>
          <w:trHeight w:val="223"/>
        </w:trPr>
        <w:tc>
          <w:tcPr>
            <w:tcW w:w="6600" w:type="dxa"/>
            <w:vAlign w:val="bottom"/>
          </w:tcPr>
          <w:p>
            <w:pPr>
              <w:ind w:left="480"/>
              <w:spacing w:after="0"/>
              <w:rPr>
                <w:sz w:val="20"/>
                <w:szCs w:val="20"/>
                <w:color w:val="auto"/>
              </w:rPr>
            </w:pPr>
            <w:r>
              <w:rPr>
                <w:rFonts w:ascii="Arial" w:cs="Arial" w:eastAsia="Arial" w:hAnsi="Arial"/>
                <w:sz w:val="18"/>
                <w:szCs w:val="18"/>
                <w:color w:val="auto"/>
              </w:rPr>
              <w:t>Total income tax expense (credit)</w:t>
            </w:r>
          </w:p>
        </w:tc>
        <w:tc>
          <w:tcPr>
            <w:tcW w:w="160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7,636</w:t>
            </w:r>
          </w:p>
        </w:tc>
        <w:tc>
          <w:tcPr>
            <w:tcW w:w="188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color w:val="auto"/>
              </w:rPr>
              <w:t>(5,632)</w:t>
            </w:r>
          </w:p>
        </w:tc>
        <w:tc>
          <w:tcPr>
            <w:tcW w:w="11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5,282</w:t>
            </w:r>
          </w:p>
        </w:tc>
      </w:tr>
      <w:tr>
        <w:trPr>
          <w:trHeight w:val="465"/>
        </w:trPr>
        <w:tc>
          <w:tcPr>
            <w:tcW w:w="6600" w:type="dxa"/>
            <w:vAlign w:val="bottom"/>
          </w:tcPr>
          <w:p>
            <w:pPr>
              <w:ind w:left="20"/>
              <w:spacing w:after="0"/>
              <w:rPr>
                <w:sz w:val="20"/>
                <w:szCs w:val="20"/>
                <w:color w:val="auto"/>
              </w:rPr>
            </w:pPr>
            <w:r>
              <w:rPr>
                <w:rFonts w:ascii="Arial" w:cs="Arial" w:eastAsia="Arial" w:hAnsi="Arial"/>
                <w:sz w:val="18"/>
                <w:szCs w:val="18"/>
                <w:color w:val="auto"/>
              </w:rPr>
              <w:t>Effective tax rate calculation</w:t>
            </w:r>
          </w:p>
        </w:tc>
        <w:tc>
          <w:tcPr>
            <w:tcW w:w="16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29"/>
        </w:trPr>
        <w:tc>
          <w:tcPr>
            <w:tcW w:w="6600" w:type="dxa"/>
            <w:vAlign w:val="bottom"/>
          </w:tcPr>
          <w:p>
            <w:pPr>
              <w:ind w:left="20"/>
              <w:spacing w:after="0"/>
              <w:rPr>
                <w:sz w:val="20"/>
                <w:szCs w:val="20"/>
                <w:color w:val="auto"/>
              </w:rPr>
            </w:pPr>
            <w:r>
              <w:rPr>
                <w:rFonts w:ascii="Arial" w:cs="Arial" w:eastAsia="Arial" w:hAnsi="Arial"/>
                <w:sz w:val="18"/>
                <w:szCs w:val="18"/>
                <w:color w:val="auto"/>
              </w:rPr>
              <w:t>Income tax expense (credit)</w:t>
            </w:r>
          </w:p>
        </w:tc>
        <w:tc>
          <w:tcPr>
            <w:tcW w:w="1600" w:type="dxa"/>
            <w:vAlign w:val="bottom"/>
          </w:tcPr>
          <w:p>
            <w:pPr>
              <w:jc w:val="right"/>
              <w:ind w:right="251"/>
              <w:spacing w:after="0"/>
              <w:rPr>
                <w:sz w:val="20"/>
                <w:szCs w:val="20"/>
                <w:color w:val="auto"/>
              </w:rPr>
            </w:pPr>
            <w:r>
              <w:rPr>
                <w:rFonts w:ascii="Arial" w:cs="Arial" w:eastAsia="Arial" w:hAnsi="Arial"/>
                <w:sz w:val="18"/>
                <w:szCs w:val="18"/>
                <w:color w:val="auto"/>
              </w:rPr>
              <w:t>7,636</w:t>
            </w:r>
          </w:p>
        </w:tc>
        <w:tc>
          <w:tcPr>
            <w:tcW w:w="1880" w:type="dxa"/>
            <w:vAlign w:val="bottom"/>
          </w:tcPr>
          <w:p>
            <w:pPr>
              <w:jc w:val="right"/>
              <w:ind w:right="512"/>
              <w:spacing w:after="0"/>
              <w:rPr>
                <w:sz w:val="20"/>
                <w:szCs w:val="20"/>
                <w:color w:val="auto"/>
              </w:rPr>
            </w:pPr>
            <w:r>
              <w:rPr>
                <w:rFonts w:ascii="Arial" w:cs="Arial" w:eastAsia="Arial" w:hAnsi="Arial"/>
                <w:sz w:val="18"/>
                <w:szCs w:val="18"/>
                <w:color w:val="auto"/>
              </w:rPr>
              <w:t>(5,632)</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5,282</w:t>
            </w:r>
          </w:p>
        </w:tc>
      </w:tr>
      <w:tr>
        <w:trPr>
          <w:trHeight w:val="230"/>
        </w:trPr>
        <w:tc>
          <w:tcPr>
            <w:tcW w:w="6600" w:type="dxa"/>
            <w:vAlign w:val="bottom"/>
          </w:tcPr>
          <w:p>
            <w:pPr>
              <w:ind w:left="20"/>
              <w:spacing w:after="0"/>
              <w:rPr>
                <w:sz w:val="20"/>
                <w:szCs w:val="20"/>
                <w:color w:val="auto"/>
              </w:rPr>
            </w:pPr>
            <w:r>
              <w:rPr>
                <w:rFonts w:ascii="Arial" w:cs="Arial" w:eastAsia="Arial" w:hAnsi="Arial"/>
                <w:sz w:val="18"/>
                <w:szCs w:val="18"/>
                <w:color w:val="auto"/>
              </w:rPr>
              <w:t>ExxonMobil share of equity company income taxes</w:t>
            </w:r>
          </w:p>
        </w:tc>
        <w:tc>
          <w:tcPr>
            <w:tcW w:w="160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2,756</w:t>
            </w:r>
          </w:p>
        </w:tc>
        <w:tc>
          <w:tcPr>
            <w:tcW w:w="1880" w:type="dxa"/>
            <w:vAlign w:val="bottom"/>
            <w:tcBorders>
              <w:bottom w:val="single" w:sz="8" w:color="auto"/>
            </w:tcBorders>
          </w:tcPr>
          <w:p>
            <w:pPr>
              <w:jc w:val="right"/>
              <w:ind w:right="552"/>
              <w:spacing w:after="0"/>
              <w:rPr>
                <w:sz w:val="20"/>
                <w:szCs w:val="20"/>
                <w:color w:val="auto"/>
              </w:rPr>
            </w:pPr>
            <w:r>
              <w:rPr>
                <w:rFonts w:ascii="Arial" w:cs="Arial" w:eastAsia="Arial" w:hAnsi="Arial"/>
                <w:sz w:val="18"/>
                <w:szCs w:val="18"/>
                <w:color w:val="auto"/>
              </w:rPr>
              <w:t>861</w:t>
            </w:r>
          </w:p>
        </w:tc>
        <w:tc>
          <w:tcPr>
            <w:tcW w:w="11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2,490</w:t>
            </w:r>
          </w:p>
        </w:tc>
      </w:tr>
      <w:tr>
        <w:trPr>
          <w:trHeight w:val="222"/>
        </w:trPr>
        <w:tc>
          <w:tcPr>
            <w:tcW w:w="6600" w:type="dxa"/>
            <w:vAlign w:val="bottom"/>
          </w:tcPr>
          <w:p>
            <w:pPr>
              <w:ind w:left="480"/>
              <w:spacing w:after="0"/>
              <w:rPr>
                <w:sz w:val="20"/>
                <w:szCs w:val="20"/>
                <w:color w:val="auto"/>
              </w:rPr>
            </w:pPr>
            <w:r>
              <w:rPr>
                <w:rFonts w:ascii="Arial" w:cs="Arial" w:eastAsia="Arial" w:hAnsi="Arial"/>
                <w:sz w:val="18"/>
                <w:szCs w:val="18"/>
                <w:color w:val="auto"/>
              </w:rPr>
              <w:t>Total income tax expense (credit)</w:t>
            </w:r>
          </w:p>
        </w:tc>
        <w:tc>
          <w:tcPr>
            <w:tcW w:w="1600" w:type="dxa"/>
            <w:vAlign w:val="bottom"/>
          </w:tcPr>
          <w:p>
            <w:pPr>
              <w:jc w:val="right"/>
              <w:ind w:right="251"/>
              <w:spacing w:after="0"/>
              <w:rPr>
                <w:sz w:val="20"/>
                <w:szCs w:val="20"/>
                <w:color w:val="auto"/>
              </w:rPr>
            </w:pPr>
            <w:r>
              <w:rPr>
                <w:rFonts w:ascii="Arial" w:cs="Arial" w:eastAsia="Arial" w:hAnsi="Arial"/>
                <w:sz w:val="18"/>
                <w:szCs w:val="18"/>
                <w:color w:val="auto"/>
              </w:rPr>
              <w:t>10,392</w:t>
            </w:r>
          </w:p>
        </w:tc>
        <w:tc>
          <w:tcPr>
            <w:tcW w:w="1880" w:type="dxa"/>
            <w:vAlign w:val="bottom"/>
          </w:tcPr>
          <w:p>
            <w:pPr>
              <w:jc w:val="right"/>
              <w:ind w:right="512"/>
              <w:spacing w:after="0"/>
              <w:rPr>
                <w:sz w:val="20"/>
                <w:szCs w:val="20"/>
                <w:color w:val="auto"/>
              </w:rPr>
            </w:pPr>
            <w:r>
              <w:rPr>
                <w:rFonts w:ascii="Arial" w:cs="Arial" w:eastAsia="Arial" w:hAnsi="Arial"/>
                <w:sz w:val="18"/>
                <w:szCs w:val="18"/>
                <w:color w:val="auto"/>
              </w:rPr>
              <w:t>(4,771)</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7,772</w:t>
            </w:r>
          </w:p>
        </w:tc>
      </w:tr>
      <w:tr>
        <w:trPr>
          <w:trHeight w:val="230"/>
        </w:trPr>
        <w:tc>
          <w:tcPr>
            <w:tcW w:w="6600" w:type="dxa"/>
            <w:vAlign w:val="bottom"/>
          </w:tcPr>
          <w:p>
            <w:pPr>
              <w:ind w:left="20"/>
              <w:spacing w:after="0"/>
              <w:rPr>
                <w:sz w:val="20"/>
                <w:szCs w:val="20"/>
                <w:color w:val="auto"/>
              </w:rPr>
            </w:pPr>
            <w:r>
              <w:rPr>
                <w:rFonts w:ascii="Arial" w:cs="Arial" w:eastAsia="Arial" w:hAnsi="Arial"/>
                <w:sz w:val="18"/>
                <w:szCs w:val="18"/>
                <w:color w:val="auto"/>
              </w:rPr>
              <w:t>Net income (loss) including noncontrolling interests</w:t>
            </w:r>
          </w:p>
        </w:tc>
        <w:tc>
          <w:tcPr>
            <w:tcW w:w="160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23,598</w:t>
            </w:r>
          </w:p>
        </w:tc>
        <w:tc>
          <w:tcPr>
            <w:tcW w:w="188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color w:val="auto"/>
              </w:rPr>
              <w:t>(23,251)</w:t>
            </w:r>
          </w:p>
        </w:tc>
        <w:tc>
          <w:tcPr>
            <w:tcW w:w="11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14,774</w:t>
            </w:r>
          </w:p>
        </w:tc>
      </w:tr>
      <w:tr>
        <w:trPr>
          <w:trHeight w:val="223"/>
        </w:trPr>
        <w:tc>
          <w:tcPr>
            <w:tcW w:w="6600" w:type="dxa"/>
            <w:vAlign w:val="bottom"/>
          </w:tcPr>
          <w:p>
            <w:pPr>
              <w:ind w:left="480"/>
              <w:spacing w:after="0"/>
              <w:rPr>
                <w:sz w:val="20"/>
                <w:szCs w:val="20"/>
                <w:color w:val="auto"/>
              </w:rPr>
            </w:pPr>
            <w:r>
              <w:rPr>
                <w:rFonts w:ascii="Arial" w:cs="Arial" w:eastAsia="Arial" w:hAnsi="Arial"/>
                <w:sz w:val="18"/>
                <w:szCs w:val="18"/>
                <w:color w:val="auto"/>
              </w:rPr>
              <w:t>Total income (loss) before taxes</w:t>
            </w:r>
          </w:p>
        </w:tc>
        <w:tc>
          <w:tcPr>
            <w:tcW w:w="160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33,990</w:t>
            </w:r>
          </w:p>
        </w:tc>
        <w:tc>
          <w:tcPr>
            <w:tcW w:w="188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color w:val="auto"/>
              </w:rPr>
              <w:t>(28,022)</w:t>
            </w:r>
          </w:p>
        </w:tc>
        <w:tc>
          <w:tcPr>
            <w:tcW w:w="11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22,546</w:t>
            </w:r>
          </w:p>
        </w:tc>
      </w:tr>
      <w:tr>
        <w:trPr>
          <w:trHeight w:val="224"/>
        </w:trPr>
        <w:tc>
          <w:tcPr>
            <w:tcW w:w="6600" w:type="dxa"/>
            <w:vAlign w:val="bottom"/>
          </w:tcPr>
          <w:p>
            <w:pPr>
              <w:ind w:left="20"/>
              <w:spacing w:after="0"/>
              <w:rPr>
                <w:sz w:val="20"/>
                <w:szCs w:val="20"/>
                <w:color w:val="auto"/>
              </w:rPr>
            </w:pPr>
            <w:r>
              <w:rPr>
                <w:rFonts w:ascii="Arial" w:cs="Arial" w:eastAsia="Arial" w:hAnsi="Arial"/>
                <w:sz w:val="18"/>
                <w:szCs w:val="18"/>
                <w:color w:val="auto"/>
              </w:rPr>
              <w:t>Effective income tax rate</w:t>
            </w:r>
          </w:p>
        </w:tc>
        <w:tc>
          <w:tcPr>
            <w:tcW w:w="1600" w:type="dxa"/>
            <w:vAlign w:val="bottom"/>
          </w:tcPr>
          <w:p>
            <w:pPr>
              <w:jc w:val="right"/>
              <w:ind w:right="51"/>
              <w:spacing w:after="0"/>
              <w:rPr>
                <w:sz w:val="20"/>
                <w:szCs w:val="20"/>
                <w:color w:val="auto"/>
              </w:rPr>
            </w:pPr>
            <w:r>
              <w:rPr>
                <w:rFonts w:ascii="Arial" w:cs="Arial" w:eastAsia="Arial" w:hAnsi="Arial"/>
                <w:sz w:val="18"/>
                <w:szCs w:val="18"/>
                <w:color w:val="auto"/>
              </w:rPr>
              <w:t>31 %</w:t>
            </w:r>
          </w:p>
        </w:tc>
        <w:tc>
          <w:tcPr>
            <w:tcW w:w="1880" w:type="dxa"/>
            <w:vAlign w:val="bottom"/>
          </w:tcPr>
          <w:p>
            <w:pPr>
              <w:jc w:val="right"/>
              <w:ind w:right="352"/>
              <w:spacing w:after="0"/>
              <w:rPr>
                <w:sz w:val="20"/>
                <w:szCs w:val="20"/>
                <w:color w:val="auto"/>
              </w:rPr>
            </w:pPr>
            <w:r>
              <w:rPr>
                <w:rFonts w:ascii="Arial" w:cs="Arial" w:eastAsia="Arial" w:hAnsi="Arial"/>
                <w:sz w:val="18"/>
                <w:szCs w:val="18"/>
                <w:color w:val="auto"/>
              </w:rPr>
              <w:t>17 %</w:t>
            </w:r>
          </w:p>
        </w:tc>
        <w:tc>
          <w:tcPr>
            <w:tcW w:w="1160" w:type="dxa"/>
            <w:vAlign w:val="bottom"/>
          </w:tcPr>
          <w:p>
            <w:pPr>
              <w:jc w:val="right"/>
              <w:spacing w:after="0"/>
              <w:rPr>
                <w:sz w:val="20"/>
                <w:szCs w:val="20"/>
                <w:color w:val="auto"/>
              </w:rPr>
            </w:pPr>
            <w:r>
              <w:rPr>
                <w:rFonts w:ascii="Arial" w:cs="Arial" w:eastAsia="Arial" w:hAnsi="Arial"/>
                <w:sz w:val="18"/>
                <w:szCs w:val="18"/>
                <w:color w:val="auto"/>
              </w:rPr>
              <w:t>34 %</w:t>
            </w:r>
          </w:p>
        </w:tc>
      </w:tr>
    </w:tbl>
    <w:p>
      <w:pPr>
        <w:spacing w:after="0" w:line="309" w:lineRule="exact"/>
        <w:rPr>
          <w:sz w:val="20"/>
          <w:szCs w:val="20"/>
          <w:color w:val="auto"/>
        </w:rPr>
      </w:pPr>
    </w:p>
    <w:p>
      <w:pPr>
        <w:ind w:left="320" w:hanging="312"/>
        <w:spacing w:after="0"/>
        <w:tabs>
          <w:tab w:leader="none" w:pos="320" w:val="left"/>
        </w:tabs>
        <w:numPr>
          <w:ilvl w:val="0"/>
          <w:numId w:val="32"/>
        </w:numPr>
        <w:rPr>
          <w:rFonts w:ascii="Arial" w:cs="Arial" w:eastAsia="Arial" w:hAnsi="Arial"/>
          <w:sz w:val="18"/>
          <w:szCs w:val="18"/>
          <w:i w:val="1"/>
          <w:iCs w:val="1"/>
          <w:color w:val="auto"/>
        </w:rPr>
      </w:pPr>
      <w:r>
        <w:rPr>
          <w:rFonts w:ascii="Arial" w:cs="Arial" w:eastAsia="Arial" w:hAnsi="Arial"/>
          <w:sz w:val="18"/>
          <w:szCs w:val="18"/>
          <w:i w:val="1"/>
          <w:iCs w:val="1"/>
          <w:color w:val="auto"/>
        </w:rPr>
        <w:t>2020 includes the impact of an increase in valuation allowance of $647 million in non-U.S. and $115 million in U.S. state jurisdictions.</w:t>
      </w:r>
    </w:p>
    <w:p>
      <w:pPr>
        <w:spacing w:after="0" w:line="23" w:lineRule="exact"/>
        <w:rPr>
          <w:rFonts w:ascii="Arial" w:cs="Arial" w:eastAsia="Arial" w:hAnsi="Arial"/>
          <w:sz w:val="18"/>
          <w:szCs w:val="18"/>
          <w:i w:val="1"/>
          <w:iCs w:val="1"/>
          <w:color w:val="auto"/>
        </w:rPr>
      </w:pPr>
    </w:p>
    <w:p>
      <w:pPr>
        <w:ind w:left="340" w:hanging="332"/>
        <w:spacing w:after="0" w:line="260" w:lineRule="auto"/>
        <w:tabs>
          <w:tab w:leader="none" w:pos="334" w:val="left"/>
        </w:tabs>
        <w:numPr>
          <w:ilvl w:val="0"/>
          <w:numId w:val="32"/>
        </w:numPr>
        <w:rPr>
          <w:rFonts w:ascii="Arial" w:cs="Arial" w:eastAsia="Arial" w:hAnsi="Arial"/>
          <w:sz w:val="18"/>
          <w:szCs w:val="18"/>
          <w:i w:val="1"/>
          <w:iCs w:val="1"/>
          <w:color w:val="auto"/>
        </w:rPr>
      </w:pPr>
      <w:r>
        <w:rPr>
          <w:rFonts w:ascii="Arial" w:cs="Arial" w:eastAsia="Arial" w:hAnsi="Arial"/>
          <w:sz w:val="18"/>
          <w:szCs w:val="18"/>
          <w:i w:val="1"/>
          <w:iCs w:val="1"/>
          <w:color w:val="auto"/>
        </w:rPr>
        <w:t>2019 includes taxes less than the theoretical U.S. tax of $773 million from Norway operations and the sale of upstream assets, $657 million from a tax rate change in Alberta, Canada, and $268 million from an adjustment to a prior year tax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9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Deferred income taxes reflect the impact of temporary differences between the amount of assets and liabilities recognized for financial reporting purposes and such amounts recognized for tax purposes.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00" w:type="dxa"/>
            <w:vAlign w:val="bottom"/>
          </w:tcPr>
          <w:p>
            <w:pPr>
              <w:spacing w:after="0"/>
              <w:rPr>
                <w:sz w:val="20"/>
                <w:szCs w:val="20"/>
                <w:color w:val="auto"/>
              </w:rPr>
            </w:pPr>
            <w:r>
              <w:rPr>
                <w:rFonts w:ascii="Arial" w:cs="Arial" w:eastAsia="Arial" w:hAnsi="Arial"/>
                <w:sz w:val="18"/>
                <w:szCs w:val="18"/>
                <w:color w:val="auto"/>
              </w:rPr>
              <w:t>Deferred tax liabilities/(assets) are comprised of the following at December 31:</w:t>
            </w:r>
          </w:p>
        </w:tc>
        <w:tc>
          <w:tcPr>
            <w:tcW w:w="210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338"/>
        </w:trPr>
        <w:tc>
          <w:tcPr>
            <w:tcW w:w="84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Tax effects of temporary differences for:</w:t>
            </w:r>
          </w:p>
        </w:tc>
        <w:tc>
          <w:tcPr>
            <w:tcW w:w="210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2021</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r>
      <w:tr>
        <w:trPr>
          <w:trHeight w:val="184"/>
        </w:trPr>
        <w:tc>
          <w:tcPr>
            <w:tcW w:w="8400" w:type="dxa"/>
            <w:vAlign w:val="bottom"/>
          </w:tcPr>
          <w:p>
            <w:pPr>
              <w:spacing w:after="0"/>
              <w:rPr>
                <w:sz w:val="16"/>
                <w:szCs w:val="16"/>
                <w:color w:val="auto"/>
              </w:rPr>
            </w:pPr>
          </w:p>
        </w:tc>
        <w:tc>
          <w:tcPr>
            <w:tcW w:w="2100" w:type="dxa"/>
            <w:vAlign w:val="bottom"/>
          </w:tcPr>
          <w:p>
            <w:pPr>
              <w:jc w:val="right"/>
              <w:ind w:right="13"/>
              <w:spacing w:after="0"/>
              <w:rPr>
                <w:sz w:val="20"/>
                <w:szCs w:val="20"/>
                <w:color w:val="auto"/>
              </w:rPr>
            </w:pPr>
            <w:r>
              <w:rPr>
                <w:rFonts w:ascii="Arial" w:cs="Arial" w:eastAsia="Arial" w:hAnsi="Arial"/>
                <w:sz w:val="14"/>
                <w:szCs w:val="14"/>
                <w:i w:val="1"/>
                <w:iCs w:val="1"/>
                <w:color w:val="auto"/>
              </w:rPr>
              <w:t>(millions of dollars)</w:t>
            </w:r>
          </w:p>
        </w:tc>
        <w:tc>
          <w:tcPr>
            <w:tcW w:w="740" w:type="dxa"/>
            <w:vAlign w:val="bottom"/>
          </w:tcPr>
          <w:p>
            <w:pPr>
              <w:spacing w:after="0"/>
              <w:rPr>
                <w:sz w:val="16"/>
                <w:szCs w:val="16"/>
                <w:color w:val="auto"/>
              </w:rPr>
            </w:pPr>
          </w:p>
        </w:tc>
      </w:tr>
      <w:tr>
        <w:trPr>
          <w:trHeight w:val="268"/>
        </w:trPr>
        <w:tc>
          <w:tcPr>
            <w:tcW w:w="840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2100" w:type="dxa"/>
            <w:vAlign w:val="bottom"/>
          </w:tcPr>
          <w:p>
            <w:pPr>
              <w:jc w:val="right"/>
              <w:ind w:right="713"/>
              <w:spacing w:after="0"/>
              <w:rPr>
                <w:sz w:val="20"/>
                <w:szCs w:val="20"/>
                <w:color w:val="auto"/>
              </w:rPr>
            </w:pPr>
            <w:r>
              <w:rPr>
                <w:rFonts w:ascii="Arial" w:cs="Arial" w:eastAsia="Arial" w:hAnsi="Arial"/>
                <w:sz w:val="18"/>
                <w:szCs w:val="18"/>
                <w:color w:val="auto"/>
              </w:rPr>
              <w:t>27,888</w:t>
            </w:r>
          </w:p>
        </w:tc>
        <w:tc>
          <w:tcPr>
            <w:tcW w:w="740" w:type="dxa"/>
            <w:vAlign w:val="bottom"/>
          </w:tcPr>
          <w:p>
            <w:pPr>
              <w:jc w:val="right"/>
              <w:spacing w:after="0"/>
              <w:rPr>
                <w:sz w:val="20"/>
                <w:szCs w:val="20"/>
                <w:color w:val="auto"/>
              </w:rPr>
            </w:pPr>
            <w:r>
              <w:rPr>
                <w:rFonts w:ascii="Arial" w:cs="Arial" w:eastAsia="Arial" w:hAnsi="Arial"/>
                <w:sz w:val="18"/>
                <w:szCs w:val="18"/>
                <w:color w:val="auto"/>
              </w:rPr>
              <w:t>28,778</w:t>
            </w:r>
          </w:p>
        </w:tc>
      </w:tr>
      <w:tr>
        <w:trPr>
          <w:trHeight w:val="230"/>
        </w:trPr>
        <w:tc>
          <w:tcPr>
            <w:tcW w:w="840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2100" w:type="dxa"/>
            <w:vAlign w:val="bottom"/>
            <w:tcBorders>
              <w:bottom w:val="single" w:sz="8" w:color="auto"/>
            </w:tcBorders>
          </w:tcPr>
          <w:p>
            <w:pPr>
              <w:jc w:val="right"/>
              <w:ind w:right="713"/>
              <w:spacing w:after="0"/>
              <w:rPr>
                <w:sz w:val="20"/>
                <w:szCs w:val="20"/>
                <w:color w:val="auto"/>
              </w:rPr>
            </w:pPr>
            <w:r>
              <w:rPr>
                <w:rFonts w:ascii="Arial" w:cs="Arial" w:eastAsia="Arial" w:hAnsi="Arial"/>
                <w:sz w:val="18"/>
                <w:szCs w:val="18"/>
                <w:color w:val="auto"/>
              </w:rPr>
              <w:t>6,353</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6,427</w:t>
            </w:r>
          </w:p>
        </w:tc>
      </w:tr>
      <w:tr>
        <w:trPr>
          <w:trHeight w:val="223"/>
        </w:trPr>
        <w:tc>
          <w:tcPr>
            <w:tcW w:w="8400" w:type="dxa"/>
            <w:vAlign w:val="bottom"/>
          </w:tcPr>
          <w:p>
            <w:pPr>
              <w:ind w:left="220"/>
              <w:spacing w:after="0"/>
              <w:rPr>
                <w:sz w:val="20"/>
                <w:szCs w:val="20"/>
                <w:color w:val="auto"/>
              </w:rPr>
            </w:pPr>
            <w:r>
              <w:rPr>
                <w:rFonts w:ascii="Arial" w:cs="Arial" w:eastAsia="Arial" w:hAnsi="Arial"/>
                <w:sz w:val="18"/>
                <w:szCs w:val="18"/>
                <w:color w:val="auto"/>
              </w:rPr>
              <w:t>Total deferred tax liabilities</w:t>
            </w:r>
          </w:p>
        </w:tc>
        <w:tc>
          <w:tcPr>
            <w:tcW w:w="2100" w:type="dxa"/>
            <w:vAlign w:val="bottom"/>
            <w:tcBorders>
              <w:bottom w:val="single" w:sz="8" w:color="auto"/>
            </w:tcBorders>
          </w:tcPr>
          <w:p>
            <w:pPr>
              <w:jc w:val="right"/>
              <w:ind w:right="713"/>
              <w:spacing w:after="0"/>
              <w:rPr>
                <w:sz w:val="20"/>
                <w:szCs w:val="20"/>
                <w:color w:val="auto"/>
              </w:rPr>
            </w:pPr>
            <w:r>
              <w:rPr>
                <w:rFonts w:ascii="Arial" w:cs="Arial" w:eastAsia="Arial" w:hAnsi="Arial"/>
                <w:sz w:val="18"/>
                <w:szCs w:val="18"/>
                <w:color w:val="auto"/>
              </w:rPr>
              <w:t>34,241</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35,205</w:t>
            </w:r>
          </w:p>
        </w:tc>
      </w:tr>
      <w:tr>
        <w:trPr>
          <w:trHeight w:val="465"/>
        </w:trPr>
        <w:tc>
          <w:tcPr>
            <w:tcW w:w="8400" w:type="dxa"/>
            <w:vAlign w:val="bottom"/>
          </w:tcPr>
          <w:p>
            <w:pPr>
              <w:ind w:left="20"/>
              <w:spacing w:after="0"/>
              <w:rPr>
                <w:sz w:val="20"/>
                <w:szCs w:val="20"/>
                <w:color w:val="auto"/>
              </w:rPr>
            </w:pPr>
            <w:r>
              <w:rPr>
                <w:rFonts w:ascii="Arial" w:cs="Arial" w:eastAsia="Arial" w:hAnsi="Arial"/>
                <w:sz w:val="18"/>
                <w:szCs w:val="18"/>
                <w:color w:val="auto"/>
              </w:rPr>
              <w:t>Pension and other postretirement benefits</w:t>
            </w:r>
          </w:p>
        </w:tc>
        <w:tc>
          <w:tcPr>
            <w:tcW w:w="2100" w:type="dxa"/>
            <w:vAlign w:val="bottom"/>
          </w:tcPr>
          <w:p>
            <w:pPr>
              <w:jc w:val="right"/>
              <w:ind w:right="673"/>
              <w:spacing w:after="0"/>
              <w:rPr>
                <w:sz w:val="20"/>
                <w:szCs w:val="20"/>
                <w:color w:val="auto"/>
              </w:rPr>
            </w:pPr>
            <w:r>
              <w:rPr>
                <w:rFonts w:ascii="Arial" w:cs="Arial" w:eastAsia="Arial" w:hAnsi="Arial"/>
                <w:sz w:val="18"/>
                <w:szCs w:val="18"/>
                <w:color w:val="auto"/>
              </w:rPr>
              <w:t>(3,687)</w:t>
            </w:r>
          </w:p>
        </w:tc>
        <w:tc>
          <w:tcPr>
            <w:tcW w:w="740" w:type="dxa"/>
            <w:vAlign w:val="bottom"/>
          </w:tcPr>
          <w:p>
            <w:pPr>
              <w:jc w:val="right"/>
              <w:spacing w:after="0"/>
              <w:rPr>
                <w:sz w:val="20"/>
                <w:szCs w:val="20"/>
                <w:color w:val="auto"/>
              </w:rPr>
            </w:pPr>
            <w:r>
              <w:rPr>
                <w:rFonts w:ascii="Arial" w:cs="Arial" w:eastAsia="Arial" w:hAnsi="Arial"/>
                <w:sz w:val="18"/>
                <w:szCs w:val="18"/>
                <w:color w:val="auto"/>
              </w:rPr>
              <w:t>(4,703)</w:t>
            </w:r>
          </w:p>
        </w:tc>
      </w:tr>
      <w:tr>
        <w:trPr>
          <w:trHeight w:val="229"/>
        </w:trPr>
        <w:tc>
          <w:tcPr>
            <w:tcW w:w="8400" w:type="dxa"/>
            <w:vAlign w:val="bottom"/>
          </w:tcPr>
          <w:p>
            <w:pPr>
              <w:ind w:left="20"/>
              <w:spacing w:after="0"/>
              <w:rPr>
                <w:sz w:val="20"/>
                <w:szCs w:val="20"/>
                <w:color w:val="auto"/>
              </w:rPr>
            </w:pPr>
            <w:r>
              <w:rPr>
                <w:rFonts w:ascii="Arial" w:cs="Arial" w:eastAsia="Arial" w:hAnsi="Arial"/>
                <w:sz w:val="18"/>
                <w:szCs w:val="18"/>
                <w:color w:val="auto"/>
              </w:rPr>
              <w:t>Asset retirement obligations</w:t>
            </w:r>
          </w:p>
        </w:tc>
        <w:tc>
          <w:tcPr>
            <w:tcW w:w="2100" w:type="dxa"/>
            <w:vAlign w:val="bottom"/>
          </w:tcPr>
          <w:p>
            <w:pPr>
              <w:jc w:val="right"/>
              <w:ind w:right="673"/>
              <w:spacing w:after="0"/>
              <w:rPr>
                <w:sz w:val="20"/>
                <w:szCs w:val="20"/>
                <w:color w:val="auto"/>
              </w:rPr>
            </w:pPr>
            <w:r>
              <w:rPr>
                <w:rFonts w:ascii="Arial" w:cs="Arial" w:eastAsia="Arial" w:hAnsi="Arial"/>
                <w:sz w:val="18"/>
                <w:szCs w:val="18"/>
                <w:color w:val="auto"/>
              </w:rPr>
              <w:t>(2,865)</w:t>
            </w:r>
          </w:p>
        </w:tc>
        <w:tc>
          <w:tcPr>
            <w:tcW w:w="740" w:type="dxa"/>
            <w:vAlign w:val="bottom"/>
          </w:tcPr>
          <w:p>
            <w:pPr>
              <w:jc w:val="right"/>
              <w:spacing w:after="0"/>
              <w:rPr>
                <w:sz w:val="20"/>
                <w:szCs w:val="20"/>
                <w:color w:val="auto"/>
              </w:rPr>
            </w:pPr>
            <w:r>
              <w:rPr>
                <w:rFonts w:ascii="Arial" w:cs="Arial" w:eastAsia="Arial" w:hAnsi="Arial"/>
                <w:sz w:val="18"/>
                <w:szCs w:val="18"/>
                <w:color w:val="auto"/>
              </w:rPr>
              <w:t>(3,150)</w:t>
            </w:r>
          </w:p>
        </w:tc>
      </w:tr>
      <w:tr>
        <w:trPr>
          <w:trHeight w:val="230"/>
        </w:trPr>
        <w:tc>
          <w:tcPr>
            <w:tcW w:w="8400" w:type="dxa"/>
            <w:vAlign w:val="bottom"/>
          </w:tcPr>
          <w:p>
            <w:pPr>
              <w:ind w:left="20"/>
              <w:spacing w:after="0"/>
              <w:rPr>
                <w:sz w:val="20"/>
                <w:szCs w:val="20"/>
                <w:color w:val="auto"/>
              </w:rPr>
            </w:pPr>
            <w:r>
              <w:rPr>
                <w:rFonts w:ascii="Arial" w:cs="Arial" w:eastAsia="Arial" w:hAnsi="Arial"/>
                <w:sz w:val="18"/>
                <w:szCs w:val="18"/>
                <w:color w:val="auto"/>
              </w:rPr>
              <w:t>Tax loss carryforwards</w:t>
            </w:r>
          </w:p>
        </w:tc>
        <w:tc>
          <w:tcPr>
            <w:tcW w:w="2100" w:type="dxa"/>
            <w:vAlign w:val="bottom"/>
          </w:tcPr>
          <w:p>
            <w:pPr>
              <w:jc w:val="right"/>
              <w:ind w:right="673"/>
              <w:spacing w:after="0"/>
              <w:rPr>
                <w:sz w:val="20"/>
                <w:szCs w:val="20"/>
                <w:color w:val="auto"/>
              </w:rPr>
            </w:pPr>
            <w:r>
              <w:rPr>
                <w:rFonts w:ascii="Arial" w:cs="Arial" w:eastAsia="Arial" w:hAnsi="Arial"/>
                <w:sz w:val="18"/>
                <w:szCs w:val="18"/>
                <w:color w:val="auto"/>
              </w:rPr>
              <w:t>(6,914)</w:t>
            </w:r>
          </w:p>
        </w:tc>
        <w:tc>
          <w:tcPr>
            <w:tcW w:w="740" w:type="dxa"/>
            <w:vAlign w:val="bottom"/>
          </w:tcPr>
          <w:p>
            <w:pPr>
              <w:jc w:val="right"/>
              <w:spacing w:after="0"/>
              <w:rPr>
                <w:sz w:val="20"/>
                <w:szCs w:val="20"/>
                <w:color w:val="auto"/>
              </w:rPr>
            </w:pPr>
            <w:r>
              <w:rPr>
                <w:rFonts w:ascii="Arial" w:cs="Arial" w:eastAsia="Arial" w:hAnsi="Arial"/>
                <w:sz w:val="18"/>
                <w:szCs w:val="18"/>
                <w:color w:val="auto"/>
              </w:rPr>
              <w:t>(8,982)</w:t>
            </w:r>
          </w:p>
        </w:tc>
      </w:tr>
      <w:tr>
        <w:trPr>
          <w:trHeight w:val="230"/>
        </w:trPr>
        <w:tc>
          <w:tcPr>
            <w:tcW w:w="840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2100" w:type="dxa"/>
            <w:vAlign w:val="bottom"/>
            <w:tcBorders>
              <w:bottom w:val="single" w:sz="8" w:color="auto"/>
            </w:tcBorders>
          </w:tcPr>
          <w:p>
            <w:pPr>
              <w:jc w:val="right"/>
              <w:ind w:right="673"/>
              <w:spacing w:after="0"/>
              <w:rPr>
                <w:sz w:val="20"/>
                <w:szCs w:val="20"/>
                <w:color w:val="auto"/>
              </w:rPr>
            </w:pPr>
            <w:r>
              <w:rPr>
                <w:rFonts w:ascii="Arial" w:cs="Arial" w:eastAsia="Arial" w:hAnsi="Arial"/>
                <w:sz w:val="18"/>
                <w:szCs w:val="18"/>
                <w:color w:val="auto"/>
              </w:rPr>
              <w:t>(7,694)</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(7,095)</w:t>
            </w:r>
          </w:p>
        </w:tc>
      </w:tr>
      <w:tr>
        <w:trPr>
          <w:trHeight w:val="223"/>
        </w:trPr>
        <w:tc>
          <w:tcPr>
            <w:tcW w:w="8400" w:type="dxa"/>
            <w:vAlign w:val="bottom"/>
          </w:tcPr>
          <w:p>
            <w:pPr>
              <w:ind w:left="220"/>
              <w:spacing w:after="0"/>
              <w:rPr>
                <w:sz w:val="20"/>
                <w:szCs w:val="20"/>
                <w:color w:val="auto"/>
              </w:rPr>
            </w:pPr>
            <w:r>
              <w:rPr>
                <w:rFonts w:ascii="Arial" w:cs="Arial" w:eastAsia="Arial" w:hAnsi="Arial"/>
                <w:sz w:val="18"/>
                <w:szCs w:val="18"/>
                <w:color w:val="auto"/>
              </w:rPr>
              <w:t>Total deferred tax assets</w:t>
            </w:r>
          </w:p>
        </w:tc>
        <w:tc>
          <w:tcPr>
            <w:tcW w:w="2100" w:type="dxa"/>
            <w:vAlign w:val="bottom"/>
            <w:tcBorders>
              <w:bottom w:val="single" w:sz="8" w:color="auto"/>
            </w:tcBorders>
          </w:tcPr>
          <w:p>
            <w:pPr>
              <w:jc w:val="right"/>
              <w:ind w:right="673"/>
              <w:spacing w:after="0"/>
              <w:rPr>
                <w:sz w:val="20"/>
                <w:szCs w:val="20"/>
                <w:color w:val="auto"/>
              </w:rPr>
            </w:pPr>
            <w:r>
              <w:rPr>
                <w:rFonts w:ascii="Arial" w:cs="Arial" w:eastAsia="Arial" w:hAnsi="Arial"/>
                <w:sz w:val="18"/>
                <w:szCs w:val="18"/>
                <w:color w:val="auto"/>
              </w:rPr>
              <w:t>(21,160)</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(23,930)</w:t>
            </w:r>
          </w:p>
        </w:tc>
      </w:tr>
      <w:tr>
        <w:trPr>
          <w:trHeight w:val="466"/>
        </w:trPr>
        <w:tc>
          <w:tcPr>
            <w:tcW w:w="8400" w:type="dxa"/>
            <w:vAlign w:val="bottom"/>
          </w:tcPr>
          <w:p>
            <w:pPr>
              <w:ind w:left="20"/>
              <w:spacing w:after="0"/>
              <w:rPr>
                <w:sz w:val="20"/>
                <w:szCs w:val="20"/>
                <w:color w:val="auto"/>
              </w:rPr>
            </w:pPr>
            <w:r>
              <w:rPr>
                <w:rFonts w:ascii="Arial" w:cs="Arial" w:eastAsia="Arial" w:hAnsi="Arial"/>
                <w:sz w:val="18"/>
                <w:szCs w:val="18"/>
                <w:color w:val="auto"/>
              </w:rPr>
              <w:t>Asset valuation allowances</w:t>
            </w:r>
          </w:p>
        </w:tc>
        <w:tc>
          <w:tcPr>
            <w:tcW w:w="2100" w:type="dxa"/>
            <w:vAlign w:val="bottom"/>
            <w:tcBorders>
              <w:bottom w:val="single" w:sz="8" w:color="auto"/>
            </w:tcBorders>
          </w:tcPr>
          <w:p>
            <w:pPr>
              <w:jc w:val="right"/>
              <w:ind w:right="713"/>
              <w:spacing w:after="0"/>
              <w:rPr>
                <w:sz w:val="20"/>
                <w:szCs w:val="20"/>
                <w:color w:val="auto"/>
              </w:rPr>
            </w:pPr>
            <w:r>
              <w:rPr>
                <w:rFonts w:ascii="Arial" w:cs="Arial" w:eastAsia="Arial" w:hAnsi="Arial"/>
                <w:sz w:val="18"/>
                <w:szCs w:val="18"/>
                <w:color w:val="auto"/>
              </w:rPr>
              <w:t>2,634</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2,731</w:t>
            </w:r>
          </w:p>
        </w:tc>
      </w:tr>
      <w:tr>
        <w:trPr>
          <w:trHeight w:val="223"/>
        </w:trPr>
        <w:tc>
          <w:tcPr>
            <w:tcW w:w="8400" w:type="dxa"/>
            <w:vAlign w:val="bottom"/>
          </w:tcPr>
          <w:p>
            <w:pPr>
              <w:ind w:left="220"/>
              <w:spacing w:after="0"/>
              <w:rPr>
                <w:sz w:val="20"/>
                <w:szCs w:val="20"/>
                <w:color w:val="auto"/>
              </w:rPr>
            </w:pPr>
            <w:r>
              <w:rPr>
                <w:rFonts w:ascii="Arial" w:cs="Arial" w:eastAsia="Arial" w:hAnsi="Arial"/>
                <w:sz w:val="18"/>
                <w:szCs w:val="18"/>
                <w:color w:val="auto"/>
              </w:rPr>
              <w:t>Net deferred tax liabilities</w:t>
            </w:r>
          </w:p>
        </w:tc>
        <w:tc>
          <w:tcPr>
            <w:tcW w:w="2100" w:type="dxa"/>
            <w:vAlign w:val="bottom"/>
            <w:tcBorders>
              <w:bottom w:val="single" w:sz="8" w:color="auto"/>
            </w:tcBorders>
          </w:tcPr>
          <w:p>
            <w:pPr>
              <w:jc w:val="right"/>
              <w:ind w:right="713"/>
              <w:spacing w:after="0"/>
              <w:rPr>
                <w:sz w:val="20"/>
                <w:szCs w:val="20"/>
                <w:color w:val="auto"/>
              </w:rPr>
            </w:pPr>
            <w:r>
              <w:rPr>
                <w:rFonts w:ascii="Arial" w:cs="Arial" w:eastAsia="Arial" w:hAnsi="Arial"/>
                <w:sz w:val="18"/>
                <w:szCs w:val="18"/>
                <w:color w:val="auto"/>
              </w:rPr>
              <w:t>15,715</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14,006</w:t>
            </w:r>
          </w:p>
        </w:tc>
      </w:tr>
    </w:tbl>
    <w:p>
      <w:pPr>
        <w:spacing w:after="0" w:line="2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In 2021, asset valuation allowances </w:t>
      </w:r>
      <w:r>
        <w:rPr>
          <w:rFonts w:ascii="Arial" w:cs="Arial" w:eastAsia="Arial" w:hAnsi="Arial"/>
          <w:sz w:val="18"/>
          <w:szCs w:val="18"/>
          <w:color w:val="242424"/>
        </w:rPr>
        <w:t>of $2,634 million decreased by $97 million and included net provisions of $41 million and foreign currency effects of</w:t>
      </w:r>
      <w:r>
        <w:rPr>
          <w:rFonts w:ascii="Arial" w:cs="Arial" w:eastAsia="Arial" w:hAnsi="Arial"/>
          <w:sz w:val="18"/>
          <w:szCs w:val="18"/>
          <w:color w:val="auto"/>
        </w:rPr>
        <w:t xml:space="preserve"> </w:t>
      </w:r>
      <w:r>
        <w:rPr>
          <w:rFonts w:ascii="Arial" w:cs="Arial" w:eastAsia="Arial" w:hAnsi="Arial"/>
          <w:sz w:val="18"/>
          <w:szCs w:val="18"/>
          <w:color w:val="242424"/>
        </w:rPr>
        <w:t>$137 million.</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Balance sheet classification</w:t>
            </w:r>
          </w:p>
        </w:tc>
        <w:tc>
          <w:tcPr>
            <w:tcW w:w="2140" w:type="dxa"/>
            <w:vAlign w:val="bottom"/>
            <w:tcBorders>
              <w:bottom w:val="single" w:sz="8" w:color="auto"/>
            </w:tcBorders>
          </w:tcPr>
          <w:p>
            <w:pPr>
              <w:ind w:left="1060"/>
              <w:spacing w:after="0"/>
              <w:rPr>
                <w:sz w:val="20"/>
                <w:szCs w:val="20"/>
                <w:color w:val="auto"/>
              </w:rPr>
            </w:pPr>
            <w:r>
              <w:rPr>
                <w:rFonts w:ascii="Arial" w:cs="Arial" w:eastAsia="Arial" w:hAnsi="Arial"/>
                <w:sz w:val="14"/>
                <w:szCs w:val="14"/>
                <w:b w:val="1"/>
                <w:bCs w:val="1"/>
                <w:color w:val="auto"/>
              </w:rPr>
              <w:t>2021</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r>
      <w:tr>
        <w:trPr>
          <w:trHeight w:val="184"/>
        </w:trPr>
        <w:tc>
          <w:tcPr>
            <w:tcW w:w="8400" w:type="dxa"/>
            <w:vAlign w:val="bottom"/>
          </w:tcPr>
          <w:p>
            <w:pPr>
              <w:spacing w:after="0"/>
              <w:rPr>
                <w:sz w:val="16"/>
                <w:szCs w:val="16"/>
                <w:color w:val="auto"/>
              </w:rPr>
            </w:pPr>
          </w:p>
        </w:tc>
        <w:tc>
          <w:tcPr>
            <w:tcW w:w="2140" w:type="dxa"/>
            <w:vAlign w:val="bottom"/>
          </w:tcPr>
          <w:p>
            <w:pPr>
              <w:ind w:left="840"/>
              <w:spacing w:after="0"/>
              <w:rPr>
                <w:sz w:val="20"/>
                <w:szCs w:val="20"/>
                <w:color w:val="auto"/>
              </w:rPr>
            </w:pPr>
            <w:r>
              <w:rPr>
                <w:rFonts w:ascii="Arial" w:cs="Arial" w:eastAsia="Arial" w:hAnsi="Arial"/>
                <w:sz w:val="14"/>
                <w:szCs w:val="14"/>
                <w:i w:val="1"/>
                <w:iCs w:val="1"/>
                <w:color w:val="auto"/>
              </w:rPr>
              <w:t>(millions of dollars)</w:t>
            </w:r>
          </w:p>
        </w:tc>
        <w:tc>
          <w:tcPr>
            <w:tcW w:w="700" w:type="dxa"/>
            <w:vAlign w:val="bottom"/>
          </w:tcPr>
          <w:p>
            <w:pPr>
              <w:spacing w:after="0"/>
              <w:rPr>
                <w:sz w:val="16"/>
                <w:szCs w:val="16"/>
                <w:color w:val="auto"/>
              </w:rPr>
            </w:pPr>
          </w:p>
        </w:tc>
      </w:tr>
      <w:tr>
        <w:trPr>
          <w:trHeight w:val="268"/>
        </w:trPr>
        <w:tc>
          <w:tcPr>
            <w:tcW w:w="8400" w:type="dxa"/>
            <w:vAlign w:val="bottom"/>
          </w:tcPr>
          <w:p>
            <w:pPr>
              <w:ind w:left="20"/>
              <w:spacing w:after="0"/>
              <w:rPr>
                <w:sz w:val="20"/>
                <w:szCs w:val="20"/>
                <w:color w:val="auto"/>
              </w:rPr>
            </w:pPr>
            <w:r>
              <w:rPr>
                <w:rFonts w:ascii="Arial" w:cs="Arial" w:eastAsia="Arial" w:hAnsi="Arial"/>
                <w:sz w:val="18"/>
                <w:szCs w:val="18"/>
                <w:color w:val="auto"/>
              </w:rPr>
              <w:t>Other assets, including intangibles, net</w:t>
            </w:r>
          </w:p>
        </w:tc>
        <w:tc>
          <w:tcPr>
            <w:tcW w:w="2140" w:type="dxa"/>
            <w:vAlign w:val="bottom"/>
          </w:tcPr>
          <w:p>
            <w:pPr>
              <w:ind w:left="820"/>
              <w:spacing w:after="0"/>
              <w:rPr>
                <w:sz w:val="20"/>
                <w:szCs w:val="20"/>
                <w:color w:val="auto"/>
              </w:rPr>
            </w:pPr>
            <w:r>
              <w:rPr>
                <w:rFonts w:ascii="Arial" w:cs="Arial" w:eastAsia="Arial" w:hAnsi="Arial"/>
                <w:sz w:val="18"/>
                <w:szCs w:val="18"/>
                <w:color w:val="auto"/>
              </w:rPr>
              <w:t>(4,450)</w:t>
            </w:r>
          </w:p>
        </w:tc>
        <w:tc>
          <w:tcPr>
            <w:tcW w:w="700" w:type="dxa"/>
            <w:vAlign w:val="bottom"/>
          </w:tcPr>
          <w:p>
            <w:pPr>
              <w:ind w:left="140"/>
              <w:spacing w:after="0"/>
              <w:rPr>
                <w:sz w:val="20"/>
                <w:szCs w:val="20"/>
                <w:color w:val="auto"/>
              </w:rPr>
            </w:pPr>
            <w:r>
              <w:rPr>
                <w:rFonts w:ascii="Arial" w:cs="Arial" w:eastAsia="Arial" w:hAnsi="Arial"/>
                <w:sz w:val="18"/>
                <w:szCs w:val="18"/>
                <w:color w:val="auto"/>
                <w:w w:val="94"/>
              </w:rPr>
              <w:t>(4,159)</w:t>
            </w:r>
          </w:p>
        </w:tc>
      </w:tr>
      <w:tr>
        <w:trPr>
          <w:trHeight w:val="230"/>
        </w:trPr>
        <w:tc>
          <w:tcPr>
            <w:tcW w:w="8400" w:type="dxa"/>
            <w:vAlign w:val="bottom"/>
          </w:tcPr>
          <w:p>
            <w:pPr>
              <w:ind w:left="20"/>
              <w:spacing w:after="0"/>
              <w:rPr>
                <w:sz w:val="20"/>
                <w:szCs w:val="20"/>
                <w:color w:val="auto"/>
              </w:rPr>
            </w:pPr>
            <w:r>
              <w:rPr>
                <w:rFonts w:ascii="Arial" w:cs="Arial" w:eastAsia="Arial" w:hAnsi="Arial"/>
                <w:sz w:val="18"/>
                <w:szCs w:val="18"/>
                <w:color w:val="auto"/>
              </w:rPr>
              <w:t>Deferred income tax liabilities</w:t>
            </w:r>
          </w:p>
        </w:tc>
        <w:tc>
          <w:tcPr>
            <w:tcW w:w="214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rPr>
              <w:t>20,165</w:t>
            </w:r>
          </w:p>
        </w:tc>
        <w:tc>
          <w:tcPr>
            <w:tcW w:w="7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98"/>
              </w:rPr>
              <w:t>18,165</w:t>
            </w:r>
          </w:p>
        </w:tc>
      </w:tr>
      <w:tr>
        <w:trPr>
          <w:trHeight w:val="223"/>
        </w:trPr>
        <w:tc>
          <w:tcPr>
            <w:tcW w:w="8400" w:type="dxa"/>
            <w:vAlign w:val="bottom"/>
          </w:tcPr>
          <w:p>
            <w:pPr>
              <w:ind w:left="220"/>
              <w:spacing w:after="0"/>
              <w:rPr>
                <w:sz w:val="20"/>
                <w:szCs w:val="20"/>
                <w:color w:val="auto"/>
              </w:rPr>
            </w:pPr>
            <w:r>
              <w:rPr>
                <w:rFonts w:ascii="Arial" w:cs="Arial" w:eastAsia="Arial" w:hAnsi="Arial"/>
                <w:sz w:val="18"/>
                <w:szCs w:val="18"/>
                <w:color w:val="auto"/>
              </w:rPr>
              <w:t>Net deferred tax liabilities</w:t>
            </w:r>
          </w:p>
        </w:tc>
        <w:tc>
          <w:tcPr>
            <w:tcW w:w="214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rPr>
              <w:t>15,715</w:t>
            </w:r>
          </w:p>
        </w:tc>
        <w:tc>
          <w:tcPr>
            <w:tcW w:w="7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98"/>
              </w:rPr>
              <w:t>14,006</w:t>
            </w:r>
          </w:p>
        </w:tc>
      </w:tr>
    </w:tbl>
    <w:p>
      <w:pPr>
        <w:spacing w:after="0" w:line="28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Corporation’s undistributed earnings from subsidiary companies outside the United States include amounts that have been retained to fund prior and future capital project expenditures. Deferred income taxes have not been recorded for potential future tax obligations, such as foreign withholding tax and state tax, as these undistributed earnings are expected to be indefinitely reinvested for the foreseeable future. As of December 31, 2021, it is not practicable to estimate the unrecognized deferred tax liability. However, unrecognized deferred taxes on remittance of these funds are not expected to be material.</w:t>
      </w:r>
    </w:p>
    <w:p>
      <w:pPr>
        <w:spacing w:after="0" w:line="23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Unrecognized Tax Benefits. </w:t>
      </w:r>
      <w:r>
        <w:rPr>
          <w:rFonts w:ascii="Arial" w:cs="Arial" w:eastAsia="Arial" w:hAnsi="Arial"/>
          <w:sz w:val="18"/>
          <w:szCs w:val="18"/>
          <w:color w:val="auto"/>
        </w:rPr>
        <w:t>The Corporation is subject to income taxation in many jurisdictions around the world. The benefits of uncertain tax positions</w:t>
      </w:r>
      <w:r>
        <w:rPr>
          <w:rFonts w:ascii="Arial" w:cs="Arial" w:eastAsia="Arial" w:hAnsi="Arial"/>
          <w:sz w:val="18"/>
          <w:szCs w:val="18"/>
          <w:b w:val="1"/>
          <w:bCs w:val="1"/>
          <w:color w:val="auto"/>
        </w:rPr>
        <w:t xml:space="preserve"> </w:t>
      </w:r>
      <w:r>
        <w:rPr>
          <w:rFonts w:ascii="Arial" w:cs="Arial" w:eastAsia="Arial" w:hAnsi="Arial"/>
          <w:sz w:val="18"/>
          <w:szCs w:val="18"/>
          <w:color w:val="auto"/>
        </w:rPr>
        <w:t>that the Corporation has taken or expects to take in its income tax returns are recognized in the financial statements if management concludes that it is more likely than not that the position will be sustained with the tax authorities. For a position that is likely to be sustained, the benefit recognized in the financial statements is measured at the largest amount that is greater than 50 percent likely of being realized. Unrecognized tax benefits reflect the difference between positions taken or expected to be taken on income tax returns and the amounts recognized in the financial statements. The following table summarizes the movement in unrecognized tax benefits: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Gross unrecognized tax benefits</w:t>
            </w:r>
          </w:p>
        </w:tc>
        <w:tc>
          <w:tcPr>
            <w:tcW w:w="14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2021</w:t>
            </w:r>
          </w:p>
        </w:tc>
        <w:tc>
          <w:tcPr>
            <w:tcW w:w="18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2020</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r>
      <w:tr>
        <w:trPr>
          <w:trHeight w:val="184"/>
        </w:trPr>
        <w:tc>
          <w:tcPr>
            <w:tcW w:w="69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860" w:type="dxa"/>
            <w:vAlign w:val="bottom"/>
          </w:tcPr>
          <w:p>
            <w:pPr>
              <w:jc w:val="right"/>
              <w:ind w:right="514"/>
              <w:spacing w:after="0"/>
              <w:rPr>
                <w:sz w:val="20"/>
                <w:szCs w:val="20"/>
                <w:color w:val="auto"/>
              </w:rPr>
            </w:pPr>
            <w:r>
              <w:rPr>
                <w:rFonts w:ascii="Arial" w:cs="Arial" w:eastAsia="Arial" w:hAnsi="Arial"/>
                <w:sz w:val="14"/>
                <w:szCs w:val="14"/>
                <w:i w:val="1"/>
                <w:iCs w:val="1"/>
                <w:color w:val="auto"/>
              </w:rPr>
              <w:t>(millions of dollars)</w:t>
            </w:r>
          </w:p>
        </w:tc>
        <w:tc>
          <w:tcPr>
            <w:tcW w:w="980" w:type="dxa"/>
            <w:vAlign w:val="bottom"/>
          </w:tcPr>
          <w:p>
            <w:pPr>
              <w:spacing w:after="0"/>
              <w:rPr>
                <w:sz w:val="16"/>
                <w:szCs w:val="16"/>
                <w:color w:val="auto"/>
              </w:rPr>
            </w:pPr>
          </w:p>
        </w:tc>
      </w:tr>
      <w:tr>
        <w:trPr>
          <w:trHeight w:val="268"/>
        </w:trPr>
        <w:tc>
          <w:tcPr>
            <w:tcW w:w="6940" w:type="dxa"/>
            <w:vAlign w:val="bottom"/>
          </w:tcPr>
          <w:p>
            <w:pPr>
              <w:ind w:left="20"/>
              <w:spacing w:after="0"/>
              <w:rPr>
                <w:sz w:val="20"/>
                <w:szCs w:val="20"/>
                <w:color w:val="auto"/>
              </w:rPr>
            </w:pPr>
            <w:r>
              <w:rPr>
                <w:rFonts w:ascii="Arial" w:cs="Arial" w:eastAsia="Arial" w:hAnsi="Arial"/>
                <w:sz w:val="18"/>
                <w:szCs w:val="18"/>
                <w:color w:val="auto"/>
              </w:rPr>
              <w:t>Balance at January 1</w:t>
            </w:r>
          </w:p>
        </w:tc>
        <w:tc>
          <w:tcPr>
            <w:tcW w:w="1460" w:type="dxa"/>
            <w:vAlign w:val="bottom"/>
          </w:tcPr>
          <w:p>
            <w:pPr>
              <w:jc w:val="right"/>
              <w:ind w:right="92"/>
              <w:spacing w:after="0"/>
              <w:rPr>
                <w:sz w:val="20"/>
                <w:szCs w:val="20"/>
                <w:color w:val="auto"/>
              </w:rPr>
            </w:pPr>
            <w:r>
              <w:rPr>
                <w:rFonts w:ascii="Arial" w:cs="Arial" w:eastAsia="Arial" w:hAnsi="Arial"/>
                <w:sz w:val="18"/>
                <w:szCs w:val="18"/>
                <w:color w:val="auto"/>
              </w:rPr>
              <w:t>8,764</w:t>
            </w:r>
          </w:p>
        </w:tc>
        <w:tc>
          <w:tcPr>
            <w:tcW w:w="1860" w:type="dxa"/>
            <w:vAlign w:val="bottom"/>
          </w:tcPr>
          <w:p>
            <w:pPr>
              <w:jc w:val="right"/>
              <w:ind w:right="474"/>
              <w:spacing w:after="0"/>
              <w:rPr>
                <w:sz w:val="20"/>
                <w:szCs w:val="20"/>
                <w:color w:val="auto"/>
              </w:rPr>
            </w:pPr>
            <w:r>
              <w:rPr>
                <w:rFonts w:ascii="Arial" w:cs="Arial" w:eastAsia="Arial" w:hAnsi="Arial"/>
                <w:sz w:val="18"/>
                <w:szCs w:val="18"/>
                <w:color w:val="auto"/>
              </w:rPr>
              <w:t>8,844</w:t>
            </w:r>
          </w:p>
        </w:tc>
        <w:tc>
          <w:tcPr>
            <w:tcW w:w="980" w:type="dxa"/>
            <w:vAlign w:val="bottom"/>
          </w:tcPr>
          <w:p>
            <w:pPr>
              <w:jc w:val="right"/>
              <w:spacing w:after="0"/>
              <w:rPr>
                <w:sz w:val="20"/>
                <w:szCs w:val="20"/>
                <w:color w:val="auto"/>
              </w:rPr>
            </w:pPr>
            <w:r>
              <w:rPr>
                <w:rFonts w:ascii="Arial" w:cs="Arial" w:eastAsia="Arial" w:hAnsi="Arial"/>
                <w:sz w:val="18"/>
                <w:szCs w:val="18"/>
                <w:color w:val="auto"/>
              </w:rPr>
              <w:t>9,174</w:t>
            </w:r>
          </w:p>
        </w:tc>
      </w:tr>
      <w:tr>
        <w:trPr>
          <w:trHeight w:val="230"/>
        </w:trPr>
        <w:tc>
          <w:tcPr>
            <w:tcW w:w="6940" w:type="dxa"/>
            <w:vAlign w:val="bottom"/>
          </w:tcPr>
          <w:p>
            <w:pPr>
              <w:ind w:left="360"/>
              <w:spacing w:after="0"/>
              <w:rPr>
                <w:sz w:val="20"/>
                <w:szCs w:val="20"/>
                <w:color w:val="auto"/>
              </w:rPr>
            </w:pPr>
            <w:r>
              <w:rPr>
                <w:rFonts w:ascii="Arial" w:cs="Arial" w:eastAsia="Arial" w:hAnsi="Arial"/>
                <w:sz w:val="18"/>
                <w:szCs w:val="18"/>
                <w:color w:val="auto"/>
              </w:rPr>
              <w:t>Additions based on current year's tax positions</w:t>
            </w:r>
          </w:p>
        </w:tc>
        <w:tc>
          <w:tcPr>
            <w:tcW w:w="1460" w:type="dxa"/>
            <w:vAlign w:val="bottom"/>
          </w:tcPr>
          <w:p>
            <w:pPr>
              <w:jc w:val="right"/>
              <w:ind w:right="92"/>
              <w:spacing w:after="0"/>
              <w:rPr>
                <w:sz w:val="20"/>
                <w:szCs w:val="20"/>
                <w:color w:val="auto"/>
              </w:rPr>
            </w:pPr>
            <w:r>
              <w:rPr>
                <w:rFonts w:ascii="Arial" w:cs="Arial" w:eastAsia="Arial" w:hAnsi="Arial"/>
                <w:sz w:val="18"/>
                <w:szCs w:val="18"/>
                <w:color w:val="auto"/>
              </w:rPr>
              <w:t>358</w:t>
            </w:r>
          </w:p>
        </w:tc>
        <w:tc>
          <w:tcPr>
            <w:tcW w:w="1860" w:type="dxa"/>
            <w:vAlign w:val="bottom"/>
          </w:tcPr>
          <w:p>
            <w:pPr>
              <w:jc w:val="right"/>
              <w:ind w:right="474"/>
              <w:spacing w:after="0"/>
              <w:rPr>
                <w:sz w:val="20"/>
                <w:szCs w:val="20"/>
                <w:color w:val="auto"/>
              </w:rPr>
            </w:pPr>
            <w:r>
              <w:rPr>
                <w:rFonts w:ascii="Arial" w:cs="Arial" w:eastAsia="Arial" w:hAnsi="Arial"/>
                <w:sz w:val="18"/>
                <w:szCs w:val="18"/>
                <w:color w:val="auto"/>
              </w:rPr>
              <w:t>253</w:t>
            </w:r>
          </w:p>
        </w:tc>
        <w:tc>
          <w:tcPr>
            <w:tcW w:w="980" w:type="dxa"/>
            <w:vAlign w:val="bottom"/>
          </w:tcPr>
          <w:p>
            <w:pPr>
              <w:jc w:val="right"/>
              <w:spacing w:after="0"/>
              <w:rPr>
                <w:sz w:val="20"/>
                <w:szCs w:val="20"/>
                <w:color w:val="auto"/>
              </w:rPr>
            </w:pPr>
            <w:r>
              <w:rPr>
                <w:rFonts w:ascii="Arial" w:cs="Arial" w:eastAsia="Arial" w:hAnsi="Arial"/>
                <w:sz w:val="18"/>
                <w:szCs w:val="18"/>
                <w:color w:val="auto"/>
              </w:rPr>
              <w:t>287</w:t>
            </w:r>
          </w:p>
        </w:tc>
      </w:tr>
      <w:tr>
        <w:trPr>
          <w:trHeight w:val="230"/>
        </w:trPr>
        <w:tc>
          <w:tcPr>
            <w:tcW w:w="6940" w:type="dxa"/>
            <w:vAlign w:val="bottom"/>
          </w:tcPr>
          <w:p>
            <w:pPr>
              <w:ind w:left="360"/>
              <w:spacing w:after="0"/>
              <w:rPr>
                <w:sz w:val="20"/>
                <w:szCs w:val="20"/>
                <w:color w:val="auto"/>
              </w:rPr>
            </w:pPr>
            <w:r>
              <w:rPr>
                <w:rFonts w:ascii="Arial" w:cs="Arial" w:eastAsia="Arial" w:hAnsi="Arial"/>
                <w:sz w:val="18"/>
                <w:szCs w:val="18"/>
                <w:color w:val="auto"/>
              </w:rPr>
              <w:t>Additions for prior years' tax positions</w:t>
            </w:r>
          </w:p>
        </w:tc>
        <w:tc>
          <w:tcPr>
            <w:tcW w:w="1460" w:type="dxa"/>
            <w:vAlign w:val="bottom"/>
          </w:tcPr>
          <w:p>
            <w:pPr>
              <w:jc w:val="right"/>
              <w:ind w:right="92"/>
              <w:spacing w:after="0"/>
              <w:rPr>
                <w:sz w:val="20"/>
                <w:szCs w:val="20"/>
                <w:color w:val="auto"/>
              </w:rPr>
            </w:pPr>
            <w:r>
              <w:rPr>
                <w:rFonts w:ascii="Arial" w:cs="Arial" w:eastAsia="Arial" w:hAnsi="Arial"/>
                <w:sz w:val="18"/>
                <w:szCs w:val="18"/>
                <w:color w:val="auto"/>
              </w:rPr>
              <w:t>100</w:t>
            </w:r>
          </w:p>
        </w:tc>
        <w:tc>
          <w:tcPr>
            <w:tcW w:w="1860" w:type="dxa"/>
            <w:vAlign w:val="bottom"/>
          </w:tcPr>
          <w:p>
            <w:pPr>
              <w:jc w:val="right"/>
              <w:ind w:right="474"/>
              <w:spacing w:after="0"/>
              <w:rPr>
                <w:sz w:val="20"/>
                <w:szCs w:val="20"/>
                <w:color w:val="auto"/>
              </w:rPr>
            </w:pPr>
            <w:r>
              <w:rPr>
                <w:rFonts w:ascii="Arial" w:cs="Arial" w:eastAsia="Arial" w:hAnsi="Arial"/>
                <w:sz w:val="18"/>
                <w:szCs w:val="18"/>
                <w:color w:val="auto"/>
              </w:rPr>
              <w:t>218</w:t>
            </w:r>
          </w:p>
        </w:tc>
        <w:tc>
          <w:tcPr>
            <w:tcW w:w="98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29"/>
        </w:trPr>
        <w:tc>
          <w:tcPr>
            <w:tcW w:w="6940" w:type="dxa"/>
            <w:vAlign w:val="bottom"/>
          </w:tcPr>
          <w:p>
            <w:pPr>
              <w:ind w:left="360"/>
              <w:spacing w:after="0"/>
              <w:rPr>
                <w:sz w:val="20"/>
                <w:szCs w:val="20"/>
                <w:color w:val="auto"/>
              </w:rPr>
            </w:pPr>
            <w:r>
              <w:rPr>
                <w:rFonts w:ascii="Arial" w:cs="Arial" w:eastAsia="Arial" w:hAnsi="Arial"/>
                <w:sz w:val="18"/>
                <w:szCs w:val="18"/>
                <w:color w:val="auto"/>
              </w:rPr>
              <w:t>Reductions for prior years' tax positions</w:t>
            </w: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(79)</w:t>
            </w:r>
          </w:p>
        </w:tc>
        <w:tc>
          <w:tcPr>
            <w:tcW w:w="1860" w:type="dxa"/>
            <w:vAlign w:val="bottom"/>
          </w:tcPr>
          <w:p>
            <w:pPr>
              <w:jc w:val="right"/>
              <w:ind w:right="434"/>
              <w:spacing w:after="0"/>
              <w:rPr>
                <w:sz w:val="20"/>
                <w:szCs w:val="20"/>
                <w:color w:val="auto"/>
              </w:rPr>
            </w:pPr>
            <w:r>
              <w:rPr>
                <w:rFonts w:ascii="Arial" w:cs="Arial" w:eastAsia="Arial" w:hAnsi="Arial"/>
                <w:sz w:val="18"/>
                <w:szCs w:val="18"/>
                <w:color w:val="auto"/>
              </w:rPr>
              <w:t>(201)</w:t>
            </w:r>
          </w:p>
        </w:tc>
        <w:tc>
          <w:tcPr>
            <w:tcW w:w="98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30"/>
        </w:trPr>
        <w:tc>
          <w:tcPr>
            <w:tcW w:w="6940" w:type="dxa"/>
            <w:vAlign w:val="bottom"/>
          </w:tcPr>
          <w:p>
            <w:pPr>
              <w:ind w:left="360"/>
              <w:spacing w:after="0"/>
              <w:rPr>
                <w:sz w:val="20"/>
                <w:szCs w:val="20"/>
                <w:color w:val="auto"/>
              </w:rPr>
            </w:pPr>
            <w:r>
              <w:rPr>
                <w:rFonts w:ascii="Arial" w:cs="Arial" w:eastAsia="Arial" w:hAnsi="Arial"/>
                <w:sz w:val="18"/>
                <w:szCs w:val="18"/>
                <w:color w:val="auto"/>
              </w:rPr>
              <w:t>Reductions due to lapse of the statute of limitations</w:t>
            </w: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1860" w:type="dxa"/>
            <w:vAlign w:val="bottom"/>
          </w:tcPr>
          <w:p>
            <w:pPr>
              <w:jc w:val="right"/>
              <w:ind w:right="434"/>
              <w:spacing w:after="0"/>
              <w:rPr>
                <w:sz w:val="20"/>
                <w:szCs w:val="20"/>
                <w:color w:val="auto"/>
              </w:rPr>
            </w:pPr>
            <w:r>
              <w:rPr>
                <w:rFonts w:ascii="Arial" w:cs="Arial" w:eastAsia="Arial" w:hAnsi="Arial"/>
                <w:sz w:val="18"/>
                <w:szCs w:val="18"/>
                <w:color w:val="auto"/>
              </w:rPr>
              <w:t>(237)</w:t>
            </w:r>
          </w:p>
        </w:tc>
        <w:tc>
          <w:tcPr>
            <w:tcW w:w="980" w:type="dxa"/>
            <w:vAlign w:val="bottom"/>
          </w:tcPr>
          <w:p>
            <w:pPr>
              <w:jc w:val="right"/>
              <w:spacing w:after="0"/>
              <w:rPr>
                <w:sz w:val="20"/>
                <w:szCs w:val="20"/>
                <w:color w:val="auto"/>
              </w:rPr>
            </w:pPr>
            <w:r>
              <w:rPr>
                <w:rFonts w:ascii="Arial" w:cs="Arial" w:eastAsia="Arial" w:hAnsi="Arial"/>
                <w:sz w:val="18"/>
                <w:szCs w:val="18"/>
                <w:color w:val="auto"/>
              </w:rPr>
              <w:t>(279)</w:t>
            </w:r>
          </w:p>
        </w:tc>
      </w:tr>
      <w:tr>
        <w:trPr>
          <w:trHeight w:val="229"/>
        </w:trPr>
        <w:tc>
          <w:tcPr>
            <w:tcW w:w="6940" w:type="dxa"/>
            <w:vAlign w:val="bottom"/>
          </w:tcPr>
          <w:p>
            <w:pPr>
              <w:ind w:left="360"/>
              <w:spacing w:after="0"/>
              <w:rPr>
                <w:sz w:val="20"/>
                <w:szCs w:val="20"/>
                <w:color w:val="auto"/>
              </w:rPr>
            </w:pPr>
            <w:r>
              <w:rPr>
                <w:rFonts w:ascii="Arial" w:cs="Arial" w:eastAsia="Arial" w:hAnsi="Arial"/>
                <w:sz w:val="18"/>
                <w:szCs w:val="18"/>
                <w:color w:val="auto"/>
              </w:rPr>
              <w:t>Settlements with tax authorities</w:t>
            </w: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(11)</w:t>
            </w:r>
          </w:p>
        </w:tc>
        <w:tc>
          <w:tcPr>
            <w:tcW w:w="1860" w:type="dxa"/>
            <w:vAlign w:val="bottom"/>
          </w:tcPr>
          <w:p>
            <w:pPr>
              <w:jc w:val="right"/>
              <w:ind w:right="434"/>
              <w:spacing w:after="0"/>
              <w:rPr>
                <w:sz w:val="20"/>
                <w:szCs w:val="20"/>
                <w:color w:val="auto"/>
              </w:rPr>
            </w:pPr>
            <w:r>
              <w:rPr>
                <w:rFonts w:ascii="Arial" w:cs="Arial" w:eastAsia="Arial" w:hAnsi="Arial"/>
                <w:sz w:val="18"/>
                <w:szCs w:val="18"/>
                <w:color w:val="auto"/>
              </w:rPr>
              <w:t>(113)</w:t>
            </w:r>
          </w:p>
        </w:tc>
        <w:tc>
          <w:tcPr>
            <w:tcW w:w="980" w:type="dxa"/>
            <w:vAlign w:val="bottom"/>
          </w:tcPr>
          <w:p>
            <w:pPr>
              <w:jc w:val="right"/>
              <w:spacing w:after="0"/>
              <w:rPr>
                <w:sz w:val="20"/>
                <w:szCs w:val="20"/>
                <w:color w:val="auto"/>
              </w:rPr>
            </w:pPr>
            <w:r>
              <w:rPr>
                <w:rFonts w:ascii="Arial" w:cs="Arial" w:eastAsia="Arial" w:hAnsi="Arial"/>
                <w:sz w:val="18"/>
                <w:szCs w:val="18"/>
                <w:color w:val="auto"/>
              </w:rPr>
              <w:t>(538)</w:t>
            </w:r>
          </w:p>
        </w:tc>
      </w:tr>
      <w:tr>
        <w:trPr>
          <w:trHeight w:val="230"/>
        </w:trPr>
        <w:tc>
          <w:tcPr>
            <w:tcW w:w="6940" w:type="dxa"/>
            <w:vAlign w:val="bottom"/>
          </w:tcPr>
          <w:p>
            <w:pPr>
              <w:ind w:left="360"/>
              <w:spacing w:after="0"/>
              <w:rPr>
                <w:sz w:val="20"/>
                <w:szCs w:val="20"/>
                <w:color w:val="auto"/>
              </w:rPr>
            </w:pPr>
            <w:r>
              <w:rPr>
                <w:rFonts w:ascii="Arial" w:cs="Arial" w:eastAsia="Arial" w:hAnsi="Arial"/>
                <w:sz w:val="18"/>
                <w:szCs w:val="18"/>
                <w:color w:val="auto"/>
              </w:rPr>
              <w:t>Foreign exchange effects/other</w:t>
            </w:r>
          </w:p>
        </w:tc>
        <w:tc>
          <w:tcPr>
            <w:tcW w:w="14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auto"/>
            </w:tcBorders>
          </w:tcPr>
          <w:p>
            <w:pPr>
              <w:jc w:val="right"/>
              <w:ind w:right="474"/>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w:t>
            </w:r>
          </w:p>
        </w:tc>
      </w:tr>
      <w:tr>
        <w:trPr>
          <w:trHeight w:val="223"/>
        </w:trPr>
        <w:tc>
          <w:tcPr>
            <w:tcW w:w="6940" w:type="dxa"/>
            <w:vAlign w:val="bottom"/>
          </w:tcPr>
          <w:p>
            <w:pPr>
              <w:ind w:left="20"/>
              <w:spacing w:after="0"/>
              <w:rPr>
                <w:sz w:val="20"/>
                <w:szCs w:val="20"/>
                <w:color w:val="auto"/>
              </w:rPr>
            </w:pPr>
            <w:r>
              <w:rPr>
                <w:rFonts w:ascii="Arial" w:cs="Arial" w:eastAsia="Arial" w:hAnsi="Arial"/>
                <w:sz w:val="18"/>
                <w:szCs w:val="18"/>
                <w:color w:val="auto"/>
              </w:rPr>
              <w:t>Balance at December 31</w:t>
            </w:r>
          </w:p>
        </w:tc>
        <w:tc>
          <w:tcPr>
            <w:tcW w:w="14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9,130</w:t>
            </w:r>
          </w:p>
        </w:tc>
        <w:tc>
          <w:tcPr>
            <w:tcW w:w="1860" w:type="dxa"/>
            <w:vAlign w:val="bottom"/>
            <w:tcBorders>
              <w:bottom w:val="single" w:sz="8" w:color="auto"/>
            </w:tcBorders>
          </w:tcPr>
          <w:p>
            <w:pPr>
              <w:jc w:val="right"/>
              <w:ind w:right="474"/>
              <w:spacing w:after="0"/>
              <w:rPr>
                <w:sz w:val="20"/>
                <w:szCs w:val="20"/>
                <w:color w:val="auto"/>
              </w:rPr>
            </w:pPr>
            <w:r>
              <w:rPr>
                <w:rFonts w:ascii="Arial" w:cs="Arial" w:eastAsia="Arial" w:hAnsi="Arial"/>
                <w:sz w:val="18"/>
                <w:szCs w:val="18"/>
                <w:color w:val="auto"/>
              </w:rPr>
              <w:t>8,764</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9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gross unrecognized tax benefit balances are predominantly related to tax positions that would reduce the Corporation’s effective tax rate if the positions are favorably resolved. Unfavorable resolution of these tax positions generally would not increase the effective tax rate. The 2021, 2020 and 2019 changes in unrecognized tax benefits did not have a material effect on the Corporation’s net income.</w:t>
      </w:r>
    </w:p>
    <w:p>
      <w:pPr>
        <w:spacing w:after="0" w:line="2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Resolution of these tax positions through negotiations with the relevant tax authorities or through litigation will take many years to complete. It is difficult to predict the timing of resolution for these tax positions since the timing is not entirely within the control of the Corporation. In the United States, the Corporation has various ongoing U.S. federal income tax positions at issue with the Internal Revenue Service (IRS) for tax years beginning in 2006. The Corporation filed a refund suit for tax years 2006-2009 in U.S. federal district court (District Court) with respect to the positions at issue for those years. These positions are reflected in the unrecognized tax benefits table. On February 24, 2020, the Corporation received an adverse ruling on this suit. The IRS has asserted penalties associated with several of those positions. The Corporation has not recognized the penalties as an expense because the Corporation does not expect the penalties to be sustained under applicable law. On January 13, 2021, the District Court ruled that no penalties apply to the Corporation's positions in this suit. The Corporation and the government have appealed the District Court's rulings to the U.S. Court of Appeals for the Fifth Circuit (Fifth Circuit). Proceedings in the Fifth Circuit are continuing. Unfavorable resolution of all positions at issue with the IRS would not have a material adverse effect on the Corporation’s operations or financial condition.</w:t>
      </w:r>
    </w:p>
    <w:p>
      <w:pPr>
        <w:spacing w:after="0" w:line="23" w:lineRule="exact"/>
        <w:rPr>
          <w:sz w:val="20"/>
          <w:szCs w:val="20"/>
          <w:color w:val="auto"/>
        </w:rPr>
      </w:pPr>
    </w:p>
    <w:p>
      <w:pPr>
        <w:jc w:val="both"/>
        <w:spacing w:after="0" w:line="298" w:lineRule="auto"/>
        <w:rPr>
          <w:sz w:val="20"/>
          <w:szCs w:val="20"/>
          <w:color w:val="auto"/>
        </w:rPr>
      </w:pPr>
      <w:r>
        <w:rPr>
          <w:rFonts w:ascii="Arial" w:cs="Arial" w:eastAsia="Arial" w:hAnsi="Arial"/>
          <w:sz w:val="17"/>
          <w:szCs w:val="17"/>
          <w:color w:val="auto"/>
        </w:rPr>
        <w:t>It is reasonably possible that the total amount of unrecognized tax benefits could increase by up to 10 percent or decrease by up to 70 percent in the next 12 months. Such a decrease would result primarily from final resolution of the U.S. federal income tax litigation within this timeframe.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tax years that remain subject to examination by major tax jurisdiction:</w:t>
      </w:r>
    </w:p>
    <w:p>
      <w:pPr>
        <w:spacing w:after="0" w:line="154" w:lineRule="exact"/>
        <w:rPr>
          <w:sz w:val="20"/>
          <w:szCs w:val="20"/>
          <w:color w:val="auto"/>
        </w:rPr>
      </w:pPr>
    </w:p>
    <w:tbl>
      <w:tblPr>
        <w:tblLayout w:type="fixed"/>
        <w:tblInd w:w="2620" w:type="dxa"/>
        <w:tblCellMar>
          <w:top w:w="0" w:type="dxa"/>
          <w:left w:w="0" w:type="dxa"/>
          <w:bottom w:w="0" w:type="dxa"/>
          <w:right w:w="0" w:type="dxa"/>
        </w:tblCellMar>
      </w:tblPr>
      <w:tr>
        <w:trPr>
          <w:trHeight w:val="241"/>
        </w:trPr>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Country of Operation</w:t>
            </w:r>
          </w:p>
        </w:tc>
        <w:tc>
          <w:tcPr>
            <w:tcW w:w="28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Open Tax Years</w:t>
            </w:r>
          </w:p>
        </w:tc>
      </w:tr>
      <w:tr>
        <w:trPr>
          <w:trHeight w:val="257"/>
        </w:trPr>
        <w:tc>
          <w:tcPr>
            <w:tcW w:w="3180" w:type="dxa"/>
            <w:vAlign w:val="bottom"/>
          </w:tcPr>
          <w:p>
            <w:pPr>
              <w:ind w:left="20"/>
              <w:spacing w:after="0"/>
              <w:rPr>
                <w:sz w:val="20"/>
                <w:szCs w:val="20"/>
                <w:color w:val="auto"/>
              </w:rPr>
            </w:pPr>
            <w:r>
              <w:rPr>
                <w:rFonts w:ascii="Arial" w:cs="Arial" w:eastAsia="Arial" w:hAnsi="Arial"/>
                <w:sz w:val="18"/>
                <w:szCs w:val="18"/>
                <w:color w:val="auto"/>
              </w:rPr>
              <w:t>Abu Dhabi</w:t>
            </w:r>
          </w:p>
        </w:tc>
        <w:tc>
          <w:tcPr>
            <w:tcW w:w="1880" w:type="dxa"/>
            <w:vAlign w:val="bottom"/>
          </w:tcPr>
          <w:p>
            <w:pPr>
              <w:jc w:val="right"/>
              <w:spacing w:after="0"/>
              <w:rPr>
                <w:sz w:val="20"/>
                <w:szCs w:val="20"/>
                <w:color w:val="auto"/>
              </w:rPr>
            </w:pPr>
            <w:r>
              <w:rPr>
                <w:rFonts w:ascii="Arial" w:cs="Arial" w:eastAsia="Arial" w:hAnsi="Arial"/>
                <w:sz w:val="18"/>
                <w:szCs w:val="18"/>
                <w:color w:val="auto"/>
              </w:rPr>
              <w:t>2020</w:t>
            </w:r>
          </w:p>
        </w:tc>
        <w:tc>
          <w:tcPr>
            <w:tcW w:w="400" w:type="dxa"/>
            <w:vAlign w:val="bottom"/>
          </w:tcPr>
          <w:p>
            <w:pPr>
              <w:ind w:left="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2021</w:t>
            </w:r>
          </w:p>
        </w:tc>
      </w:tr>
      <w:tr>
        <w:trPr>
          <w:trHeight w:val="270"/>
        </w:trPr>
        <w:tc>
          <w:tcPr>
            <w:tcW w:w="3180" w:type="dxa"/>
            <w:vAlign w:val="bottom"/>
          </w:tcPr>
          <w:p>
            <w:pPr>
              <w:ind w:left="20"/>
              <w:spacing w:after="0"/>
              <w:rPr>
                <w:sz w:val="20"/>
                <w:szCs w:val="20"/>
                <w:color w:val="auto"/>
              </w:rPr>
            </w:pPr>
            <w:r>
              <w:rPr>
                <w:rFonts w:ascii="Arial" w:cs="Arial" w:eastAsia="Arial" w:hAnsi="Arial"/>
                <w:sz w:val="18"/>
                <w:szCs w:val="18"/>
                <w:color w:val="auto"/>
              </w:rPr>
              <w:t>Angola</w:t>
            </w:r>
          </w:p>
        </w:tc>
        <w:tc>
          <w:tcPr>
            <w:tcW w:w="1880" w:type="dxa"/>
            <w:vAlign w:val="bottom"/>
          </w:tcPr>
          <w:p>
            <w:pPr>
              <w:jc w:val="right"/>
              <w:spacing w:after="0"/>
              <w:rPr>
                <w:sz w:val="20"/>
                <w:szCs w:val="20"/>
                <w:color w:val="auto"/>
              </w:rPr>
            </w:pPr>
            <w:r>
              <w:rPr>
                <w:rFonts w:ascii="Arial" w:cs="Arial" w:eastAsia="Arial" w:hAnsi="Arial"/>
                <w:sz w:val="18"/>
                <w:szCs w:val="18"/>
                <w:color w:val="auto"/>
              </w:rPr>
              <w:t>2018</w:t>
            </w:r>
          </w:p>
        </w:tc>
        <w:tc>
          <w:tcPr>
            <w:tcW w:w="400" w:type="dxa"/>
            <w:vAlign w:val="bottom"/>
          </w:tcPr>
          <w:p>
            <w:pPr>
              <w:ind w:left="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2021</w:t>
            </w:r>
          </w:p>
        </w:tc>
      </w:tr>
      <w:tr>
        <w:trPr>
          <w:trHeight w:val="270"/>
        </w:trPr>
        <w:tc>
          <w:tcPr>
            <w:tcW w:w="3180" w:type="dxa"/>
            <w:vAlign w:val="bottom"/>
          </w:tcPr>
          <w:p>
            <w:pPr>
              <w:ind w:left="20"/>
              <w:spacing w:after="0"/>
              <w:rPr>
                <w:sz w:val="20"/>
                <w:szCs w:val="20"/>
                <w:color w:val="auto"/>
              </w:rPr>
            </w:pPr>
            <w:r>
              <w:rPr>
                <w:rFonts w:ascii="Arial" w:cs="Arial" w:eastAsia="Arial" w:hAnsi="Arial"/>
                <w:sz w:val="18"/>
                <w:szCs w:val="18"/>
                <w:color w:val="auto"/>
              </w:rPr>
              <w:t>Australia</w:t>
            </w:r>
          </w:p>
        </w:tc>
        <w:tc>
          <w:tcPr>
            <w:tcW w:w="1880" w:type="dxa"/>
            <w:vAlign w:val="bottom"/>
          </w:tcPr>
          <w:p>
            <w:pPr>
              <w:jc w:val="right"/>
              <w:spacing w:after="0"/>
              <w:rPr>
                <w:sz w:val="20"/>
                <w:szCs w:val="20"/>
                <w:color w:val="auto"/>
              </w:rPr>
            </w:pPr>
            <w:r>
              <w:rPr>
                <w:rFonts w:ascii="Arial" w:cs="Arial" w:eastAsia="Arial" w:hAnsi="Arial"/>
                <w:sz w:val="18"/>
                <w:szCs w:val="18"/>
                <w:color w:val="auto"/>
              </w:rPr>
              <w:t>2010</w:t>
            </w:r>
          </w:p>
        </w:tc>
        <w:tc>
          <w:tcPr>
            <w:tcW w:w="400" w:type="dxa"/>
            <w:vAlign w:val="bottom"/>
          </w:tcPr>
          <w:p>
            <w:pPr>
              <w:ind w:left="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2021</w:t>
            </w:r>
          </w:p>
        </w:tc>
      </w:tr>
      <w:tr>
        <w:trPr>
          <w:trHeight w:val="270"/>
        </w:trPr>
        <w:tc>
          <w:tcPr>
            <w:tcW w:w="3180" w:type="dxa"/>
            <w:vAlign w:val="bottom"/>
          </w:tcPr>
          <w:p>
            <w:pPr>
              <w:ind w:left="20"/>
              <w:spacing w:after="0"/>
              <w:rPr>
                <w:sz w:val="20"/>
                <w:szCs w:val="20"/>
                <w:color w:val="auto"/>
              </w:rPr>
            </w:pPr>
            <w:r>
              <w:rPr>
                <w:rFonts w:ascii="Arial" w:cs="Arial" w:eastAsia="Arial" w:hAnsi="Arial"/>
                <w:sz w:val="18"/>
                <w:szCs w:val="18"/>
                <w:color w:val="auto"/>
              </w:rPr>
              <w:t>Belgium</w:t>
            </w:r>
          </w:p>
        </w:tc>
        <w:tc>
          <w:tcPr>
            <w:tcW w:w="1880" w:type="dxa"/>
            <w:vAlign w:val="bottom"/>
          </w:tcPr>
          <w:p>
            <w:pPr>
              <w:jc w:val="right"/>
              <w:spacing w:after="0"/>
              <w:rPr>
                <w:sz w:val="20"/>
                <w:szCs w:val="20"/>
                <w:color w:val="auto"/>
              </w:rPr>
            </w:pPr>
            <w:r>
              <w:rPr>
                <w:rFonts w:ascii="Arial" w:cs="Arial" w:eastAsia="Arial" w:hAnsi="Arial"/>
                <w:sz w:val="18"/>
                <w:szCs w:val="18"/>
                <w:color w:val="auto"/>
              </w:rPr>
              <w:t>2017</w:t>
            </w:r>
          </w:p>
        </w:tc>
        <w:tc>
          <w:tcPr>
            <w:tcW w:w="400" w:type="dxa"/>
            <w:vAlign w:val="bottom"/>
          </w:tcPr>
          <w:p>
            <w:pPr>
              <w:ind w:left="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2021</w:t>
            </w:r>
          </w:p>
        </w:tc>
      </w:tr>
      <w:tr>
        <w:trPr>
          <w:trHeight w:val="270"/>
        </w:trPr>
        <w:tc>
          <w:tcPr>
            <w:tcW w:w="3180" w:type="dxa"/>
            <w:vAlign w:val="bottom"/>
          </w:tcPr>
          <w:p>
            <w:pPr>
              <w:ind w:left="20"/>
              <w:spacing w:after="0"/>
              <w:rPr>
                <w:sz w:val="20"/>
                <w:szCs w:val="20"/>
                <w:color w:val="auto"/>
              </w:rPr>
            </w:pPr>
            <w:r>
              <w:rPr>
                <w:rFonts w:ascii="Arial" w:cs="Arial" w:eastAsia="Arial" w:hAnsi="Arial"/>
                <w:sz w:val="18"/>
                <w:szCs w:val="18"/>
                <w:color w:val="auto"/>
              </w:rPr>
              <w:t>Canada</w:t>
            </w:r>
          </w:p>
        </w:tc>
        <w:tc>
          <w:tcPr>
            <w:tcW w:w="1880" w:type="dxa"/>
            <w:vAlign w:val="bottom"/>
          </w:tcPr>
          <w:p>
            <w:pPr>
              <w:jc w:val="right"/>
              <w:spacing w:after="0"/>
              <w:rPr>
                <w:sz w:val="20"/>
                <w:szCs w:val="20"/>
                <w:color w:val="auto"/>
              </w:rPr>
            </w:pPr>
            <w:r>
              <w:rPr>
                <w:rFonts w:ascii="Arial" w:cs="Arial" w:eastAsia="Arial" w:hAnsi="Arial"/>
                <w:sz w:val="18"/>
                <w:szCs w:val="18"/>
                <w:color w:val="auto"/>
              </w:rPr>
              <w:t>2001</w:t>
            </w:r>
          </w:p>
        </w:tc>
        <w:tc>
          <w:tcPr>
            <w:tcW w:w="400" w:type="dxa"/>
            <w:vAlign w:val="bottom"/>
          </w:tcPr>
          <w:p>
            <w:pPr>
              <w:ind w:left="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2021</w:t>
            </w:r>
          </w:p>
        </w:tc>
      </w:tr>
      <w:tr>
        <w:trPr>
          <w:trHeight w:val="270"/>
        </w:trPr>
        <w:tc>
          <w:tcPr>
            <w:tcW w:w="3180" w:type="dxa"/>
            <w:vAlign w:val="bottom"/>
          </w:tcPr>
          <w:p>
            <w:pPr>
              <w:ind w:left="20"/>
              <w:spacing w:after="0"/>
              <w:rPr>
                <w:sz w:val="20"/>
                <w:szCs w:val="20"/>
                <w:color w:val="auto"/>
              </w:rPr>
            </w:pPr>
            <w:r>
              <w:rPr>
                <w:rFonts w:ascii="Arial" w:cs="Arial" w:eastAsia="Arial" w:hAnsi="Arial"/>
                <w:sz w:val="18"/>
                <w:szCs w:val="18"/>
                <w:color w:val="auto"/>
              </w:rPr>
              <w:t>Equatorial Guinea</w:t>
            </w:r>
          </w:p>
        </w:tc>
        <w:tc>
          <w:tcPr>
            <w:tcW w:w="1880" w:type="dxa"/>
            <w:vAlign w:val="bottom"/>
          </w:tcPr>
          <w:p>
            <w:pPr>
              <w:jc w:val="right"/>
              <w:spacing w:after="0"/>
              <w:rPr>
                <w:sz w:val="20"/>
                <w:szCs w:val="20"/>
                <w:color w:val="auto"/>
              </w:rPr>
            </w:pPr>
            <w:r>
              <w:rPr>
                <w:rFonts w:ascii="Arial" w:cs="Arial" w:eastAsia="Arial" w:hAnsi="Arial"/>
                <w:sz w:val="18"/>
                <w:szCs w:val="18"/>
                <w:color w:val="auto"/>
              </w:rPr>
              <w:t>2007</w:t>
            </w:r>
          </w:p>
        </w:tc>
        <w:tc>
          <w:tcPr>
            <w:tcW w:w="400" w:type="dxa"/>
            <w:vAlign w:val="bottom"/>
          </w:tcPr>
          <w:p>
            <w:pPr>
              <w:ind w:left="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2021</w:t>
            </w:r>
          </w:p>
        </w:tc>
      </w:tr>
      <w:tr>
        <w:trPr>
          <w:trHeight w:val="270"/>
        </w:trPr>
        <w:tc>
          <w:tcPr>
            <w:tcW w:w="3180" w:type="dxa"/>
            <w:vAlign w:val="bottom"/>
          </w:tcPr>
          <w:p>
            <w:pPr>
              <w:ind w:left="20"/>
              <w:spacing w:after="0"/>
              <w:rPr>
                <w:sz w:val="20"/>
                <w:szCs w:val="20"/>
                <w:color w:val="auto"/>
              </w:rPr>
            </w:pPr>
            <w:r>
              <w:rPr>
                <w:rFonts w:ascii="Arial" w:cs="Arial" w:eastAsia="Arial" w:hAnsi="Arial"/>
                <w:sz w:val="18"/>
                <w:szCs w:val="18"/>
                <w:color w:val="auto"/>
              </w:rPr>
              <w:t>Indonesia</w:t>
            </w:r>
          </w:p>
        </w:tc>
        <w:tc>
          <w:tcPr>
            <w:tcW w:w="1880" w:type="dxa"/>
            <w:vAlign w:val="bottom"/>
          </w:tcPr>
          <w:p>
            <w:pPr>
              <w:jc w:val="right"/>
              <w:spacing w:after="0"/>
              <w:rPr>
                <w:sz w:val="20"/>
                <w:szCs w:val="20"/>
                <w:color w:val="auto"/>
              </w:rPr>
            </w:pPr>
            <w:r>
              <w:rPr>
                <w:rFonts w:ascii="Arial" w:cs="Arial" w:eastAsia="Arial" w:hAnsi="Arial"/>
                <w:sz w:val="18"/>
                <w:szCs w:val="18"/>
                <w:color w:val="auto"/>
              </w:rPr>
              <w:t>2008</w:t>
            </w:r>
          </w:p>
        </w:tc>
        <w:tc>
          <w:tcPr>
            <w:tcW w:w="400" w:type="dxa"/>
            <w:vAlign w:val="bottom"/>
          </w:tcPr>
          <w:p>
            <w:pPr>
              <w:ind w:left="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2021</w:t>
            </w:r>
          </w:p>
        </w:tc>
      </w:tr>
      <w:tr>
        <w:trPr>
          <w:trHeight w:val="270"/>
        </w:trPr>
        <w:tc>
          <w:tcPr>
            <w:tcW w:w="3180" w:type="dxa"/>
            <w:vAlign w:val="bottom"/>
          </w:tcPr>
          <w:p>
            <w:pPr>
              <w:ind w:left="20"/>
              <w:spacing w:after="0"/>
              <w:rPr>
                <w:sz w:val="20"/>
                <w:szCs w:val="20"/>
                <w:color w:val="auto"/>
              </w:rPr>
            </w:pPr>
            <w:r>
              <w:rPr>
                <w:rFonts w:ascii="Arial" w:cs="Arial" w:eastAsia="Arial" w:hAnsi="Arial"/>
                <w:sz w:val="18"/>
                <w:szCs w:val="18"/>
                <w:color w:val="auto"/>
              </w:rPr>
              <w:t>Iraq</w:t>
            </w:r>
          </w:p>
        </w:tc>
        <w:tc>
          <w:tcPr>
            <w:tcW w:w="1880" w:type="dxa"/>
            <w:vAlign w:val="bottom"/>
          </w:tcPr>
          <w:p>
            <w:pPr>
              <w:jc w:val="right"/>
              <w:spacing w:after="0"/>
              <w:rPr>
                <w:sz w:val="20"/>
                <w:szCs w:val="20"/>
                <w:color w:val="auto"/>
              </w:rPr>
            </w:pPr>
            <w:r>
              <w:rPr>
                <w:rFonts w:ascii="Arial" w:cs="Arial" w:eastAsia="Arial" w:hAnsi="Arial"/>
                <w:sz w:val="18"/>
                <w:szCs w:val="18"/>
                <w:color w:val="auto"/>
              </w:rPr>
              <w:t>2016</w:t>
            </w:r>
          </w:p>
        </w:tc>
        <w:tc>
          <w:tcPr>
            <w:tcW w:w="400" w:type="dxa"/>
            <w:vAlign w:val="bottom"/>
          </w:tcPr>
          <w:p>
            <w:pPr>
              <w:ind w:left="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2021</w:t>
            </w:r>
          </w:p>
        </w:tc>
      </w:tr>
      <w:tr>
        <w:trPr>
          <w:trHeight w:val="270"/>
        </w:trPr>
        <w:tc>
          <w:tcPr>
            <w:tcW w:w="3180" w:type="dxa"/>
            <w:vAlign w:val="bottom"/>
          </w:tcPr>
          <w:p>
            <w:pPr>
              <w:ind w:left="20"/>
              <w:spacing w:after="0"/>
              <w:rPr>
                <w:sz w:val="20"/>
                <w:szCs w:val="20"/>
                <w:color w:val="auto"/>
              </w:rPr>
            </w:pPr>
            <w:r>
              <w:rPr>
                <w:rFonts w:ascii="Arial" w:cs="Arial" w:eastAsia="Arial" w:hAnsi="Arial"/>
                <w:sz w:val="18"/>
                <w:szCs w:val="18"/>
                <w:color w:val="auto"/>
              </w:rPr>
              <w:t>Malaysia</w:t>
            </w:r>
          </w:p>
        </w:tc>
        <w:tc>
          <w:tcPr>
            <w:tcW w:w="1880" w:type="dxa"/>
            <w:vAlign w:val="bottom"/>
          </w:tcPr>
          <w:p>
            <w:pPr>
              <w:jc w:val="right"/>
              <w:spacing w:after="0"/>
              <w:rPr>
                <w:sz w:val="20"/>
                <w:szCs w:val="20"/>
                <w:color w:val="auto"/>
              </w:rPr>
            </w:pPr>
            <w:r>
              <w:rPr>
                <w:rFonts w:ascii="Arial" w:cs="Arial" w:eastAsia="Arial" w:hAnsi="Arial"/>
                <w:sz w:val="18"/>
                <w:szCs w:val="18"/>
                <w:color w:val="auto"/>
              </w:rPr>
              <w:t>2017</w:t>
            </w:r>
          </w:p>
        </w:tc>
        <w:tc>
          <w:tcPr>
            <w:tcW w:w="400" w:type="dxa"/>
            <w:vAlign w:val="bottom"/>
          </w:tcPr>
          <w:p>
            <w:pPr>
              <w:ind w:left="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2021</w:t>
            </w:r>
          </w:p>
        </w:tc>
      </w:tr>
      <w:tr>
        <w:trPr>
          <w:trHeight w:val="270"/>
        </w:trPr>
        <w:tc>
          <w:tcPr>
            <w:tcW w:w="3180" w:type="dxa"/>
            <w:vAlign w:val="bottom"/>
          </w:tcPr>
          <w:p>
            <w:pPr>
              <w:ind w:left="20"/>
              <w:spacing w:after="0"/>
              <w:rPr>
                <w:sz w:val="20"/>
                <w:szCs w:val="20"/>
                <w:color w:val="auto"/>
              </w:rPr>
            </w:pPr>
            <w:r>
              <w:rPr>
                <w:rFonts w:ascii="Arial" w:cs="Arial" w:eastAsia="Arial" w:hAnsi="Arial"/>
                <w:sz w:val="18"/>
                <w:szCs w:val="18"/>
                <w:color w:val="auto"/>
              </w:rPr>
              <w:t>Nigeria</w:t>
            </w:r>
          </w:p>
        </w:tc>
        <w:tc>
          <w:tcPr>
            <w:tcW w:w="1880" w:type="dxa"/>
            <w:vAlign w:val="bottom"/>
          </w:tcPr>
          <w:p>
            <w:pPr>
              <w:jc w:val="right"/>
              <w:spacing w:after="0"/>
              <w:rPr>
                <w:sz w:val="20"/>
                <w:szCs w:val="20"/>
                <w:color w:val="auto"/>
              </w:rPr>
            </w:pPr>
            <w:r>
              <w:rPr>
                <w:rFonts w:ascii="Arial" w:cs="Arial" w:eastAsia="Arial" w:hAnsi="Arial"/>
                <w:sz w:val="18"/>
                <w:szCs w:val="18"/>
                <w:color w:val="auto"/>
              </w:rPr>
              <w:t>2006</w:t>
            </w:r>
          </w:p>
        </w:tc>
        <w:tc>
          <w:tcPr>
            <w:tcW w:w="400" w:type="dxa"/>
            <w:vAlign w:val="bottom"/>
          </w:tcPr>
          <w:p>
            <w:pPr>
              <w:ind w:left="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2021</w:t>
            </w:r>
          </w:p>
        </w:tc>
      </w:tr>
      <w:tr>
        <w:trPr>
          <w:trHeight w:val="270"/>
        </w:trPr>
        <w:tc>
          <w:tcPr>
            <w:tcW w:w="3180" w:type="dxa"/>
            <w:vAlign w:val="bottom"/>
          </w:tcPr>
          <w:p>
            <w:pPr>
              <w:ind w:left="20"/>
              <w:spacing w:after="0"/>
              <w:rPr>
                <w:sz w:val="20"/>
                <w:szCs w:val="20"/>
                <w:color w:val="auto"/>
              </w:rPr>
            </w:pPr>
            <w:r>
              <w:rPr>
                <w:rFonts w:ascii="Arial" w:cs="Arial" w:eastAsia="Arial" w:hAnsi="Arial"/>
                <w:sz w:val="18"/>
                <w:szCs w:val="18"/>
                <w:color w:val="auto"/>
              </w:rPr>
              <w:t>Papua New Guinea</w:t>
            </w:r>
          </w:p>
        </w:tc>
        <w:tc>
          <w:tcPr>
            <w:tcW w:w="1880" w:type="dxa"/>
            <w:vAlign w:val="bottom"/>
          </w:tcPr>
          <w:p>
            <w:pPr>
              <w:jc w:val="right"/>
              <w:spacing w:after="0"/>
              <w:rPr>
                <w:sz w:val="20"/>
                <w:szCs w:val="20"/>
                <w:color w:val="auto"/>
              </w:rPr>
            </w:pPr>
            <w:r>
              <w:rPr>
                <w:rFonts w:ascii="Arial" w:cs="Arial" w:eastAsia="Arial" w:hAnsi="Arial"/>
                <w:sz w:val="18"/>
                <w:szCs w:val="18"/>
                <w:color w:val="auto"/>
              </w:rPr>
              <w:t>2008</w:t>
            </w:r>
          </w:p>
        </w:tc>
        <w:tc>
          <w:tcPr>
            <w:tcW w:w="400" w:type="dxa"/>
            <w:vAlign w:val="bottom"/>
          </w:tcPr>
          <w:p>
            <w:pPr>
              <w:ind w:left="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2021</w:t>
            </w:r>
          </w:p>
        </w:tc>
      </w:tr>
      <w:tr>
        <w:trPr>
          <w:trHeight w:val="270"/>
        </w:trPr>
        <w:tc>
          <w:tcPr>
            <w:tcW w:w="3180" w:type="dxa"/>
            <w:vAlign w:val="bottom"/>
          </w:tcPr>
          <w:p>
            <w:pPr>
              <w:ind w:left="20"/>
              <w:spacing w:after="0"/>
              <w:rPr>
                <w:sz w:val="20"/>
                <w:szCs w:val="20"/>
                <w:color w:val="auto"/>
              </w:rPr>
            </w:pPr>
            <w:r>
              <w:rPr>
                <w:rFonts w:ascii="Arial" w:cs="Arial" w:eastAsia="Arial" w:hAnsi="Arial"/>
                <w:sz w:val="18"/>
                <w:szCs w:val="18"/>
                <w:color w:val="auto"/>
              </w:rPr>
              <w:t>Russia</w:t>
            </w:r>
          </w:p>
        </w:tc>
        <w:tc>
          <w:tcPr>
            <w:tcW w:w="1880" w:type="dxa"/>
            <w:vAlign w:val="bottom"/>
          </w:tcPr>
          <w:p>
            <w:pPr>
              <w:jc w:val="right"/>
              <w:spacing w:after="0"/>
              <w:rPr>
                <w:sz w:val="20"/>
                <w:szCs w:val="20"/>
                <w:color w:val="auto"/>
              </w:rPr>
            </w:pPr>
            <w:r>
              <w:rPr>
                <w:rFonts w:ascii="Arial" w:cs="Arial" w:eastAsia="Arial" w:hAnsi="Arial"/>
                <w:sz w:val="18"/>
                <w:szCs w:val="18"/>
                <w:color w:val="auto"/>
              </w:rPr>
              <w:t>2019</w:t>
            </w:r>
          </w:p>
        </w:tc>
        <w:tc>
          <w:tcPr>
            <w:tcW w:w="400" w:type="dxa"/>
            <w:vAlign w:val="bottom"/>
          </w:tcPr>
          <w:p>
            <w:pPr>
              <w:ind w:left="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2021</w:t>
            </w:r>
          </w:p>
        </w:tc>
      </w:tr>
      <w:tr>
        <w:trPr>
          <w:trHeight w:val="270"/>
        </w:trPr>
        <w:tc>
          <w:tcPr>
            <w:tcW w:w="3180" w:type="dxa"/>
            <w:vAlign w:val="bottom"/>
          </w:tcPr>
          <w:p>
            <w:pPr>
              <w:ind w:left="20"/>
              <w:spacing w:after="0"/>
              <w:rPr>
                <w:sz w:val="20"/>
                <w:szCs w:val="20"/>
                <w:color w:val="auto"/>
              </w:rPr>
            </w:pPr>
            <w:r>
              <w:rPr>
                <w:rFonts w:ascii="Arial" w:cs="Arial" w:eastAsia="Arial" w:hAnsi="Arial"/>
                <w:sz w:val="18"/>
                <w:szCs w:val="18"/>
                <w:color w:val="auto"/>
              </w:rPr>
              <w:t>United Kingdom</w:t>
            </w:r>
          </w:p>
        </w:tc>
        <w:tc>
          <w:tcPr>
            <w:tcW w:w="1880" w:type="dxa"/>
            <w:vAlign w:val="bottom"/>
          </w:tcPr>
          <w:p>
            <w:pPr>
              <w:jc w:val="right"/>
              <w:spacing w:after="0"/>
              <w:rPr>
                <w:sz w:val="20"/>
                <w:szCs w:val="20"/>
                <w:color w:val="auto"/>
              </w:rPr>
            </w:pPr>
            <w:r>
              <w:rPr>
                <w:rFonts w:ascii="Arial" w:cs="Arial" w:eastAsia="Arial" w:hAnsi="Arial"/>
                <w:sz w:val="18"/>
                <w:szCs w:val="18"/>
                <w:color w:val="auto"/>
              </w:rPr>
              <w:t>2015</w:t>
            </w:r>
          </w:p>
        </w:tc>
        <w:tc>
          <w:tcPr>
            <w:tcW w:w="400" w:type="dxa"/>
            <w:vAlign w:val="bottom"/>
          </w:tcPr>
          <w:p>
            <w:pPr>
              <w:ind w:left="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2021</w:t>
            </w:r>
          </w:p>
        </w:tc>
      </w:tr>
      <w:tr>
        <w:trPr>
          <w:trHeight w:val="270"/>
        </w:trPr>
        <w:tc>
          <w:tcPr>
            <w:tcW w:w="318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1880" w:type="dxa"/>
            <w:vAlign w:val="bottom"/>
          </w:tcPr>
          <w:p>
            <w:pPr>
              <w:jc w:val="right"/>
              <w:spacing w:after="0"/>
              <w:rPr>
                <w:sz w:val="20"/>
                <w:szCs w:val="20"/>
                <w:color w:val="auto"/>
              </w:rPr>
            </w:pPr>
            <w:r>
              <w:rPr>
                <w:rFonts w:ascii="Arial" w:cs="Arial" w:eastAsia="Arial" w:hAnsi="Arial"/>
                <w:sz w:val="18"/>
                <w:szCs w:val="18"/>
                <w:color w:val="auto"/>
              </w:rPr>
              <w:t>2006</w:t>
            </w:r>
          </w:p>
        </w:tc>
        <w:tc>
          <w:tcPr>
            <w:tcW w:w="400" w:type="dxa"/>
            <w:vAlign w:val="bottom"/>
          </w:tcPr>
          <w:p>
            <w:pPr>
              <w:ind w:left="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2021</w:t>
            </w:r>
          </w:p>
        </w:tc>
      </w:tr>
    </w:tbl>
    <w:p>
      <w:pPr>
        <w:spacing w:after="0" w:line="6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Corporation classifies interest on income tax-related balances as interest expense or interest income and classifies tax-related penalties as operating expense.</w:t>
      </w:r>
    </w:p>
    <w:p>
      <w:pPr>
        <w:spacing w:after="0" w:line="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For 2021 and 2019 the Corporation's net interest expense was $0 million on income tax reserves. For 2020, the Corporation's net interest expense was a credit of $6 million. The related interest payable balances were $61 million at both December 31, 2021 and 2020.</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b w:val="1"/>
          <w:bCs w:val="1"/>
          <w:color w:val="auto"/>
        </w:rPr>
        <w:t xml:space="preserve">SUPPLEMENTAL INFORMATION ON OIL AND GAS EXPLORATION AND PRODUCTION ACTIVITIES </w:t>
      </w:r>
      <w:r>
        <w:rPr>
          <w:rFonts w:ascii="Arial" w:cs="Arial" w:eastAsia="Arial" w:hAnsi="Arial"/>
          <w:sz w:val="16"/>
          <w:szCs w:val="16"/>
          <w:b w:val="1"/>
          <w:bCs w:val="1"/>
          <w:color w:val="auto"/>
        </w:rPr>
        <w:t>(unaudited)</w:t>
      </w:r>
    </w:p>
    <w:p>
      <w:pPr>
        <w:spacing w:after="0" w:line="12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results of operations for producing activities shown below do not include earnings from other activities that ExxonMobil includes in the Upstream function, such as oil and gas transportation operations, LNG liquefaction and transportation operations, coal and power operations, technical service agreements, gains and losses from derivative activity, other nonoperating activities and adjustments for noncontrolling interests. These excluded amounts for both consolidated and equity companies totaled $(1,380) million in 2021, $274 million in 2020 and $3,502 million in 2019. Oil sands mining operations are included in the results of operations in accordance with Securities and Exchange Commission and Financial Accounting Standards Board rules.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20" w:type="dxa"/>
            <w:vAlign w:val="bottom"/>
          </w:tcPr>
          <w:p>
            <w:pPr>
              <w:spacing w:after="0"/>
              <w:rPr>
                <w:sz w:val="14"/>
                <w:szCs w:val="14"/>
                <w:color w:val="auto"/>
              </w:rPr>
            </w:pPr>
          </w:p>
        </w:tc>
        <w:tc>
          <w:tcPr>
            <w:tcW w:w="2080" w:type="dxa"/>
            <w:vAlign w:val="bottom"/>
            <w:vMerge w:val="restart"/>
          </w:tcPr>
          <w:p>
            <w:pPr>
              <w:jc w:val="center"/>
              <w:ind w:left="1068"/>
              <w:spacing w:after="0"/>
              <w:rPr>
                <w:sz w:val="20"/>
                <w:szCs w:val="20"/>
                <w:color w:val="auto"/>
              </w:rPr>
            </w:pPr>
            <w:r>
              <w:rPr>
                <w:rFonts w:ascii="Arial" w:cs="Arial" w:eastAsia="Arial" w:hAnsi="Arial"/>
                <w:sz w:val="14"/>
                <w:szCs w:val="14"/>
                <w:b w:val="1"/>
                <w:bCs w:val="1"/>
                <w:color w:val="auto"/>
                <w:w w:val="96"/>
              </w:rPr>
              <w:t>United</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5"/>
              </w:rPr>
              <w:t>Canada/</w:t>
            </w:r>
          </w:p>
        </w:tc>
        <w:tc>
          <w:tcPr>
            <w:tcW w:w="8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Australia/</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9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Results of Operations</w:t>
            </w:r>
          </w:p>
        </w:tc>
        <w:tc>
          <w:tcPr>
            <w:tcW w:w="2080" w:type="dxa"/>
            <w:vAlign w:val="bottom"/>
            <w:vMerge w:val="continue"/>
          </w:tcPr>
          <w:p>
            <w:pPr>
              <w:spacing w:after="0"/>
              <w:rPr>
                <w:sz w:val="11"/>
                <w:szCs w:val="11"/>
                <w:color w:val="auto"/>
              </w:rPr>
            </w:pPr>
          </w:p>
        </w:tc>
        <w:tc>
          <w:tcPr>
            <w:tcW w:w="11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6"/>
              </w:rPr>
              <w:t>Other</w:t>
            </w:r>
          </w:p>
        </w:tc>
        <w:tc>
          <w:tcPr>
            <w:tcW w:w="84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Europe</w:t>
            </w: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Africa</w:t>
            </w:r>
          </w:p>
        </w:tc>
        <w:tc>
          <w:tcPr>
            <w:tcW w:w="74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Asia</w:t>
            </w:r>
          </w:p>
        </w:tc>
        <w:tc>
          <w:tcPr>
            <w:tcW w:w="1200" w:type="dxa"/>
            <w:vAlign w:val="bottom"/>
            <w:vMerge w:val="continue"/>
          </w:tcPr>
          <w:p>
            <w:pPr>
              <w:spacing w:after="0"/>
              <w:rPr>
                <w:sz w:val="11"/>
                <w:szCs w:val="11"/>
                <w:color w:val="auto"/>
              </w:rPr>
            </w:pPr>
          </w:p>
        </w:tc>
        <w:tc>
          <w:tcPr>
            <w:tcW w:w="92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2920" w:type="dxa"/>
            <w:vAlign w:val="bottom"/>
            <w:tcBorders>
              <w:bottom w:val="single" w:sz="8" w:color="auto"/>
            </w:tcBorders>
            <w:vMerge w:val="continue"/>
          </w:tcPr>
          <w:p>
            <w:pPr>
              <w:spacing w:after="0"/>
              <w:rPr>
                <w:sz w:val="16"/>
                <w:szCs w:val="16"/>
                <w:color w:val="auto"/>
              </w:rPr>
            </w:pPr>
          </w:p>
        </w:tc>
        <w:tc>
          <w:tcPr>
            <w:tcW w:w="2080" w:type="dxa"/>
            <w:vAlign w:val="bottom"/>
            <w:tcBorders>
              <w:bottom w:val="single" w:sz="8" w:color="auto"/>
            </w:tcBorders>
          </w:tcPr>
          <w:p>
            <w:pPr>
              <w:jc w:val="center"/>
              <w:ind w:left="1048"/>
              <w:spacing w:after="0"/>
              <w:rPr>
                <w:sz w:val="20"/>
                <w:szCs w:val="20"/>
                <w:color w:val="auto"/>
              </w:rPr>
            </w:pPr>
            <w:r>
              <w:rPr>
                <w:rFonts w:ascii="Arial" w:cs="Arial" w:eastAsia="Arial" w:hAnsi="Arial"/>
                <w:sz w:val="14"/>
                <w:szCs w:val="14"/>
                <w:b w:val="1"/>
                <w:bCs w:val="1"/>
                <w:color w:val="auto"/>
                <w:w w:val="85"/>
              </w:rPr>
              <w:t>States</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Americas</w:t>
            </w:r>
          </w:p>
        </w:tc>
        <w:tc>
          <w:tcPr>
            <w:tcW w:w="840" w:type="dxa"/>
            <w:vAlign w:val="bottom"/>
            <w:tcBorders>
              <w:bottom w:val="single" w:sz="8" w:color="auto"/>
            </w:tcBorders>
            <w:vMerge w:val="continue"/>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Oceania</w:t>
            </w: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9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Arial" w:cs="Arial" w:eastAsia="Arial" w:hAnsi="Arial"/>
                <w:sz w:val="14"/>
                <w:szCs w:val="14"/>
                <w:i w:val="1"/>
                <w:iCs w:val="1"/>
                <w:color w:val="auto"/>
                <w:w w:val="97"/>
              </w:rPr>
              <w:t>(millions of dollars)</w:t>
            </w:r>
          </w:p>
        </w:tc>
        <w:tc>
          <w:tcPr>
            <w:tcW w:w="7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5" w:lineRule="exact"/>
        <w:rPr>
          <w:sz w:val="20"/>
          <w:szCs w:val="20"/>
          <w:color w:val="auto"/>
        </w:rPr>
      </w:pPr>
    </w:p>
    <w:p>
      <w:pPr>
        <w:sectPr>
          <w:pgSz w:w="11900" w:h="16838" w:orient="portrait"/>
          <w:cols w:equalWidth="0" w:num="1">
            <w:col w:w="11240"/>
          </w:cols>
          <w:pgMar w:left="320" w:top="769" w:right="339" w:bottom="1440" w:gutter="0" w:footer="0" w:header="0"/>
        </w:sectPr>
      </w:pPr>
    </w:p>
    <w:p>
      <w:pPr>
        <w:ind w:left="20"/>
        <w:spacing w:after="0"/>
        <w:rPr>
          <w:sz w:val="20"/>
          <w:szCs w:val="20"/>
          <w:color w:val="auto"/>
        </w:rPr>
      </w:pPr>
      <w:r>
        <w:rPr>
          <w:rFonts w:ascii="Arial" w:cs="Arial" w:eastAsia="Arial" w:hAnsi="Arial"/>
          <w:sz w:val="16"/>
          <w:szCs w:val="16"/>
          <w:b w:val="1"/>
          <w:bCs w:val="1"/>
          <w:color w:val="auto"/>
        </w:rPr>
        <w:t>Consolidated Subsidiaries</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6"/>
          <w:szCs w:val="16"/>
          <w:color w:val="auto"/>
        </w:rPr>
        <w:t>2021 - Revenue</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Sales to third parties</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Transfers</w:t>
      </w:r>
    </w:p>
    <w:p>
      <w:pPr>
        <w:spacing w:after="0" w:line="26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Production costs excluding taxes</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Exploration expenses</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Depreciation and depletion</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Taxes other than income</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Related income tax</w:t>
      </w:r>
    </w:p>
    <w:p>
      <w:pPr>
        <w:spacing w:after="0" w:line="32" w:lineRule="exact"/>
        <w:rPr>
          <w:sz w:val="20"/>
          <w:szCs w:val="20"/>
          <w:color w:val="auto"/>
        </w:rPr>
      </w:pPr>
    </w:p>
    <w:p>
      <w:pPr>
        <w:ind w:left="420" w:right="320" w:hanging="282"/>
        <w:spacing w:after="0"/>
        <w:rPr>
          <w:sz w:val="20"/>
          <w:szCs w:val="20"/>
          <w:color w:val="auto"/>
        </w:rPr>
      </w:pPr>
      <w:r>
        <w:rPr>
          <w:rFonts w:ascii="Arial" w:cs="Arial" w:eastAsia="Arial" w:hAnsi="Arial"/>
          <w:sz w:val="16"/>
          <w:szCs w:val="16"/>
          <w:color w:val="auto"/>
        </w:rPr>
        <w:t>Results of producing activities for consolidated subsidiaries</w:t>
      </w:r>
    </w:p>
    <w:p>
      <w:pPr>
        <w:spacing w:after="0" w:line="22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Equity Companies</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6"/>
          <w:szCs w:val="16"/>
          <w:color w:val="auto"/>
        </w:rPr>
        <w:t>2021 - Revenue</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Sales to third parties</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Transfers</w:t>
      </w:r>
    </w:p>
    <w:p>
      <w:pPr>
        <w:spacing w:after="0" w:line="26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Production costs excluding taxes</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Exploration expenses</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Depreciation and depletion</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Taxes other than income</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Related income tax</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Results of producing activities for equity companies</w:t>
      </w:r>
    </w:p>
    <w:p>
      <w:pPr>
        <w:spacing w:after="0" w:line="285" w:lineRule="exact"/>
        <w:rPr>
          <w:sz w:val="20"/>
          <w:szCs w:val="20"/>
          <w:color w:val="auto"/>
        </w:rPr>
      </w:pPr>
    </w:p>
    <w:p>
      <w:pPr>
        <w:ind w:left="20"/>
        <w:spacing w:after="0"/>
        <w:rPr>
          <w:sz w:val="20"/>
          <w:szCs w:val="20"/>
          <w:color w:val="auto"/>
        </w:rPr>
      </w:pPr>
      <w:r>
        <w:rPr>
          <w:rFonts w:ascii="Arial" w:cs="Arial" w:eastAsia="Arial" w:hAnsi="Arial"/>
          <w:sz w:val="16"/>
          <w:szCs w:val="16"/>
          <w:color w:val="auto"/>
        </w:rPr>
        <w:t>Total results of operations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1160" w:type="dxa"/>
            <w:vAlign w:val="bottom"/>
          </w:tcPr>
          <w:p>
            <w:pPr>
              <w:jc w:val="right"/>
              <w:ind w:right="219"/>
              <w:spacing w:after="0"/>
              <w:rPr>
                <w:sz w:val="20"/>
                <w:szCs w:val="20"/>
                <w:color w:val="auto"/>
              </w:rPr>
            </w:pPr>
            <w:r>
              <w:rPr>
                <w:rFonts w:ascii="Arial" w:cs="Arial" w:eastAsia="Arial" w:hAnsi="Arial"/>
                <w:sz w:val="16"/>
                <w:szCs w:val="16"/>
                <w:color w:val="auto"/>
              </w:rPr>
              <w:t>5,797</w:t>
            </w:r>
          </w:p>
        </w:tc>
        <w:tc>
          <w:tcPr>
            <w:tcW w:w="1080" w:type="dxa"/>
            <w:vAlign w:val="bottom"/>
          </w:tcPr>
          <w:p>
            <w:pPr>
              <w:jc w:val="right"/>
              <w:ind w:right="259"/>
              <w:spacing w:after="0"/>
              <w:rPr>
                <w:sz w:val="20"/>
                <w:szCs w:val="20"/>
                <w:color w:val="auto"/>
              </w:rPr>
            </w:pPr>
            <w:r>
              <w:rPr>
                <w:rFonts w:ascii="Arial" w:cs="Arial" w:eastAsia="Arial" w:hAnsi="Arial"/>
                <w:sz w:val="16"/>
                <w:szCs w:val="16"/>
                <w:color w:val="auto"/>
              </w:rPr>
              <w:t>2,480</w:t>
            </w:r>
          </w:p>
        </w:tc>
        <w:tc>
          <w:tcPr>
            <w:tcW w:w="1040" w:type="dxa"/>
            <w:vAlign w:val="bottom"/>
          </w:tcPr>
          <w:p>
            <w:pPr>
              <w:jc w:val="right"/>
              <w:ind w:right="259"/>
              <w:spacing w:after="0"/>
              <w:rPr>
                <w:sz w:val="20"/>
                <w:szCs w:val="20"/>
                <w:color w:val="auto"/>
              </w:rPr>
            </w:pPr>
            <w:r>
              <w:rPr>
                <w:rFonts w:ascii="Arial" w:cs="Arial" w:eastAsia="Arial" w:hAnsi="Arial"/>
                <w:sz w:val="16"/>
                <w:szCs w:val="16"/>
                <w:color w:val="auto"/>
              </w:rPr>
              <w:t>1,628</w:t>
            </w:r>
          </w:p>
        </w:tc>
        <w:tc>
          <w:tcPr>
            <w:tcW w:w="1020" w:type="dxa"/>
            <w:vAlign w:val="bottom"/>
          </w:tcPr>
          <w:p>
            <w:pPr>
              <w:jc w:val="right"/>
              <w:ind w:right="239"/>
              <w:spacing w:after="0"/>
              <w:rPr>
                <w:sz w:val="20"/>
                <w:szCs w:val="20"/>
                <w:color w:val="auto"/>
              </w:rPr>
            </w:pPr>
            <w:r>
              <w:rPr>
                <w:rFonts w:ascii="Arial" w:cs="Arial" w:eastAsia="Arial" w:hAnsi="Arial"/>
                <w:sz w:val="16"/>
                <w:szCs w:val="16"/>
                <w:color w:val="auto"/>
              </w:rPr>
              <w:t>253</w:t>
            </w:r>
          </w:p>
        </w:tc>
        <w:tc>
          <w:tcPr>
            <w:tcW w:w="1060" w:type="dxa"/>
            <w:vAlign w:val="bottom"/>
          </w:tcPr>
          <w:p>
            <w:pPr>
              <w:jc w:val="right"/>
              <w:ind w:right="259"/>
              <w:spacing w:after="0"/>
              <w:rPr>
                <w:sz w:val="20"/>
                <w:szCs w:val="20"/>
                <w:color w:val="auto"/>
              </w:rPr>
            </w:pPr>
            <w:r>
              <w:rPr>
                <w:rFonts w:ascii="Arial" w:cs="Arial" w:eastAsia="Arial" w:hAnsi="Arial"/>
                <w:sz w:val="16"/>
                <w:szCs w:val="16"/>
                <w:color w:val="auto"/>
              </w:rPr>
              <w:t>2,110</w:t>
            </w:r>
          </w:p>
        </w:tc>
        <w:tc>
          <w:tcPr>
            <w:tcW w:w="1020" w:type="dxa"/>
            <w:vAlign w:val="bottom"/>
          </w:tcPr>
          <w:p>
            <w:pPr>
              <w:jc w:val="right"/>
              <w:ind w:right="219"/>
              <w:spacing w:after="0"/>
              <w:rPr>
                <w:sz w:val="20"/>
                <w:szCs w:val="20"/>
                <w:color w:val="auto"/>
              </w:rPr>
            </w:pPr>
            <w:r>
              <w:rPr>
                <w:rFonts w:ascii="Arial" w:cs="Arial" w:eastAsia="Arial" w:hAnsi="Arial"/>
                <w:sz w:val="16"/>
                <w:szCs w:val="16"/>
                <w:color w:val="auto"/>
              </w:rPr>
              <w:t>3,182</w:t>
            </w:r>
          </w:p>
        </w:tc>
        <w:tc>
          <w:tcPr>
            <w:tcW w:w="800" w:type="dxa"/>
            <w:vAlign w:val="bottom"/>
          </w:tcPr>
          <w:p>
            <w:pPr>
              <w:jc w:val="right"/>
              <w:spacing w:after="0"/>
              <w:rPr>
                <w:sz w:val="20"/>
                <w:szCs w:val="20"/>
                <w:color w:val="auto"/>
              </w:rPr>
            </w:pPr>
            <w:r>
              <w:rPr>
                <w:rFonts w:ascii="Arial" w:cs="Arial" w:eastAsia="Arial" w:hAnsi="Arial"/>
                <w:sz w:val="16"/>
                <w:szCs w:val="16"/>
                <w:color w:val="auto"/>
              </w:rPr>
              <w:t>15,450</w:t>
            </w:r>
          </w:p>
        </w:tc>
      </w:tr>
      <w:tr>
        <w:trPr>
          <w:trHeight w:val="219"/>
        </w:trPr>
        <w:tc>
          <w:tcPr>
            <w:tcW w:w="11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10,938</w:t>
            </w:r>
          </w:p>
        </w:tc>
        <w:tc>
          <w:tcPr>
            <w:tcW w:w="10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8,492</w:t>
            </w:r>
          </w:p>
        </w:tc>
        <w:tc>
          <w:tcPr>
            <w:tcW w:w="10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412</w:t>
            </w:r>
          </w:p>
        </w:tc>
        <w:tc>
          <w:tcPr>
            <w:tcW w:w="10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6,087</w:t>
            </w:r>
          </w:p>
        </w:tc>
        <w:tc>
          <w:tcPr>
            <w:tcW w:w="10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8,829</w:t>
            </w:r>
          </w:p>
        </w:tc>
        <w:tc>
          <w:tcPr>
            <w:tcW w:w="10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812</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35,570</w:t>
            </w:r>
          </w:p>
        </w:tc>
      </w:tr>
      <w:tr>
        <w:trPr>
          <w:trHeight w:val="207"/>
        </w:trPr>
        <w:tc>
          <w:tcPr>
            <w:tcW w:w="1160" w:type="dxa"/>
            <w:vAlign w:val="bottom"/>
          </w:tcPr>
          <w:p>
            <w:pPr>
              <w:jc w:val="right"/>
              <w:ind w:right="219"/>
              <w:spacing w:after="0"/>
              <w:rPr>
                <w:sz w:val="20"/>
                <w:szCs w:val="20"/>
                <w:color w:val="auto"/>
              </w:rPr>
            </w:pPr>
            <w:r>
              <w:rPr>
                <w:rFonts w:ascii="Arial" w:cs="Arial" w:eastAsia="Arial" w:hAnsi="Arial"/>
                <w:sz w:val="16"/>
                <w:szCs w:val="16"/>
                <w:color w:val="auto"/>
              </w:rPr>
              <w:t>16,735</w:t>
            </w:r>
          </w:p>
        </w:tc>
        <w:tc>
          <w:tcPr>
            <w:tcW w:w="1080" w:type="dxa"/>
            <w:vAlign w:val="bottom"/>
          </w:tcPr>
          <w:p>
            <w:pPr>
              <w:jc w:val="right"/>
              <w:ind w:right="259"/>
              <w:spacing w:after="0"/>
              <w:rPr>
                <w:sz w:val="20"/>
                <w:szCs w:val="20"/>
                <w:color w:val="auto"/>
              </w:rPr>
            </w:pPr>
            <w:r>
              <w:rPr>
                <w:rFonts w:ascii="Arial" w:cs="Arial" w:eastAsia="Arial" w:hAnsi="Arial"/>
                <w:sz w:val="16"/>
                <w:szCs w:val="16"/>
                <w:color w:val="auto"/>
              </w:rPr>
              <w:t>10,972</w:t>
            </w:r>
          </w:p>
        </w:tc>
        <w:tc>
          <w:tcPr>
            <w:tcW w:w="1040" w:type="dxa"/>
            <w:vAlign w:val="bottom"/>
          </w:tcPr>
          <w:p>
            <w:pPr>
              <w:jc w:val="right"/>
              <w:ind w:right="259"/>
              <w:spacing w:after="0"/>
              <w:rPr>
                <w:sz w:val="20"/>
                <w:szCs w:val="20"/>
                <w:color w:val="auto"/>
              </w:rPr>
            </w:pPr>
            <w:r>
              <w:rPr>
                <w:rFonts w:ascii="Arial" w:cs="Arial" w:eastAsia="Arial" w:hAnsi="Arial"/>
                <w:sz w:val="16"/>
                <w:szCs w:val="16"/>
                <w:color w:val="auto"/>
              </w:rPr>
              <w:t>2,040</w:t>
            </w:r>
          </w:p>
        </w:tc>
        <w:tc>
          <w:tcPr>
            <w:tcW w:w="1020" w:type="dxa"/>
            <w:vAlign w:val="bottom"/>
          </w:tcPr>
          <w:p>
            <w:pPr>
              <w:jc w:val="right"/>
              <w:ind w:right="239"/>
              <w:spacing w:after="0"/>
              <w:rPr>
                <w:sz w:val="20"/>
                <w:szCs w:val="20"/>
                <w:color w:val="auto"/>
              </w:rPr>
            </w:pPr>
            <w:r>
              <w:rPr>
                <w:rFonts w:ascii="Arial" w:cs="Arial" w:eastAsia="Arial" w:hAnsi="Arial"/>
                <w:sz w:val="16"/>
                <w:szCs w:val="16"/>
                <w:color w:val="auto"/>
              </w:rPr>
              <w:t>6,340</w:t>
            </w:r>
          </w:p>
        </w:tc>
        <w:tc>
          <w:tcPr>
            <w:tcW w:w="1060" w:type="dxa"/>
            <w:vAlign w:val="bottom"/>
          </w:tcPr>
          <w:p>
            <w:pPr>
              <w:jc w:val="right"/>
              <w:ind w:right="259"/>
              <w:spacing w:after="0"/>
              <w:rPr>
                <w:sz w:val="20"/>
                <w:szCs w:val="20"/>
                <w:color w:val="auto"/>
              </w:rPr>
            </w:pPr>
            <w:r>
              <w:rPr>
                <w:rFonts w:ascii="Arial" w:cs="Arial" w:eastAsia="Arial" w:hAnsi="Arial"/>
                <w:sz w:val="16"/>
                <w:szCs w:val="16"/>
                <w:color w:val="auto"/>
              </w:rPr>
              <w:t>10,939</w:t>
            </w:r>
          </w:p>
        </w:tc>
        <w:tc>
          <w:tcPr>
            <w:tcW w:w="1020" w:type="dxa"/>
            <w:vAlign w:val="bottom"/>
          </w:tcPr>
          <w:p>
            <w:pPr>
              <w:jc w:val="right"/>
              <w:ind w:right="219"/>
              <w:spacing w:after="0"/>
              <w:rPr>
                <w:sz w:val="20"/>
                <w:szCs w:val="20"/>
                <w:color w:val="auto"/>
              </w:rPr>
            </w:pPr>
            <w:r>
              <w:rPr>
                <w:rFonts w:ascii="Arial" w:cs="Arial" w:eastAsia="Arial" w:hAnsi="Arial"/>
                <w:sz w:val="16"/>
                <w:szCs w:val="16"/>
                <w:color w:val="auto"/>
              </w:rPr>
              <w:t>3,994</w:t>
            </w:r>
          </w:p>
        </w:tc>
        <w:tc>
          <w:tcPr>
            <w:tcW w:w="800" w:type="dxa"/>
            <w:vAlign w:val="bottom"/>
          </w:tcPr>
          <w:p>
            <w:pPr>
              <w:jc w:val="right"/>
              <w:spacing w:after="0"/>
              <w:rPr>
                <w:sz w:val="20"/>
                <w:szCs w:val="20"/>
                <w:color w:val="auto"/>
              </w:rPr>
            </w:pPr>
            <w:r>
              <w:rPr>
                <w:rFonts w:ascii="Arial" w:cs="Arial" w:eastAsia="Arial" w:hAnsi="Arial"/>
                <w:sz w:val="16"/>
                <w:szCs w:val="16"/>
                <w:color w:val="auto"/>
              </w:rPr>
              <w:t>51,020</w:t>
            </w:r>
          </w:p>
        </w:tc>
      </w:tr>
      <w:tr>
        <w:trPr>
          <w:trHeight w:val="216"/>
        </w:trPr>
        <w:tc>
          <w:tcPr>
            <w:tcW w:w="1160" w:type="dxa"/>
            <w:vAlign w:val="bottom"/>
          </w:tcPr>
          <w:p>
            <w:pPr>
              <w:jc w:val="right"/>
              <w:ind w:right="219"/>
              <w:spacing w:after="0"/>
              <w:rPr>
                <w:sz w:val="20"/>
                <w:szCs w:val="20"/>
                <w:color w:val="auto"/>
              </w:rPr>
            </w:pPr>
            <w:r>
              <w:rPr>
                <w:rFonts w:ascii="Arial" w:cs="Arial" w:eastAsia="Arial" w:hAnsi="Arial"/>
                <w:sz w:val="16"/>
                <w:szCs w:val="16"/>
                <w:color w:val="auto"/>
              </w:rPr>
              <w:t>3,436</w:t>
            </w:r>
          </w:p>
        </w:tc>
        <w:tc>
          <w:tcPr>
            <w:tcW w:w="1080" w:type="dxa"/>
            <w:vAlign w:val="bottom"/>
          </w:tcPr>
          <w:p>
            <w:pPr>
              <w:jc w:val="right"/>
              <w:ind w:right="259"/>
              <w:spacing w:after="0"/>
              <w:rPr>
                <w:sz w:val="20"/>
                <w:szCs w:val="20"/>
                <w:color w:val="auto"/>
              </w:rPr>
            </w:pPr>
            <w:r>
              <w:rPr>
                <w:rFonts w:ascii="Arial" w:cs="Arial" w:eastAsia="Arial" w:hAnsi="Arial"/>
                <w:sz w:val="16"/>
                <w:szCs w:val="16"/>
                <w:color w:val="auto"/>
              </w:rPr>
              <w:t>4,867</w:t>
            </w:r>
          </w:p>
        </w:tc>
        <w:tc>
          <w:tcPr>
            <w:tcW w:w="1040" w:type="dxa"/>
            <w:vAlign w:val="bottom"/>
          </w:tcPr>
          <w:p>
            <w:pPr>
              <w:jc w:val="right"/>
              <w:ind w:right="259"/>
              <w:spacing w:after="0"/>
              <w:rPr>
                <w:sz w:val="20"/>
                <w:szCs w:val="20"/>
                <w:color w:val="auto"/>
              </w:rPr>
            </w:pPr>
            <w:r>
              <w:rPr>
                <w:rFonts w:ascii="Arial" w:cs="Arial" w:eastAsia="Arial" w:hAnsi="Arial"/>
                <w:sz w:val="16"/>
                <w:szCs w:val="16"/>
                <w:color w:val="auto"/>
              </w:rPr>
              <w:t>754</w:t>
            </w:r>
          </w:p>
        </w:tc>
        <w:tc>
          <w:tcPr>
            <w:tcW w:w="1020" w:type="dxa"/>
            <w:vAlign w:val="bottom"/>
          </w:tcPr>
          <w:p>
            <w:pPr>
              <w:jc w:val="right"/>
              <w:ind w:right="239"/>
              <w:spacing w:after="0"/>
              <w:rPr>
                <w:sz w:val="20"/>
                <w:szCs w:val="20"/>
                <w:color w:val="auto"/>
              </w:rPr>
            </w:pPr>
            <w:r>
              <w:rPr>
                <w:rFonts w:ascii="Arial" w:cs="Arial" w:eastAsia="Arial" w:hAnsi="Arial"/>
                <w:sz w:val="16"/>
                <w:szCs w:val="16"/>
                <w:color w:val="auto"/>
              </w:rPr>
              <w:t>1,759</w:t>
            </w:r>
          </w:p>
        </w:tc>
        <w:tc>
          <w:tcPr>
            <w:tcW w:w="1060" w:type="dxa"/>
            <w:vAlign w:val="bottom"/>
          </w:tcPr>
          <w:p>
            <w:pPr>
              <w:jc w:val="right"/>
              <w:ind w:right="259"/>
              <w:spacing w:after="0"/>
              <w:rPr>
                <w:sz w:val="20"/>
                <w:szCs w:val="20"/>
                <w:color w:val="auto"/>
              </w:rPr>
            </w:pPr>
            <w:r>
              <w:rPr>
                <w:rFonts w:ascii="Arial" w:cs="Arial" w:eastAsia="Arial" w:hAnsi="Arial"/>
                <w:sz w:val="16"/>
                <w:szCs w:val="16"/>
                <w:color w:val="auto"/>
              </w:rPr>
              <w:t>1,471</w:t>
            </w:r>
          </w:p>
        </w:tc>
        <w:tc>
          <w:tcPr>
            <w:tcW w:w="1020" w:type="dxa"/>
            <w:vAlign w:val="bottom"/>
          </w:tcPr>
          <w:p>
            <w:pPr>
              <w:jc w:val="right"/>
              <w:ind w:right="219"/>
              <w:spacing w:after="0"/>
              <w:rPr>
                <w:sz w:val="20"/>
                <w:szCs w:val="20"/>
                <w:color w:val="auto"/>
              </w:rPr>
            </w:pPr>
            <w:r>
              <w:rPr>
                <w:rFonts w:ascii="Arial" w:cs="Arial" w:eastAsia="Arial" w:hAnsi="Arial"/>
                <w:sz w:val="16"/>
                <w:szCs w:val="16"/>
                <w:color w:val="auto"/>
              </w:rPr>
              <w:t>481</w:t>
            </w:r>
          </w:p>
        </w:tc>
        <w:tc>
          <w:tcPr>
            <w:tcW w:w="800" w:type="dxa"/>
            <w:vAlign w:val="bottom"/>
          </w:tcPr>
          <w:p>
            <w:pPr>
              <w:jc w:val="right"/>
              <w:spacing w:after="0"/>
              <w:rPr>
                <w:sz w:val="20"/>
                <w:szCs w:val="20"/>
                <w:color w:val="auto"/>
              </w:rPr>
            </w:pPr>
            <w:r>
              <w:rPr>
                <w:rFonts w:ascii="Arial" w:cs="Arial" w:eastAsia="Arial" w:hAnsi="Arial"/>
                <w:sz w:val="16"/>
                <w:szCs w:val="16"/>
                <w:color w:val="auto"/>
              </w:rPr>
              <w:t>12,768</w:t>
            </w:r>
          </w:p>
        </w:tc>
      </w:tr>
      <w:tr>
        <w:trPr>
          <w:trHeight w:val="216"/>
        </w:trPr>
        <w:tc>
          <w:tcPr>
            <w:tcW w:w="1160" w:type="dxa"/>
            <w:vAlign w:val="bottom"/>
          </w:tcPr>
          <w:p>
            <w:pPr>
              <w:jc w:val="right"/>
              <w:ind w:right="219"/>
              <w:spacing w:after="0"/>
              <w:rPr>
                <w:sz w:val="20"/>
                <w:szCs w:val="20"/>
                <w:color w:val="auto"/>
              </w:rPr>
            </w:pPr>
            <w:r>
              <w:rPr>
                <w:rFonts w:ascii="Arial" w:cs="Arial" w:eastAsia="Arial" w:hAnsi="Arial"/>
                <w:sz w:val="16"/>
                <w:szCs w:val="16"/>
                <w:color w:val="auto"/>
              </w:rPr>
              <w:t>19</w:t>
            </w:r>
          </w:p>
        </w:tc>
        <w:tc>
          <w:tcPr>
            <w:tcW w:w="1080" w:type="dxa"/>
            <w:vAlign w:val="bottom"/>
          </w:tcPr>
          <w:p>
            <w:pPr>
              <w:jc w:val="right"/>
              <w:ind w:right="259"/>
              <w:spacing w:after="0"/>
              <w:rPr>
                <w:sz w:val="20"/>
                <w:szCs w:val="20"/>
                <w:color w:val="auto"/>
              </w:rPr>
            </w:pPr>
            <w:r>
              <w:rPr>
                <w:rFonts w:ascii="Arial" w:cs="Arial" w:eastAsia="Arial" w:hAnsi="Arial"/>
                <w:sz w:val="16"/>
                <w:szCs w:val="16"/>
                <w:color w:val="auto"/>
              </w:rPr>
              <w:t>464</w:t>
            </w:r>
          </w:p>
        </w:tc>
        <w:tc>
          <w:tcPr>
            <w:tcW w:w="1040" w:type="dxa"/>
            <w:vAlign w:val="bottom"/>
          </w:tcPr>
          <w:p>
            <w:pPr>
              <w:jc w:val="right"/>
              <w:ind w:right="259"/>
              <w:spacing w:after="0"/>
              <w:rPr>
                <w:sz w:val="20"/>
                <w:szCs w:val="20"/>
                <w:color w:val="auto"/>
              </w:rPr>
            </w:pPr>
            <w:r>
              <w:rPr>
                <w:rFonts w:ascii="Arial" w:cs="Arial" w:eastAsia="Arial" w:hAnsi="Arial"/>
                <w:sz w:val="16"/>
                <w:szCs w:val="16"/>
                <w:color w:val="auto"/>
              </w:rPr>
              <w:t>26</w:t>
            </w:r>
          </w:p>
        </w:tc>
        <w:tc>
          <w:tcPr>
            <w:tcW w:w="1020" w:type="dxa"/>
            <w:vAlign w:val="bottom"/>
          </w:tcPr>
          <w:p>
            <w:pPr>
              <w:jc w:val="right"/>
              <w:ind w:right="239"/>
              <w:spacing w:after="0"/>
              <w:rPr>
                <w:sz w:val="20"/>
                <w:szCs w:val="20"/>
                <w:color w:val="auto"/>
              </w:rPr>
            </w:pPr>
            <w:r>
              <w:rPr>
                <w:rFonts w:ascii="Arial" w:cs="Arial" w:eastAsia="Arial" w:hAnsi="Arial"/>
                <w:sz w:val="16"/>
                <w:szCs w:val="16"/>
                <w:color w:val="auto"/>
              </w:rPr>
              <w:t>359</w:t>
            </w:r>
          </w:p>
        </w:tc>
        <w:tc>
          <w:tcPr>
            <w:tcW w:w="1060" w:type="dxa"/>
            <w:vAlign w:val="bottom"/>
          </w:tcPr>
          <w:p>
            <w:pPr>
              <w:jc w:val="right"/>
              <w:ind w:right="259"/>
              <w:spacing w:after="0"/>
              <w:rPr>
                <w:sz w:val="20"/>
                <w:szCs w:val="20"/>
                <w:color w:val="auto"/>
              </w:rPr>
            </w:pPr>
            <w:r>
              <w:rPr>
                <w:rFonts w:ascii="Arial" w:cs="Arial" w:eastAsia="Arial" w:hAnsi="Arial"/>
                <w:sz w:val="16"/>
                <w:szCs w:val="16"/>
                <w:color w:val="auto"/>
              </w:rPr>
              <w:t>146</w:t>
            </w:r>
          </w:p>
        </w:tc>
        <w:tc>
          <w:tcPr>
            <w:tcW w:w="1020" w:type="dxa"/>
            <w:vAlign w:val="bottom"/>
          </w:tcPr>
          <w:p>
            <w:pPr>
              <w:jc w:val="right"/>
              <w:ind w:right="219"/>
              <w:spacing w:after="0"/>
              <w:rPr>
                <w:sz w:val="20"/>
                <w:szCs w:val="20"/>
                <w:color w:val="auto"/>
              </w:rPr>
            </w:pPr>
            <w:r>
              <w:rPr>
                <w:rFonts w:ascii="Arial" w:cs="Arial" w:eastAsia="Arial" w:hAnsi="Arial"/>
                <w:sz w:val="16"/>
                <w:szCs w:val="16"/>
                <w:color w:val="auto"/>
              </w:rPr>
              <w:t>40</w:t>
            </w:r>
          </w:p>
        </w:tc>
        <w:tc>
          <w:tcPr>
            <w:tcW w:w="800" w:type="dxa"/>
            <w:vAlign w:val="bottom"/>
          </w:tcPr>
          <w:p>
            <w:pPr>
              <w:jc w:val="right"/>
              <w:spacing w:after="0"/>
              <w:rPr>
                <w:sz w:val="20"/>
                <w:szCs w:val="20"/>
                <w:color w:val="auto"/>
              </w:rPr>
            </w:pPr>
            <w:r>
              <w:rPr>
                <w:rFonts w:ascii="Arial" w:cs="Arial" w:eastAsia="Arial" w:hAnsi="Arial"/>
                <w:sz w:val="16"/>
                <w:szCs w:val="16"/>
                <w:color w:val="auto"/>
              </w:rPr>
              <w:t>1,054</w:t>
            </w:r>
          </w:p>
        </w:tc>
      </w:tr>
      <w:tr>
        <w:trPr>
          <w:trHeight w:val="216"/>
        </w:trPr>
        <w:tc>
          <w:tcPr>
            <w:tcW w:w="1160" w:type="dxa"/>
            <w:vAlign w:val="bottom"/>
          </w:tcPr>
          <w:p>
            <w:pPr>
              <w:jc w:val="right"/>
              <w:ind w:right="219"/>
              <w:spacing w:after="0"/>
              <w:rPr>
                <w:sz w:val="20"/>
                <w:szCs w:val="20"/>
                <w:color w:val="auto"/>
              </w:rPr>
            </w:pPr>
            <w:r>
              <w:rPr>
                <w:rFonts w:ascii="Arial" w:cs="Arial" w:eastAsia="Arial" w:hAnsi="Arial"/>
                <w:sz w:val="16"/>
                <w:szCs w:val="16"/>
                <w:color w:val="auto"/>
              </w:rPr>
              <w:t>6,185</w:t>
            </w:r>
          </w:p>
        </w:tc>
        <w:tc>
          <w:tcPr>
            <w:tcW w:w="1080" w:type="dxa"/>
            <w:vAlign w:val="bottom"/>
          </w:tcPr>
          <w:p>
            <w:pPr>
              <w:jc w:val="right"/>
              <w:ind w:right="259"/>
              <w:spacing w:after="0"/>
              <w:rPr>
                <w:sz w:val="20"/>
                <w:szCs w:val="20"/>
                <w:color w:val="auto"/>
              </w:rPr>
            </w:pPr>
            <w:r>
              <w:rPr>
                <w:rFonts w:ascii="Arial" w:cs="Arial" w:eastAsia="Arial" w:hAnsi="Arial"/>
                <w:sz w:val="16"/>
                <w:szCs w:val="16"/>
                <w:color w:val="auto"/>
              </w:rPr>
              <w:t>2,690</w:t>
            </w:r>
          </w:p>
        </w:tc>
        <w:tc>
          <w:tcPr>
            <w:tcW w:w="1040" w:type="dxa"/>
            <w:vAlign w:val="bottom"/>
          </w:tcPr>
          <w:p>
            <w:pPr>
              <w:jc w:val="right"/>
              <w:ind w:right="259"/>
              <w:spacing w:after="0"/>
              <w:rPr>
                <w:sz w:val="20"/>
                <w:szCs w:val="20"/>
                <w:color w:val="auto"/>
              </w:rPr>
            </w:pPr>
            <w:r>
              <w:rPr>
                <w:rFonts w:ascii="Arial" w:cs="Arial" w:eastAsia="Arial" w:hAnsi="Arial"/>
                <w:sz w:val="16"/>
                <w:szCs w:val="16"/>
                <w:color w:val="auto"/>
              </w:rPr>
              <w:t>408</w:t>
            </w:r>
          </w:p>
        </w:tc>
        <w:tc>
          <w:tcPr>
            <w:tcW w:w="1020" w:type="dxa"/>
            <w:vAlign w:val="bottom"/>
          </w:tcPr>
          <w:p>
            <w:pPr>
              <w:jc w:val="right"/>
              <w:ind w:right="239"/>
              <w:spacing w:after="0"/>
              <w:rPr>
                <w:sz w:val="20"/>
                <w:szCs w:val="20"/>
                <w:color w:val="auto"/>
              </w:rPr>
            </w:pPr>
            <w:r>
              <w:rPr>
                <w:rFonts w:ascii="Arial" w:cs="Arial" w:eastAsia="Arial" w:hAnsi="Arial"/>
                <w:sz w:val="16"/>
                <w:szCs w:val="16"/>
                <w:color w:val="auto"/>
              </w:rPr>
              <w:t>2,799</w:t>
            </w:r>
          </w:p>
        </w:tc>
        <w:tc>
          <w:tcPr>
            <w:tcW w:w="1060" w:type="dxa"/>
            <w:vAlign w:val="bottom"/>
          </w:tcPr>
          <w:p>
            <w:pPr>
              <w:jc w:val="right"/>
              <w:ind w:right="259"/>
              <w:spacing w:after="0"/>
              <w:rPr>
                <w:sz w:val="20"/>
                <w:szCs w:val="20"/>
                <w:color w:val="auto"/>
              </w:rPr>
            </w:pPr>
            <w:r>
              <w:rPr>
                <w:rFonts w:ascii="Arial" w:cs="Arial" w:eastAsia="Arial" w:hAnsi="Arial"/>
                <w:sz w:val="16"/>
                <w:szCs w:val="16"/>
                <w:color w:val="auto"/>
              </w:rPr>
              <w:t>1,965</w:t>
            </w:r>
          </w:p>
        </w:tc>
        <w:tc>
          <w:tcPr>
            <w:tcW w:w="1020" w:type="dxa"/>
            <w:vAlign w:val="bottom"/>
          </w:tcPr>
          <w:p>
            <w:pPr>
              <w:jc w:val="right"/>
              <w:ind w:right="219"/>
              <w:spacing w:after="0"/>
              <w:rPr>
                <w:sz w:val="20"/>
                <w:szCs w:val="20"/>
                <w:color w:val="auto"/>
              </w:rPr>
            </w:pPr>
            <w:r>
              <w:rPr>
                <w:rFonts w:ascii="Arial" w:cs="Arial" w:eastAsia="Arial" w:hAnsi="Arial"/>
                <w:sz w:val="16"/>
                <w:szCs w:val="16"/>
                <w:color w:val="auto"/>
              </w:rPr>
              <w:t>1,002</w:t>
            </w:r>
          </w:p>
        </w:tc>
        <w:tc>
          <w:tcPr>
            <w:tcW w:w="800" w:type="dxa"/>
            <w:vAlign w:val="bottom"/>
          </w:tcPr>
          <w:p>
            <w:pPr>
              <w:jc w:val="right"/>
              <w:spacing w:after="0"/>
              <w:rPr>
                <w:sz w:val="20"/>
                <w:szCs w:val="20"/>
                <w:color w:val="auto"/>
              </w:rPr>
            </w:pPr>
            <w:r>
              <w:rPr>
                <w:rFonts w:ascii="Arial" w:cs="Arial" w:eastAsia="Arial" w:hAnsi="Arial"/>
                <w:sz w:val="16"/>
                <w:szCs w:val="16"/>
                <w:color w:val="auto"/>
              </w:rPr>
              <w:t>15,049</w:t>
            </w:r>
          </w:p>
        </w:tc>
      </w:tr>
      <w:tr>
        <w:trPr>
          <w:trHeight w:val="216"/>
        </w:trPr>
        <w:tc>
          <w:tcPr>
            <w:tcW w:w="1160" w:type="dxa"/>
            <w:vAlign w:val="bottom"/>
          </w:tcPr>
          <w:p>
            <w:pPr>
              <w:jc w:val="right"/>
              <w:ind w:right="219"/>
              <w:spacing w:after="0"/>
              <w:rPr>
                <w:sz w:val="20"/>
                <w:szCs w:val="20"/>
                <w:color w:val="auto"/>
              </w:rPr>
            </w:pPr>
            <w:r>
              <w:rPr>
                <w:rFonts w:ascii="Arial" w:cs="Arial" w:eastAsia="Arial" w:hAnsi="Arial"/>
                <w:sz w:val="16"/>
                <w:szCs w:val="16"/>
                <w:color w:val="auto"/>
              </w:rPr>
              <w:t>1,367</w:t>
            </w:r>
          </w:p>
        </w:tc>
        <w:tc>
          <w:tcPr>
            <w:tcW w:w="1080" w:type="dxa"/>
            <w:vAlign w:val="bottom"/>
          </w:tcPr>
          <w:p>
            <w:pPr>
              <w:jc w:val="right"/>
              <w:ind w:right="259"/>
              <w:spacing w:after="0"/>
              <w:rPr>
                <w:sz w:val="20"/>
                <w:szCs w:val="20"/>
                <w:color w:val="auto"/>
              </w:rPr>
            </w:pPr>
            <w:r>
              <w:rPr>
                <w:rFonts w:ascii="Arial" w:cs="Arial" w:eastAsia="Arial" w:hAnsi="Arial"/>
                <w:sz w:val="16"/>
                <w:szCs w:val="16"/>
                <w:color w:val="auto"/>
              </w:rPr>
              <w:t>113</w:t>
            </w:r>
          </w:p>
        </w:tc>
        <w:tc>
          <w:tcPr>
            <w:tcW w:w="1040" w:type="dxa"/>
            <w:vAlign w:val="bottom"/>
          </w:tcPr>
          <w:p>
            <w:pPr>
              <w:jc w:val="right"/>
              <w:ind w:right="259"/>
              <w:spacing w:after="0"/>
              <w:rPr>
                <w:sz w:val="20"/>
                <w:szCs w:val="20"/>
                <w:color w:val="auto"/>
              </w:rPr>
            </w:pPr>
            <w:r>
              <w:rPr>
                <w:rFonts w:ascii="Arial" w:cs="Arial" w:eastAsia="Arial" w:hAnsi="Arial"/>
                <w:sz w:val="16"/>
                <w:szCs w:val="16"/>
                <w:color w:val="auto"/>
              </w:rPr>
              <w:t>11</w:t>
            </w:r>
          </w:p>
        </w:tc>
        <w:tc>
          <w:tcPr>
            <w:tcW w:w="1020" w:type="dxa"/>
            <w:vAlign w:val="bottom"/>
          </w:tcPr>
          <w:p>
            <w:pPr>
              <w:jc w:val="right"/>
              <w:ind w:right="239"/>
              <w:spacing w:after="0"/>
              <w:rPr>
                <w:sz w:val="20"/>
                <w:szCs w:val="20"/>
                <w:color w:val="auto"/>
              </w:rPr>
            </w:pPr>
            <w:r>
              <w:rPr>
                <w:rFonts w:ascii="Arial" w:cs="Arial" w:eastAsia="Arial" w:hAnsi="Arial"/>
                <w:sz w:val="16"/>
                <w:szCs w:val="16"/>
                <w:color w:val="auto"/>
              </w:rPr>
              <w:t>490</w:t>
            </w:r>
          </w:p>
        </w:tc>
        <w:tc>
          <w:tcPr>
            <w:tcW w:w="1060" w:type="dxa"/>
            <w:vAlign w:val="bottom"/>
          </w:tcPr>
          <w:p>
            <w:pPr>
              <w:jc w:val="right"/>
              <w:ind w:right="259"/>
              <w:spacing w:after="0"/>
              <w:rPr>
                <w:sz w:val="20"/>
                <w:szCs w:val="20"/>
                <w:color w:val="auto"/>
              </w:rPr>
            </w:pPr>
            <w:r>
              <w:rPr>
                <w:rFonts w:ascii="Arial" w:cs="Arial" w:eastAsia="Arial" w:hAnsi="Arial"/>
                <w:sz w:val="16"/>
                <w:szCs w:val="16"/>
                <w:color w:val="auto"/>
              </w:rPr>
              <w:t>1,258</w:t>
            </w:r>
          </w:p>
        </w:tc>
        <w:tc>
          <w:tcPr>
            <w:tcW w:w="1020" w:type="dxa"/>
            <w:vAlign w:val="bottom"/>
          </w:tcPr>
          <w:p>
            <w:pPr>
              <w:jc w:val="right"/>
              <w:ind w:right="219"/>
              <w:spacing w:after="0"/>
              <w:rPr>
                <w:sz w:val="20"/>
                <w:szCs w:val="20"/>
                <w:color w:val="auto"/>
              </w:rPr>
            </w:pPr>
            <w:r>
              <w:rPr>
                <w:rFonts w:ascii="Arial" w:cs="Arial" w:eastAsia="Arial" w:hAnsi="Arial"/>
                <w:sz w:val="16"/>
                <w:szCs w:val="16"/>
                <w:color w:val="auto"/>
              </w:rPr>
              <w:t>423</w:t>
            </w:r>
          </w:p>
        </w:tc>
        <w:tc>
          <w:tcPr>
            <w:tcW w:w="800" w:type="dxa"/>
            <w:vAlign w:val="bottom"/>
          </w:tcPr>
          <w:p>
            <w:pPr>
              <w:jc w:val="right"/>
              <w:spacing w:after="0"/>
              <w:rPr>
                <w:sz w:val="20"/>
                <w:szCs w:val="20"/>
                <w:color w:val="auto"/>
              </w:rPr>
            </w:pPr>
            <w:r>
              <w:rPr>
                <w:rFonts w:ascii="Arial" w:cs="Arial" w:eastAsia="Arial" w:hAnsi="Arial"/>
                <w:sz w:val="16"/>
                <w:szCs w:val="16"/>
                <w:color w:val="auto"/>
              </w:rPr>
              <w:t>3,662</w:t>
            </w:r>
          </w:p>
        </w:tc>
      </w:tr>
      <w:tr>
        <w:trPr>
          <w:trHeight w:val="219"/>
        </w:trPr>
        <w:tc>
          <w:tcPr>
            <w:tcW w:w="11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1,276</w:t>
            </w:r>
          </w:p>
        </w:tc>
        <w:tc>
          <w:tcPr>
            <w:tcW w:w="10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55</w:t>
            </w:r>
          </w:p>
        </w:tc>
        <w:tc>
          <w:tcPr>
            <w:tcW w:w="10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235</w:t>
            </w:r>
          </w:p>
        </w:tc>
        <w:tc>
          <w:tcPr>
            <w:tcW w:w="10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311</w:t>
            </w:r>
          </w:p>
        </w:tc>
        <w:tc>
          <w:tcPr>
            <w:tcW w:w="10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3,858</w:t>
            </w:r>
          </w:p>
        </w:tc>
        <w:tc>
          <w:tcPr>
            <w:tcW w:w="10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610</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6,345</w:t>
            </w:r>
          </w:p>
        </w:tc>
      </w:tr>
      <w:tr>
        <w:trPr>
          <w:trHeight w:val="358"/>
        </w:trPr>
        <w:tc>
          <w:tcPr>
            <w:tcW w:w="11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4,452</w:t>
            </w:r>
          </w:p>
        </w:tc>
        <w:tc>
          <w:tcPr>
            <w:tcW w:w="10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2,783</w:t>
            </w:r>
          </w:p>
        </w:tc>
        <w:tc>
          <w:tcPr>
            <w:tcW w:w="10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606</w:t>
            </w:r>
          </w:p>
        </w:tc>
        <w:tc>
          <w:tcPr>
            <w:tcW w:w="10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622</w:t>
            </w:r>
          </w:p>
        </w:tc>
        <w:tc>
          <w:tcPr>
            <w:tcW w:w="10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2,241</w:t>
            </w:r>
          </w:p>
        </w:tc>
        <w:tc>
          <w:tcPr>
            <w:tcW w:w="10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1,438</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12,142</w:t>
            </w:r>
          </w:p>
        </w:tc>
      </w:tr>
      <w:tr>
        <w:trPr>
          <w:trHeight w:val="841"/>
        </w:trPr>
        <w:tc>
          <w:tcPr>
            <w:tcW w:w="1160" w:type="dxa"/>
            <w:vAlign w:val="bottom"/>
          </w:tcPr>
          <w:p>
            <w:pPr>
              <w:jc w:val="right"/>
              <w:ind w:right="219"/>
              <w:spacing w:after="0"/>
              <w:rPr>
                <w:sz w:val="20"/>
                <w:szCs w:val="20"/>
                <w:color w:val="auto"/>
              </w:rPr>
            </w:pPr>
            <w:r>
              <w:rPr>
                <w:rFonts w:ascii="Arial" w:cs="Arial" w:eastAsia="Arial" w:hAnsi="Arial"/>
                <w:sz w:val="16"/>
                <w:szCs w:val="16"/>
                <w:color w:val="auto"/>
              </w:rPr>
              <w:t>620</w:t>
            </w:r>
          </w:p>
        </w:tc>
        <w:tc>
          <w:tcPr>
            <w:tcW w:w="108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59"/>
              <w:spacing w:after="0"/>
              <w:rPr>
                <w:sz w:val="20"/>
                <w:szCs w:val="20"/>
                <w:color w:val="auto"/>
              </w:rPr>
            </w:pPr>
            <w:r>
              <w:rPr>
                <w:rFonts w:ascii="Arial" w:cs="Arial" w:eastAsia="Arial" w:hAnsi="Arial"/>
                <w:sz w:val="16"/>
                <w:szCs w:val="16"/>
                <w:color w:val="auto"/>
              </w:rPr>
              <w:t>1,332</w:t>
            </w:r>
          </w:p>
        </w:tc>
        <w:tc>
          <w:tcPr>
            <w:tcW w:w="102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59"/>
              <w:spacing w:after="0"/>
              <w:rPr>
                <w:sz w:val="20"/>
                <w:szCs w:val="20"/>
                <w:color w:val="auto"/>
              </w:rPr>
            </w:pPr>
            <w:r>
              <w:rPr>
                <w:rFonts w:ascii="Arial" w:cs="Arial" w:eastAsia="Arial" w:hAnsi="Arial"/>
                <w:sz w:val="16"/>
                <w:szCs w:val="16"/>
                <w:color w:val="auto"/>
              </w:rPr>
              <w:t>12,239</w:t>
            </w:r>
          </w:p>
        </w:tc>
        <w:tc>
          <w:tcPr>
            <w:tcW w:w="10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14,191</w:t>
            </w:r>
          </w:p>
        </w:tc>
      </w:tr>
      <w:tr>
        <w:trPr>
          <w:trHeight w:val="219"/>
        </w:trPr>
        <w:tc>
          <w:tcPr>
            <w:tcW w:w="11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479</w:t>
            </w:r>
          </w:p>
        </w:tc>
        <w:tc>
          <w:tcPr>
            <w:tcW w:w="10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33</w:t>
            </w:r>
          </w:p>
        </w:tc>
        <w:tc>
          <w:tcPr>
            <w:tcW w:w="10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151</w:t>
            </w:r>
          </w:p>
        </w:tc>
        <w:tc>
          <w:tcPr>
            <w:tcW w:w="10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663</w:t>
            </w:r>
          </w:p>
        </w:tc>
      </w:tr>
      <w:tr>
        <w:trPr>
          <w:trHeight w:val="206"/>
        </w:trPr>
        <w:tc>
          <w:tcPr>
            <w:tcW w:w="1160" w:type="dxa"/>
            <w:vAlign w:val="bottom"/>
          </w:tcPr>
          <w:p>
            <w:pPr>
              <w:jc w:val="right"/>
              <w:ind w:right="219"/>
              <w:spacing w:after="0"/>
              <w:rPr>
                <w:sz w:val="20"/>
                <w:szCs w:val="20"/>
                <w:color w:val="auto"/>
              </w:rPr>
            </w:pPr>
            <w:r>
              <w:rPr>
                <w:rFonts w:ascii="Arial" w:cs="Arial" w:eastAsia="Arial" w:hAnsi="Arial"/>
                <w:sz w:val="16"/>
                <w:szCs w:val="16"/>
                <w:color w:val="auto"/>
              </w:rPr>
              <w:t>1,099</w:t>
            </w:r>
          </w:p>
        </w:tc>
        <w:tc>
          <w:tcPr>
            <w:tcW w:w="108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59"/>
              <w:spacing w:after="0"/>
              <w:rPr>
                <w:sz w:val="20"/>
                <w:szCs w:val="20"/>
                <w:color w:val="auto"/>
              </w:rPr>
            </w:pPr>
            <w:r>
              <w:rPr>
                <w:rFonts w:ascii="Arial" w:cs="Arial" w:eastAsia="Arial" w:hAnsi="Arial"/>
                <w:sz w:val="16"/>
                <w:szCs w:val="16"/>
                <w:color w:val="auto"/>
              </w:rPr>
              <w:t>1,365</w:t>
            </w:r>
          </w:p>
        </w:tc>
        <w:tc>
          <w:tcPr>
            <w:tcW w:w="102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59"/>
              <w:spacing w:after="0"/>
              <w:rPr>
                <w:sz w:val="20"/>
                <w:szCs w:val="20"/>
                <w:color w:val="auto"/>
              </w:rPr>
            </w:pPr>
            <w:r>
              <w:rPr>
                <w:rFonts w:ascii="Arial" w:cs="Arial" w:eastAsia="Arial" w:hAnsi="Arial"/>
                <w:sz w:val="16"/>
                <w:szCs w:val="16"/>
                <w:color w:val="auto"/>
              </w:rPr>
              <w:t>12,390</w:t>
            </w:r>
          </w:p>
        </w:tc>
        <w:tc>
          <w:tcPr>
            <w:tcW w:w="10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14,854</w:t>
            </w:r>
          </w:p>
        </w:tc>
      </w:tr>
      <w:tr>
        <w:trPr>
          <w:trHeight w:val="216"/>
        </w:trPr>
        <w:tc>
          <w:tcPr>
            <w:tcW w:w="1160" w:type="dxa"/>
            <w:vAlign w:val="bottom"/>
          </w:tcPr>
          <w:p>
            <w:pPr>
              <w:jc w:val="right"/>
              <w:ind w:right="219"/>
              <w:spacing w:after="0"/>
              <w:rPr>
                <w:sz w:val="20"/>
                <w:szCs w:val="20"/>
                <w:color w:val="auto"/>
              </w:rPr>
            </w:pPr>
            <w:r>
              <w:rPr>
                <w:rFonts w:ascii="Arial" w:cs="Arial" w:eastAsia="Arial" w:hAnsi="Arial"/>
                <w:sz w:val="16"/>
                <w:szCs w:val="16"/>
                <w:color w:val="auto"/>
              </w:rPr>
              <w:t>538</w:t>
            </w:r>
          </w:p>
        </w:tc>
        <w:tc>
          <w:tcPr>
            <w:tcW w:w="108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59"/>
              <w:spacing w:after="0"/>
              <w:rPr>
                <w:sz w:val="20"/>
                <w:szCs w:val="20"/>
                <w:color w:val="auto"/>
              </w:rPr>
            </w:pPr>
            <w:r>
              <w:rPr>
                <w:rFonts w:ascii="Arial" w:cs="Arial" w:eastAsia="Arial" w:hAnsi="Arial"/>
                <w:sz w:val="16"/>
                <w:szCs w:val="16"/>
                <w:color w:val="auto"/>
              </w:rPr>
              <w:t>1,065</w:t>
            </w:r>
          </w:p>
        </w:tc>
        <w:tc>
          <w:tcPr>
            <w:tcW w:w="1020" w:type="dxa"/>
            <w:vAlign w:val="bottom"/>
          </w:tcPr>
          <w:p>
            <w:pPr>
              <w:jc w:val="right"/>
              <w:ind w:right="239"/>
              <w:spacing w:after="0"/>
              <w:rPr>
                <w:sz w:val="20"/>
                <w:szCs w:val="20"/>
                <w:color w:val="auto"/>
              </w:rPr>
            </w:pPr>
            <w:r>
              <w:rPr>
                <w:rFonts w:ascii="Arial" w:cs="Arial" w:eastAsia="Arial" w:hAnsi="Arial"/>
                <w:sz w:val="16"/>
                <w:szCs w:val="16"/>
                <w:color w:val="auto"/>
              </w:rPr>
              <w:t>11</w:t>
            </w:r>
          </w:p>
        </w:tc>
        <w:tc>
          <w:tcPr>
            <w:tcW w:w="1060" w:type="dxa"/>
            <w:vAlign w:val="bottom"/>
          </w:tcPr>
          <w:p>
            <w:pPr>
              <w:jc w:val="right"/>
              <w:ind w:right="259"/>
              <w:spacing w:after="0"/>
              <w:rPr>
                <w:sz w:val="20"/>
                <w:szCs w:val="20"/>
                <w:color w:val="auto"/>
              </w:rPr>
            </w:pPr>
            <w:r>
              <w:rPr>
                <w:rFonts w:ascii="Arial" w:cs="Arial" w:eastAsia="Arial" w:hAnsi="Arial"/>
                <w:sz w:val="16"/>
                <w:szCs w:val="16"/>
                <w:color w:val="auto"/>
              </w:rPr>
              <w:t>413</w:t>
            </w:r>
          </w:p>
        </w:tc>
        <w:tc>
          <w:tcPr>
            <w:tcW w:w="10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2,027</w:t>
            </w:r>
          </w:p>
        </w:tc>
      </w:tr>
      <w:tr>
        <w:trPr>
          <w:trHeight w:val="216"/>
        </w:trPr>
        <w:tc>
          <w:tcPr>
            <w:tcW w:w="11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59"/>
              <w:spacing w:after="0"/>
              <w:rPr>
                <w:sz w:val="20"/>
                <w:szCs w:val="20"/>
                <w:color w:val="auto"/>
              </w:rPr>
            </w:pPr>
            <w:r>
              <w:rPr>
                <w:rFonts w:ascii="Arial" w:cs="Arial" w:eastAsia="Arial" w:hAnsi="Arial"/>
                <w:sz w:val="16"/>
                <w:szCs w:val="16"/>
                <w:color w:val="auto"/>
              </w:rPr>
              <w:t>2</w:t>
            </w:r>
          </w:p>
        </w:tc>
        <w:tc>
          <w:tcPr>
            <w:tcW w:w="102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6"/>
        </w:trPr>
        <w:tc>
          <w:tcPr>
            <w:tcW w:w="1160" w:type="dxa"/>
            <w:vAlign w:val="bottom"/>
          </w:tcPr>
          <w:p>
            <w:pPr>
              <w:jc w:val="right"/>
              <w:ind w:right="219"/>
              <w:spacing w:after="0"/>
              <w:rPr>
                <w:sz w:val="20"/>
                <w:szCs w:val="20"/>
                <w:color w:val="auto"/>
              </w:rPr>
            </w:pPr>
            <w:r>
              <w:rPr>
                <w:rFonts w:ascii="Arial" w:cs="Arial" w:eastAsia="Arial" w:hAnsi="Arial"/>
                <w:sz w:val="16"/>
                <w:szCs w:val="16"/>
                <w:color w:val="auto"/>
              </w:rPr>
              <w:t>509</w:t>
            </w:r>
          </w:p>
        </w:tc>
        <w:tc>
          <w:tcPr>
            <w:tcW w:w="108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59"/>
              <w:spacing w:after="0"/>
              <w:rPr>
                <w:sz w:val="20"/>
                <w:szCs w:val="20"/>
                <w:color w:val="auto"/>
              </w:rPr>
            </w:pPr>
            <w:r>
              <w:rPr>
                <w:rFonts w:ascii="Arial" w:cs="Arial" w:eastAsia="Arial" w:hAnsi="Arial"/>
                <w:sz w:val="16"/>
                <w:szCs w:val="16"/>
                <w:color w:val="auto"/>
              </w:rPr>
              <w:t>194</w:t>
            </w:r>
          </w:p>
        </w:tc>
        <w:tc>
          <w:tcPr>
            <w:tcW w:w="102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59"/>
              <w:spacing w:after="0"/>
              <w:rPr>
                <w:sz w:val="20"/>
                <w:szCs w:val="20"/>
                <w:color w:val="auto"/>
              </w:rPr>
            </w:pPr>
            <w:r>
              <w:rPr>
                <w:rFonts w:ascii="Arial" w:cs="Arial" w:eastAsia="Arial" w:hAnsi="Arial"/>
                <w:sz w:val="16"/>
                <w:szCs w:val="16"/>
                <w:color w:val="auto"/>
              </w:rPr>
              <w:t>611</w:t>
            </w:r>
          </w:p>
        </w:tc>
        <w:tc>
          <w:tcPr>
            <w:tcW w:w="10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1,314</w:t>
            </w:r>
          </w:p>
        </w:tc>
      </w:tr>
      <w:tr>
        <w:trPr>
          <w:trHeight w:val="216"/>
        </w:trPr>
        <w:tc>
          <w:tcPr>
            <w:tcW w:w="1160" w:type="dxa"/>
            <w:vAlign w:val="bottom"/>
          </w:tcPr>
          <w:p>
            <w:pPr>
              <w:jc w:val="right"/>
              <w:ind w:right="219"/>
              <w:spacing w:after="0"/>
              <w:rPr>
                <w:sz w:val="20"/>
                <w:szCs w:val="20"/>
                <w:color w:val="auto"/>
              </w:rPr>
            </w:pPr>
            <w:r>
              <w:rPr>
                <w:rFonts w:ascii="Arial" w:cs="Arial" w:eastAsia="Arial" w:hAnsi="Arial"/>
                <w:sz w:val="16"/>
                <w:szCs w:val="16"/>
                <w:color w:val="auto"/>
              </w:rPr>
              <w:t>33</w:t>
            </w:r>
          </w:p>
        </w:tc>
        <w:tc>
          <w:tcPr>
            <w:tcW w:w="108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59"/>
              <w:spacing w:after="0"/>
              <w:rPr>
                <w:sz w:val="20"/>
                <w:szCs w:val="20"/>
                <w:color w:val="auto"/>
              </w:rPr>
            </w:pPr>
            <w:r>
              <w:rPr>
                <w:rFonts w:ascii="Arial" w:cs="Arial" w:eastAsia="Arial" w:hAnsi="Arial"/>
                <w:sz w:val="16"/>
                <w:szCs w:val="16"/>
                <w:color w:val="auto"/>
              </w:rPr>
              <w:t>48</w:t>
            </w:r>
          </w:p>
        </w:tc>
        <w:tc>
          <w:tcPr>
            <w:tcW w:w="102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59"/>
              <w:spacing w:after="0"/>
              <w:rPr>
                <w:sz w:val="20"/>
                <w:szCs w:val="20"/>
                <w:color w:val="auto"/>
              </w:rPr>
            </w:pPr>
            <w:r>
              <w:rPr>
                <w:rFonts w:ascii="Arial" w:cs="Arial" w:eastAsia="Arial" w:hAnsi="Arial"/>
                <w:sz w:val="16"/>
                <w:szCs w:val="16"/>
                <w:color w:val="auto"/>
              </w:rPr>
              <w:t>3,749</w:t>
            </w:r>
          </w:p>
        </w:tc>
        <w:tc>
          <w:tcPr>
            <w:tcW w:w="10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3,830</w:t>
            </w:r>
          </w:p>
        </w:tc>
      </w:tr>
      <w:tr>
        <w:trPr>
          <w:trHeight w:val="219"/>
        </w:trPr>
        <w:tc>
          <w:tcPr>
            <w:tcW w:w="11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13</w:t>
            </w:r>
          </w:p>
        </w:tc>
        <w:tc>
          <w:tcPr>
            <w:tcW w:w="10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3</w:t>
            </w:r>
          </w:p>
        </w:tc>
        <w:tc>
          <w:tcPr>
            <w:tcW w:w="10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2,652</w:t>
            </w:r>
          </w:p>
        </w:tc>
        <w:tc>
          <w:tcPr>
            <w:tcW w:w="10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2,668</w:t>
            </w:r>
          </w:p>
        </w:tc>
      </w:tr>
      <w:tr>
        <w:trPr>
          <w:trHeight w:val="210"/>
        </w:trPr>
        <w:tc>
          <w:tcPr>
            <w:tcW w:w="11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19</w:t>
            </w:r>
          </w:p>
        </w:tc>
        <w:tc>
          <w:tcPr>
            <w:tcW w:w="10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43</w:t>
            </w:r>
          </w:p>
        </w:tc>
        <w:tc>
          <w:tcPr>
            <w:tcW w:w="10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(14)</w:t>
            </w:r>
          </w:p>
        </w:tc>
        <w:tc>
          <w:tcPr>
            <w:tcW w:w="10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4,965</w:t>
            </w:r>
          </w:p>
        </w:tc>
        <w:tc>
          <w:tcPr>
            <w:tcW w:w="10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5,013</w:t>
            </w:r>
          </w:p>
        </w:tc>
      </w:tr>
      <w:tr>
        <w:trPr>
          <w:trHeight w:val="412"/>
        </w:trPr>
        <w:tc>
          <w:tcPr>
            <w:tcW w:w="11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4,471</w:t>
            </w:r>
          </w:p>
        </w:tc>
        <w:tc>
          <w:tcPr>
            <w:tcW w:w="10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2,783</w:t>
            </w:r>
          </w:p>
        </w:tc>
        <w:tc>
          <w:tcPr>
            <w:tcW w:w="10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649</w:t>
            </w:r>
          </w:p>
        </w:tc>
        <w:tc>
          <w:tcPr>
            <w:tcW w:w="10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608</w:t>
            </w:r>
          </w:p>
        </w:tc>
        <w:tc>
          <w:tcPr>
            <w:tcW w:w="10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7,206</w:t>
            </w:r>
          </w:p>
        </w:tc>
        <w:tc>
          <w:tcPr>
            <w:tcW w:w="10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1,438</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17,155</w:t>
            </w:r>
          </w:p>
        </w:tc>
      </w:tr>
    </w:tbl>
    <w:p>
      <w:pPr>
        <w:spacing w:after="0" w:line="200" w:lineRule="exact"/>
        <w:rPr>
          <w:sz w:val="20"/>
          <w:szCs w:val="20"/>
          <w:color w:val="auto"/>
        </w:rPr>
      </w:pPr>
    </w:p>
    <w:p>
      <w:pPr>
        <w:sectPr>
          <w:pgSz w:w="11900" w:h="16838" w:orient="portrait"/>
          <w:cols w:equalWidth="0" w:num="2">
            <w:col w:w="3520" w:space="540"/>
            <w:col w:w="7180"/>
          </w:cols>
          <w:pgMar w:left="320" w:top="769" w:right="339" w:bottom="1440" w:gutter="0" w:footer="0" w:header="0"/>
          <w:type w:val="continuous"/>
        </w:sect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112" w:name="page113"/>
    <w:bookmarkEnd w:id="112"/>
    <w:tbl>
      <w:tblPr>
        <w:tblLayout w:type="fixed"/>
        <w:tblInd w:w="0" w:type="dxa"/>
        <w:tblCellMar>
          <w:top w:w="0" w:type="dxa"/>
          <w:left w:w="0" w:type="dxa"/>
          <w:bottom w:w="0" w:type="dxa"/>
          <w:right w:w="0" w:type="dxa"/>
        </w:tblCellMar>
      </w:tblPr>
      <w:tr>
        <w:trPr>
          <w:trHeight w:val="161"/>
        </w:trPr>
        <w:tc>
          <w:tcPr>
            <w:tcW w:w="2920" w:type="dxa"/>
            <w:vAlign w:val="bottom"/>
          </w:tcPr>
          <w:p>
            <w:pPr>
              <w:spacing w:after="0"/>
              <w:rPr>
                <w:sz w:val="14"/>
                <w:szCs w:val="14"/>
                <w:color w:val="auto"/>
              </w:rPr>
            </w:pPr>
          </w:p>
        </w:tc>
        <w:tc>
          <w:tcPr>
            <w:tcW w:w="2060" w:type="dxa"/>
            <w:vAlign w:val="bottom"/>
            <w:vMerge w:val="restart"/>
          </w:tcPr>
          <w:p>
            <w:pPr>
              <w:jc w:val="center"/>
              <w:ind w:left="1048"/>
              <w:spacing w:after="0"/>
              <w:rPr>
                <w:sz w:val="20"/>
                <w:szCs w:val="20"/>
                <w:color w:val="auto"/>
              </w:rPr>
            </w:pPr>
            <w:r>
              <w:rPr>
                <w:rFonts w:ascii="Arial" w:cs="Arial" w:eastAsia="Arial" w:hAnsi="Arial"/>
                <w:sz w:val="14"/>
                <w:szCs w:val="14"/>
                <w:b w:val="1"/>
                <w:bCs w:val="1"/>
                <w:color w:val="auto"/>
                <w:w w:val="96"/>
              </w:rPr>
              <w:t>United</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5"/>
              </w:rPr>
              <w:t>Canada/</w:t>
            </w:r>
          </w:p>
        </w:tc>
        <w:tc>
          <w:tcPr>
            <w:tcW w:w="8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Australia/</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9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Results of Operations</w:t>
            </w:r>
          </w:p>
        </w:tc>
        <w:tc>
          <w:tcPr>
            <w:tcW w:w="2060" w:type="dxa"/>
            <w:vAlign w:val="bottom"/>
            <w:vMerge w:val="continue"/>
          </w:tcPr>
          <w:p>
            <w:pPr>
              <w:spacing w:after="0"/>
              <w:rPr>
                <w:sz w:val="11"/>
                <w:szCs w:val="11"/>
                <w:color w:val="auto"/>
              </w:rPr>
            </w:pPr>
          </w:p>
        </w:tc>
        <w:tc>
          <w:tcPr>
            <w:tcW w:w="11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Other</w:t>
            </w:r>
          </w:p>
        </w:tc>
        <w:tc>
          <w:tcPr>
            <w:tcW w:w="84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Europe</w:t>
            </w: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Africa</w:t>
            </w:r>
          </w:p>
        </w:tc>
        <w:tc>
          <w:tcPr>
            <w:tcW w:w="72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Asia</w:t>
            </w:r>
          </w:p>
        </w:tc>
        <w:tc>
          <w:tcPr>
            <w:tcW w:w="1220" w:type="dxa"/>
            <w:vAlign w:val="bottom"/>
            <w:vMerge w:val="continue"/>
          </w:tcPr>
          <w:p>
            <w:pPr>
              <w:spacing w:after="0"/>
              <w:rPr>
                <w:sz w:val="11"/>
                <w:szCs w:val="11"/>
                <w:color w:val="auto"/>
              </w:rPr>
            </w:pPr>
          </w:p>
        </w:tc>
        <w:tc>
          <w:tcPr>
            <w:tcW w:w="92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2920" w:type="dxa"/>
            <w:vAlign w:val="bottom"/>
            <w:tcBorders>
              <w:bottom w:val="single" w:sz="8" w:color="auto"/>
            </w:tcBorders>
            <w:vMerge w:val="continue"/>
          </w:tcPr>
          <w:p>
            <w:pPr>
              <w:spacing w:after="0"/>
              <w:rPr>
                <w:sz w:val="16"/>
                <w:szCs w:val="16"/>
                <w:color w:val="auto"/>
              </w:rPr>
            </w:pPr>
          </w:p>
        </w:tc>
        <w:tc>
          <w:tcPr>
            <w:tcW w:w="2060" w:type="dxa"/>
            <w:vAlign w:val="bottom"/>
            <w:tcBorders>
              <w:bottom w:val="single" w:sz="8" w:color="auto"/>
            </w:tcBorders>
          </w:tcPr>
          <w:p>
            <w:pPr>
              <w:jc w:val="center"/>
              <w:ind w:left="1048"/>
              <w:spacing w:after="0"/>
              <w:rPr>
                <w:sz w:val="20"/>
                <w:szCs w:val="20"/>
                <w:color w:val="auto"/>
              </w:rPr>
            </w:pPr>
            <w:r>
              <w:rPr>
                <w:rFonts w:ascii="Arial" w:cs="Arial" w:eastAsia="Arial" w:hAnsi="Arial"/>
                <w:sz w:val="14"/>
                <w:szCs w:val="14"/>
                <w:b w:val="1"/>
                <w:bCs w:val="1"/>
                <w:color w:val="auto"/>
                <w:w w:val="90"/>
              </w:rPr>
              <w:t>States</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Americas</w:t>
            </w:r>
          </w:p>
        </w:tc>
        <w:tc>
          <w:tcPr>
            <w:tcW w:w="840" w:type="dxa"/>
            <w:vAlign w:val="bottom"/>
            <w:tcBorders>
              <w:bottom w:val="single" w:sz="8" w:color="auto"/>
            </w:tcBorders>
            <w:vMerge w:val="continue"/>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Oceania</w:t>
            </w: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9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4"/>
                <w:szCs w:val="14"/>
                <w:i w:val="1"/>
                <w:iCs w:val="1"/>
                <w:color w:val="auto"/>
                <w:w w:val="99"/>
              </w:rPr>
              <w:t>(millions of dollars)</w:t>
            </w:r>
          </w:p>
        </w:tc>
        <w:tc>
          <w:tcPr>
            <w:tcW w:w="7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5" w:lineRule="exact"/>
        <w:rPr>
          <w:sz w:val="20"/>
          <w:szCs w:val="20"/>
          <w:color w:val="auto"/>
        </w:rPr>
      </w:pPr>
    </w:p>
    <w:p>
      <w:pPr>
        <w:sectPr>
          <w:pgSz w:w="11900" w:h="16838" w:orient="portrait"/>
          <w:cols w:equalWidth="0" w:num="1">
            <w:col w:w="11240"/>
          </w:cols>
          <w:pgMar w:left="320" w:top="883" w:right="339" w:bottom="1440" w:gutter="0" w:footer="0" w:header="0"/>
        </w:sectPr>
      </w:pPr>
    </w:p>
    <w:p>
      <w:pPr>
        <w:ind w:left="20"/>
        <w:spacing w:after="0"/>
        <w:rPr>
          <w:sz w:val="20"/>
          <w:szCs w:val="20"/>
          <w:color w:val="auto"/>
        </w:rPr>
      </w:pPr>
      <w:r>
        <w:rPr>
          <w:rFonts w:ascii="Arial" w:cs="Arial" w:eastAsia="Arial" w:hAnsi="Arial"/>
          <w:sz w:val="16"/>
          <w:szCs w:val="16"/>
          <w:b w:val="1"/>
          <w:bCs w:val="1"/>
          <w:color w:val="auto"/>
        </w:rPr>
        <w:t>Consolidated Subsidiaries</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6"/>
          <w:szCs w:val="16"/>
          <w:color w:val="auto"/>
        </w:rPr>
        <w:t>2020 - Revenue</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Sales to third parties</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Transfers</w:t>
      </w:r>
    </w:p>
    <w:p>
      <w:pPr>
        <w:spacing w:after="0" w:line="26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Production costs excluding taxes</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Exploration expenses</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Depreciation and depletion</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Taxes other than income</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Related income tax</w:t>
      </w:r>
    </w:p>
    <w:p>
      <w:pPr>
        <w:spacing w:after="0" w:line="32" w:lineRule="exact"/>
        <w:rPr>
          <w:sz w:val="20"/>
          <w:szCs w:val="20"/>
          <w:color w:val="auto"/>
        </w:rPr>
      </w:pPr>
    </w:p>
    <w:p>
      <w:pPr>
        <w:ind w:left="340" w:right="320" w:hanging="201"/>
        <w:spacing w:after="0"/>
        <w:rPr>
          <w:sz w:val="20"/>
          <w:szCs w:val="20"/>
          <w:color w:val="auto"/>
        </w:rPr>
      </w:pPr>
      <w:r>
        <w:rPr>
          <w:rFonts w:ascii="Arial" w:cs="Arial" w:eastAsia="Arial" w:hAnsi="Arial"/>
          <w:sz w:val="16"/>
          <w:szCs w:val="16"/>
          <w:color w:val="auto"/>
        </w:rPr>
        <w:t>Results of producing activities for consolidated subsidiaries</w:t>
      </w:r>
    </w:p>
    <w:p>
      <w:pPr>
        <w:spacing w:after="0" w:line="15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Equity Companies</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6"/>
          <w:szCs w:val="16"/>
          <w:color w:val="auto"/>
        </w:rPr>
        <w:t>2020 - Revenue</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Sales to third parties</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Transfers</w:t>
      </w:r>
    </w:p>
    <w:p>
      <w:pPr>
        <w:spacing w:after="0" w:line="26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Production costs excluding taxes</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Exploration expenses</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Depreciation and depletion</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Taxes other than income</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Related income tax</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Results of producing activities for equity companies</w:t>
      </w:r>
    </w:p>
    <w:p>
      <w:pPr>
        <w:spacing w:after="0" w:line="285" w:lineRule="exact"/>
        <w:rPr>
          <w:sz w:val="20"/>
          <w:szCs w:val="20"/>
          <w:color w:val="auto"/>
        </w:rPr>
      </w:pPr>
    </w:p>
    <w:p>
      <w:pPr>
        <w:ind w:left="20"/>
        <w:spacing w:after="0"/>
        <w:rPr>
          <w:sz w:val="20"/>
          <w:szCs w:val="20"/>
          <w:color w:val="auto"/>
        </w:rPr>
      </w:pPr>
      <w:r>
        <w:rPr>
          <w:rFonts w:ascii="Arial" w:cs="Arial" w:eastAsia="Arial" w:hAnsi="Arial"/>
          <w:sz w:val="16"/>
          <w:szCs w:val="16"/>
          <w:color w:val="auto"/>
        </w:rPr>
        <w:t>Total results of operations</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Consolidated Subsidiaries</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6"/>
          <w:szCs w:val="16"/>
          <w:color w:val="auto"/>
        </w:rPr>
        <w:t>2019 - Revenue</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Sales to third parties</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Transfers</w:t>
      </w:r>
    </w:p>
    <w:p>
      <w:pPr>
        <w:spacing w:after="0" w:line="26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Production costs excluding taxes</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Exploration expenses</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Depreciation and depletion</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Taxes other than income</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Related income tax</w:t>
      </w:r>
    </w:p>
    <w:p>
      <w:pPr>
        <w:spacing w:after="0" w:line="32" w:lineRule="exact"/>
        <w:rPr>
          <w:sz w:val="20"/>
          <w:szCs w:val="20"/>
          <w:color w:val="auto"/>
        </w:rPr>
      </w:pPr>
    </w:p>
    <w:p>
      <w:pPr>
        <w:ind w:left="340" w:right="320" w:hanging="201"/>
        <w:spacing w:after="0"/>
        <w:rPr>
          <w:sz w:val="20"/>
          <w:szCs w:val="20"/>
          <w:color w:val="auto"/>
        </w:rPr>
      </w:pPr>
      <w:r>
        <w:rPr>
          <w:rFonts w:ascii="Arial" w:cs="Arial" w:eastAsia="Arial" w:hAnsi="Arial"/>
          <w:sz w:val="16"/>
          <w:szCs w:val="16"/>
          <w:color w:val="auto"/>
        </w:rPr>
        <w:t>Results of producing activities for consolidated subsidiaries</w:t>
      </w:r>
    </w:p>
    <w:p>
      <w:pPr>
        <w:spacing w:after="0" w:line="15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Equity Companies</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6"/>
          <w:szCs w:val="16"/>
          <w:color w:val="auto"/>
        </w:rPr>
        <w:t>2019 - Revenue</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Sales to third parties</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Transfers</w:t>
      </w:r>
    </w:p>
    <w:p>
      <w:pPr>
        <w:spacing w:after="0" w:line="26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Production costs excluding taxes</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Exploration expenses</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Depreciation and depletion</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Taxes other than income</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Related income tax</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Results of producing activities for equity companies</w:t>
      </w:r>
    </w:p>
    <w:p>
      <w:pPr>
        <w:spacing w:after="0" w:line="217" w:lineRule="exact"/>
        <w:rPr>
          <w:sz w:val="20"/>
          <w:szCs w:val="20"/>
          <w:color w:val="auto"/>
        </w:rPr>
      </w:pPr>
    </w:p>
    <w:p>
      <w:pPr>
        <w:ind w:left="20"/>
        <w:spacing w:after="0"/>
        <w:rPr>
          <w:sz w:val="20"/>
          <w:szCs w:val="20"/>
          <w:color w:val="auto"/>
        </w:rPr>
      </w:pPr>
      <w:r>
        <w:rPr>
          <w:rFonts w:ascii="Arial" w:cs="Arial" w:eastAsia="Arial" w:hAnsi="Arial"/>
          <w:sz w:val="16"/>
          <w:szCs w:val="16"/>
          <w:color w:val="auto"/>
        </w:rPr>
        <w:t>Total results of operations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1200" w:type="dxa"/>
            <w:vAlign w:val="bottom"/>
          </w:tcPr>
          <w:p>
            <w:pPr>
              <w:jc w:val="right"/>
              <w:ind w:right="259"/>
              <w:spacing w:after="0"/>
              <w:rPr>
                <w:sz w:val="20"/>
                <w:szCs w:val="20"/>
                <w:color w:val="auto"/>
              </w:rPr>
            </w:pPr>
            <w:r>
              <w:rPr>
                <w:rFonts w:ascii="Arial" w:cs="Arial" w:eastAsia="Arial" w:hAnsi="Arial"/>
                <w:sz w:val="16"/>
                <w:szCs w:val="16"/>
                <w:color w:val="auto"/>
              </w:rPr>
              <w:t>2,933</w:t>
            </w:r>
          </w:p>
        </w:tc>
        <w:tc>
          <w:tcPr>
            <w:tcW w:w="1060" w:type="dxa"/>
            <w:vAlign w:val="bottom"/>
          </w:tcPr>
          <w:p>
            <w:pPr>
              <w:jc w:val="right"/>
              <w:ind w:right="279"/>
              <w:spacing w:after="0"/>
              <w:rPr>
                <w:sz w:val="20"/>
                <w:szCs w:val="20"/>
                <w:color w:val="auto"/>
              </w:rPr>
            </w:pPr>
            <w:r>
              <w:rPr>
                <w:rFonts w:ascii="Arial" w:cs="Arial" w:eastAsia="Arial" w:hAnsi="Arial"/>
                <w:sz w:val="16"/>
                <w:szCs w:val="16"/>
                <w:color w:val="auto"/>
              </w:rPr>
              <w:t>1,034</w:t>
            </w:r>
          </w:p>
        </w:tc>
        <w:tc>
          <w:tcPr>
            <w:tcW w:w="1040" w:type="dxa"/>
            <w:vAlign w:val="bottom"/>
          </w:tcPr>
          <w:p>
            <w:pPr>
              <w:jc w:val="right"/>
              <w:ind w:right="279"/>
              <w:spacing w:after="0"/>
              <w:rPr>
                <w:sz w:val="20"/>
                <w:szCs w:val="20"/>
                <w:color w:val="auto"/>
              </w:rPr>
            </w:pPr>
            <w:r>
              <w:rPr>
                <w:rFonts w:ascii="Arial" w:cs="Arial" w:eastAsia="Arial" w:hAnsi="Arial"/>
                <w:sz w:val="16"/>
                <w:szCs w:val="16"/>
                <w:color w:val="auto"/>
              </w:rPr>
              <w:t>536</w:t>
            </w:r>
          </w:p>
        </w:tc>
        <w:tc>
          <w:tcPr>
            <w:tcW w:w="1000" w:type="dxa"/>
            <w:vAlign w:val="bottom"/>
          </w:tcPr>
          <w:p>
            <w:pPr>
              <w:jc w:val="right"/>
              <w:ind w:right="239"/>
              <w:spacing w:after="0"/>
              <w:rPr>
                <w:sz w:val="20"/>
                <w:szCs w:val="20"/>
                <w:color w:val="auto"/>
              </w:rPr>
            </w:pPr>
            <w:r>
              <w:rPr>
                <w:rFonts w:ascii="Arial" w:cs="Arial" w:eastAsia="Arial" w:hAnsi="Arial"/>
                <w:sz w:val="16"/>
                <w:szCs w:val="16"/>
                <w:color w:val="auto"/>
              </w:rPr>
              <w:t>262</w:t>
            </w:r>
          </w:p>
        </w:tc>
        <w:tc>
          <w:tcPr>
            <w:tcW w:w="1080" w:type="dxa"/>
            <w:vAlign w:val="bottom"/>
          </w:tcPr>
          <w:p>
            <w:pPr>
              <w:jc w:val="right"/>
              <w:ind w:right="279"/>
              <w:spacing w:after="0"/>
              <w:rPr>
                <w:sz w:val="20"/>
                <w:szCs w:val="20"/>
                <w:color w:val="auto"/>
              </w:rPr>
            </w:pPr>
            <w:r>
              <w:rPr>
                <w:rFonts w:ascii="Arial" w:cs="Arial" w:eastAsia="Arial" w:hAnsi="Arial"/>
                <w:sz w:val="16"/>
                <w:szCs w:val="16"/>
                <w:color w:val="auto"/>
              </w:rPr>
              <w:t>1,632</w:t>
            </w:r>
          </w:p>
        </w:tc>
        <w:tc>
          <w:tcPr>
            <w:tcW w:w="960" w:type="dxa"/>
            <w:vAlign w:val="bottom"/>
          </w:tcPr>
          <w:p>
            <w:pPr>
              <w:jc w:val="right"/>
              <w:ind w:right="179"/>
              <w:spacing w:after="0"/>
              <w:rPr>
                <w:sz w:val="20"/>
                <w:szCs w:val="20"/>
                <w:color w:val="auto"/>
              </w:rPr>
            </w:pPr>
            <w:r>
              <w:rPr>
                <w:rFonts w:ascii="Arial" w:cs="Arial" w:eastAsia="Arial" w:hAnsi="Arial"/>
                <w:sz w:val="16"/>
                <w:szCs w:val="16"/>
                <w:color w:val="auto"/>
              </w:rPr>
              <w:t>1,983</w:t>
            </w:r>
          </w:p>
        </w:tc>
        <w:tc>
          <w:tcPr>
            <w:tcW w:w="860" w:type="dxa"/>
            <w:vAlign w:val="bottom"/>
          </w:tcPr>
          <w:p>
            <w:pPr>
              <w:jc w:val="right"/>
              <w:spacing w:after="0"/>
              <w:rPr>
                <w:sz w:val="20"/>
                <w:szCs w:val="20"/>
                <w:color w:val="auto"/>
              </w:rPr>
            </w:pPr>
            <w:r>
              <w:rPr>
                <w:rFonts w:ascii="Arial" w:cs="Arial" w:eastAsia="Arial" w:hAnsi="Arial"/>
                <w:sz w:val="16"/>
                <w:szCs w:val="16"/>
                <w:color w:val="auto"/>
              </w:rPr>
              <w:t>8,380</w:t>
            </w:r>
          </w:p>
        </w:tc>
      </w:tr>
      <w:tr>
        <w:trPr>
          <w:trHeight w:val="219"/>
        </w:trPr>
        <w:tc>
          <w:tcPr>
            <w:tcW w:w="12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4,943</w:t>
            </w:r>
          </w:p>
        </w:tc>
        <w:tc>
          <w:tcPr>
            <w:tcW w:w="10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3,938</w:t>
            </w:r>
          </w:p>
        </w:tc>
        <w:tc>
          <w:tcPr>
            <w:tcW w:w="10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362</w:t>
            </w:r>
          </w:p>
        </w:tc>
        <w:tc>
          <w:tcPr>
            <w:tcW w:w="10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4,603</w:t>
            </w:r>
          </w:p>
        </w:tc>
        <w:tc>
          <w:tcPr>
            <w:tcW w:w="10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5,584</w:t>
            </w:r>
          </w:p>
        </w:tc>
        <w:tc>
          <w:tcPr>
            <w:tcW w:w="9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509</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19,939</w:t>
            </w:r>
          </w:p>
        </w:tc>
      </w:tr>
      <w:tr>
        <w:trPr>
          <w:trHeight w:val="206"/>
        </w:trPr>
        <w:tc>
          <w:tcPr>
            <w:tcW w:w="1200" w:type="dxa"/>
            <w:vAlign w:val="bottom"/>
          </w:tcPr>
          <w:p>
            <w:pPr>
              <w:jc w:val="right"/>
              <w:ind w:right="259"/>
              <w:spacing w:after="0"/>
              <w:rPr>
                <w:sz w:val="20"/>
                <w:szCs w:val="20"/>
                <w:color w:val="auto"/>
              </w:rPr>
            </w:pPr>
            <w:r>
              <w:rPr>
                <w:rFonts w:ascii="Arial" w:cs="Arial" w:eastAsia="Arial" w:hAnsi="Arial"/>
                <w:sz w:val="16"/>
                <w:szCs w:val="16"/>
                <w:color w:val="auto"/>
              </w:rPr>
              <w:t>7,876</w:t>
            </w:r>
          </w:p>
        </w:tc>
        <w:tc>
          <w:tcPr>
            <w:tcW w:w="1060" w:type="dxa"/>
            <w:vAlign w:val="bottom"/>
          </w:tcPr>
          <w:p>
            <w:pPr>
              <w:jc w:val="right"/>
              <w:ind w:right="279"/>
              <w:spacing w:after="0"/>
              <w:rPr>
                <w:sz w:val="20"/>
                <w:szCs w:val="20"/>
                <w:color w:val="auto"/>
              </w:rPr>
            </w:pPr>
            <w:r>
              <w:rPr>
                <w:rFonts w:ascii="Arial" w:cs="Arial" w:eastAsia="Arial" w:hAnsi="Arial"/>
                <w:sz w:val="16"/>
                <w:szCs w:val="16"/>
                <w:color w:val="auto"/>
              </w:rPr>
              <w:t>4,972</w:t>
            </w:r>
          </w:p>
        </w:tc>
        <w:tc>
          <w:tcPr>
            <w:tcW w:w="1040" w:type="dxa"/>
            <w:vAlign w:val="bottom"/>
          </w:tcPr>
          <w:p>
            <w:pPr>
              <w:jc w:val="right"/>
              <w:ind w:right="279"/>
              <w:spacing w:after="0"/>
              <w:rPr>
                <w:sz w:val="20"/>
                <w:szCs w:val="20"/>
                <w:color w:val="auto"/>
              </w:rPr>
            </w:pPr>
            <w:r>
              <w:rPr>
                <w:rFonts w:ascii="Arial" w:cs="Arial" w:eastAsia="Arial" w:hAnsi="Arial"/>
                <w:sz w:val="16"/>
                <w:szCs w:val="16"/>
                <w:color w:val="auto"/>
              </w:rPr>
              <w:t>898</w:t>
            </w:r>
          </w:p>
        </w:tc>
        <w:tc>
          <w:tcPr>
            <w:tcW w:w="1000" w:type="dxa"/>
            <w:vAlign w:val="bottom"/>
          </w:tcPr>
          <w:p>
            <w:pPr>
              <w:jc w:val="right"/>
              <w:ind w:right="239"/>
              <w:spacing w:after="0"/>
              <w:rPr>
                <w:sz w:val="20"/>
                <w:szCs w:val="20"/>
                <w:color w:val="auto"/>
              </w:rPr>
            </w:pPr>
            <w:r>
              <w:rPr>
                <w:rFonts w:ascii="Arial" w:cs="Arial" w:eastAsia="Arial" w:hAnsi="Arial"/>
                <w:sz w:val="16"/>
                <w:szCs w:val="16"/>
                <w:color w:val="auto"/>
              </w:rPr>
              <w:t>4,865</w:t>
            </w:r>
          </w:p>
        </w:tc>
        <w:tc>
          <w:tcPr>
            <w:tcW w:w="1080" w:type="dxa"/>
            <w:vAlign w:val="bottom"/>
          </w:tcPr>
          <w:p>
            <w:pPr>
              <w:jc w:val="right"/>
              <w:ind w:right="279"/>
              <w:spacing w:after="0"/>
              <w:rPr>
                <w:sz w:val="20"/>
                <w:szCs w:val="20"/>
                <w:color w:val="auto"/>
              </w:rPr>
            </w:pPr>
            <w:r>
              <w:rPr>
                <w:rFonts w:ascii="Arial" w:cs="Arial" w:eastAsia="Arial" w:hAnsi="Arial"/>
                <w:sz w:val="16"/>
                <w:szCs w:val="16"/>
                <w:color w:val="auto"/>
              </w:rPr>
              <w:t>7,216</w:t>
            </w:r>
          </w:p>
        </w:tc>
        <w:tc>
          <w:tcPr>
            <w:tcW w:w="960" w:type="dxa"/>
            <w:vAlign w:val="bottom"/>
          </w:tcPr>
          <w:p>
            <w:pPr>
              <w:jc w:val="right"/>
              <w:ind w:right="179"/>
              <w:spacing w:after="0"/>
              <w:rPr>
                <w:sz w:val="20"/>
                <w:szCs w:val="20"/>
                <w:color w:val="auto"/>
              </w:rPr>
            </w:pPr>
            <w:r>
              <w:rPr>
                <w:rFonts w:ascii="Arial" w:cs="Arial" w:eastAsia="Arial" w:hAnsi="Arial"/>
                <w:sz w:val="16"/>
                <w:szCs w:val="16"/>
                <w:color w:val="auto"/>
              </w:rPr>
              <w:t>2,492</w:t>
            </w:r>
          </w:p>
        </w:tc>
        <w:tc>
          <w:tcPr>
            <w:tcW w:w="860" w:type="dxa"/>
            <w:vAlign w:val="bottom"/>
          </w:tcPr>
          <w:p>
            <w:pPr>
              <w:jc w:val="right"/>
              <w:spacing w:after="0"/>
              <w:rPr>
                <w:sz w:val="20"/>
                <w:szCs w:val="20"/>
                <w:color w:val="auto"/>
              </w:rPr>
            </w:pPr>
            <w:r>
              <w:rPr>
                <w:rFonts w:ascii="Arial" w:cs="Arial" w:eastAsia="Arial" w:hAnsi="Arial"/>
                <w:sz w:val="16"/>
                <w:szCs w:val="16"/>
                <w:color w:val="auto"/>
              </w:rPr>
              <w:t>28,319</w:t>
            </w:r>
          </w:p>
        </w:tc>
      </w:tr>
      <w:tr>
        <w:trPr>
          <w:trHeight w:val="216"/>
        </w:trPr>
        <w:tc>
          <w:tcPr>
            <w:tcW w:w="1200" w:type="dxa"/>
            <w:vAlign w:val="bottom"/>
          </w:tcPr>
          <w:p>
            <w:pPr>
              <w:jc w:val="right"/>
              <w:ind w:right="259"/>
              <w:spacing w:after="0"/>
              <w:rPr>
                <w:sz w:val="20"/>
                <w:szCs w:val="20"/>
                <w:color w:val="auto"/>
              </w:rPr>
            </w:pPr>
            <w:r>
              <w:rPr>
                <w:rFonts w:ascii="Arial" w:cs="Arial" w:eastAsia="Arial" w:hAnsi="Arial"/>
                <w:sz w:val="16"/>
                <w:szCs w:val="16"/>
                <w:color w:val="auto"/>
              </w:rPr>
              <w:t>3,877</w:t>
            </w:r>
          </w:p>
        </w:tc>
        <w:tc>
          <w:tcPr>
            <w:tcW w:w="1060" w:type="dxa"/>
            <w:vAlign w:val="bottom"/>
          </w:tcPr>
          <w:p>
            <w:pPr>
              <w:jc w:val="right"/>
              <w:ind w:right="279"/>
              <w:spacing w:after="0"/>
              <w:rPr>
                <w:sz w:val="20"/>
                <w:szCs w:val="20"/>
                <w:color w:val="auto"/>
              </w:rPr>
            </w:pPr>
            <w:r>
              <w:rPr>
                <w:rFonts w:ascii="Arial" w:cs="Arial" w:eastAsia="Arial" w:hAnsi="Arial"/>
                <w:sz w:val="16"/>
                <w:szCs w:val="16"/>
                <w:color w:val="auto"/>
              </w:rPr>
              <w:t>3,928</w:t>
            </w:r>
          </w:p>
        </w:tc>
        <w:tc>
          <w:tcPr>
            <w:tcW w:w="1040" w:type="dxa"/>
            <w:vAlign w:val="bottom"/>
          </w:tcPr>
          <w:p>
            <w:pPr>
              <w:jc w:val="right"/>
              <w:ind w:right="279"/>
              <w:spacing w:after="0"/>
              <w:rPr>
                <w:sz w:val="20"/>
                <w:szCs w:val="20"/>
                <w:color w:val="auto"/>
              </w:rPr>
            </w:pPr>
            <w:r>
              <w:rPr>
                <w:rFonts w:ascii="Arial" w:cs="Arial" w:eastAsia="Arial" w:hAnsi="Arial"/>
                <w:sz w:val="16"/>
                <w:szCs w:val="16"/>
                <w:color w:val="auto"/>
              </w:rPr>
              <w:t>786</w:t>
            </w:r>
          </w:p>
        </w:tc>
        <w:tc>
          <w:tcPr>
            <w:tcW w:w="1000" w:type="dxa"/>
            <w:vAlign w:val="bottom"/>
          </w:tcPr>
          <w:p>
            <w:pPr>
              <w:jc w:val="right"/>
              <w:ind w:right="239"/>
              <w:spacing w:after="0"/>
              <w:rPr>
                <w:sz w:val="20"/>
                <w:szCs w:val="20"/>
                <w:color w:val="auto"/>
              </w:rPr>
            </w:pPr>
            <w:r>
              <w:rPr>
                <w:rFonts w:ascii="Arial" w:cs="Arial" w:eastAsia="Arial" w:hAnsi="Arial"/>
                <w:sz w:val="16"/>
                <w:szCs w:val="16"/>
                <w:color w:val="auto"/>
              </w:rPr>
              <w:t>1,911</w:t>
            </w:r>
          </w:p>
        </w:tc>
        <w:tc>
          <w:tcPr>
            <w:tcW w:w="1080" w:type="dxa"/>
            <w:vAlign w:val="bottom"/>
          </w:tcPr>
          <w:p>
            <w:pPr>
              <w:jc w:val="right"/>
              <w:ind w:right="279"/>
              <w:spacing w:after="0"/>
              <w:rPr>
                <w:sz w:val="20"/>
                <w:szCs w:val="20"/>
                <w:color w:val="auto"/>
              </w:rPr>
            </w:pPr>
            <w:r>
              <w:rPr>
                <w:rFonts w:ascii="Arial" w:cs="Arial" w:eastAsia="Arial" w:hAnsi="Arial"/>
                <w:sz w:val="16"/>
                <w:szCs w:val="16"/>
                <w:color w:val="auto"/>
              </w:rPr>
              <w:t>1,471</w:t>
            </w:r>
          </w:p>
        </w:tc>
        <w:tc>
          <w:tcPr>
            <w:tcW w:w="960" w:type="dxa"/>
            <w:vAlign w:val="bottom"/>
          </w:tcPr>
          <w:p>
            <w:pPr>
              <w:jc w:val="right"/>
              <w:ind w:right="179"/>
              <w:spacing w:after="0"/>
              <w:rPr>
                <w:sz w:val="20"/>
                <w:szCs w:val="20"/>
                <w:color w:val="auto"/>
              </w:rPr>
            </w:pPr>
            <w:r>
              <w:rPr>
                <w:rFonts w:ascii="Arial" w:cs="Arial" w:eastAsia="Arial" w:hAnsi="Arial"/>
                <w:sz w:val="16"/>
                <w:szCs w:val="16"/>
                <w:color w:val="auto"/>
              </w:rPr>
              <w:t>483</w:t>
            </w:r>
          </w:p>
        </w:tc>
        <w:tc>
          <w:tcPr>
            <w:tcW w:w="860" w:type="dxa"/>
            <w:vAlign w:val="bottom"/>
          </w:tcPr>
          <w:p>
            <w:pPr>
              <w:jc w:val="right"/>
              <w:spacing w:after="0"/>
              <w:rPr>
                <w:sz w:val="20"/>
                <w:szCs w:val="20"/>
                <w:color w:val="auto"/>
              </w:rPr>
            </w:pPr>
            <w:r>
              <w:rPr>
                <w:rFonts w:ascii="Arial" w:cs="Arial" w:eastAsia="Arial" w:hAnsi="Arial"/>
                <w:sz w:val="16"/>
                <w:szCs w:val="16"/>
                <w:color w:val="auto"/>
              </w:rPr>
              <w:t>12,456</w:t>
            </w:r>
          </w:p>
        </w:tc>
      </w:tr>
      <w:tr>
        <w:trPr>
          <w:trHeight w:val="216"/>
        </w:trPr>
        <w:tc>
          <w:tcPr>
            <w:tcW w:w="1200" w:type="dxa"/>
            <w:vAlign w:val="bottom"/>
          </w:tcPr>
          <w:p>
            <w:pPr>
              <w:jc w:val="right"/>
              <w:ind w:right="259"/>
              <w:spacing w:after="0"/>
              <w:rPr>
                <w:sz w:val="20"/>
                <w:szCs w:val="20"/>
                <w:color w:val="auto"/>
              </w:rPr>
            </w:pPr>
            <w:r>
              <w:rPr>
                <w:rFonts w:ascii="Arial" w:cs="Arial" w:eastAsia="Arial" w:hAnsi="Arial"/>
                <w:sz w:val="16"/>
                <w:szCs w:val="16"/>
                <w:color w:val="auto"/>
              </w:rPr>
              <w:t>51</w:t>
            </w:r>
          </w:p>
        </w:tc>
        <w:tc>
          <w:tcPr>
            <w:tcW w:w="1060" w:type="dxa"/>
            <w:vAlign w:val="bottom"/>
          </w:tcPr>
          <w:p>
            <w:pPr>
              <w:jc w:val="right"/>
              <w:ind w:right="279"/>
              <w:spacing w:after="0"/>
              <w:rPr>
                <w:sz w:val="20"/>
                <w:szCs w:val="20"/>
                <w:color w:val="auto"/>
              </w:rPr>
            </w:pPr>
            <w:r>
              <w:rPr>
                <w:rFonts w:ascii="Arial" w:cs="Arial" w:eastAsia="Arial" w:hAnsi="Arial"/>
                <w:sz w:val="16"/>
                <w:szCs w:val="16"/>
                <w:color w:val="auto"/>
              </w:rPr>
              <w:t>573</w:t>
            </w:r>
          </w:p>
        </w:tc>
        <w:tc>
          <w:tcPr>
            <w:tcW w:w="1040" w:type="dxa"/>
            <w:vAlign w:val="bottom"/>
          </w:tcPr>
          <w:p>
            <w:pPr>
              <w:jc w:val="right"/>
              <w:ind w:right="279"/>
              <w:spacing w:after="0"/>
              <w:rPr>
                <w:sz w:val="20"/>
                <w:szCs w:val="20"/>
                <w:color w:val="auto"/>
              </w:rPr>
            </w:pPr>
            <w:r>
              <w:rPr>
                <w:rFonts w:ascii="Arial" w:cs="Arial" w:eastAsia="Arial" w:hAnsi="Arial"/>
                <w:sz w:val="16"/>
                <w:szCs w:val="16"/>
                <w:color w:val="auto"/>
              </w:rPr>
              <w:t>33</w:t>
            </w:r>
          </w:p>
        </w:tc>
        <w:tc>
          <w:tcPr>
            <w:tcW w:w="1000" w:type="dxa"/>
            <w:vAlign w:val="bottom"/>
          </w:tcPr>
          <w:p>
            <w:pPr>
              <w:jc w:val="right"/>
              <w:ind w:right="239"/>
              <w:spacing w:after="0"/>
              <w:rPr>
                <w:sz w:val="20"/>
                <w:szCs w:val="20"/>
                <w:color w:val="auto"/>
              </w:rPr>
            </w:pPr>
            <w:r>
              <w:rPr>
                <w:rFonts w:ascii="Arial" w:cs="Arial" w:eastAsia="Arial" w:hAnsi="Arial"/>
                <w:sz w:val="16"/>
                <w:szCs w:val="16"/>
                <w:color w:val="auto"/>
              </w:rPr>
              <w:t>371</w:t>
            </w:r>
          </w:p>
        </w:tc>
        <w:tc>
          <w:tcPr>
            <w:tcW w:w="1080" w:type="dxa"/>
            <w:vAlign w:val="bottom"/>
          </w:tcPr>
          <w:p>
            <w:pPr>
              <w:jc w:val="right"/>
              <w:ind w:right="279"/>
              <w:spacing w:after="0"/>
              <w:rPr>
                <w:sz w:val="20"/>
                <w:szCs w:val="20"/>
                <w:color w:val="auto"/>
              </w:rPr>
            </w:pPr>
            <w:r>
              <w:rPr>
                <w:rFonts w:ascii="Arial" w:cs="Arial" w:eastAsia="Arial" w:hAnsi="Arial"/>
                <w:sz w:val="16"/>
                <w:szCs w:val="16"/>
                <w:color w:val="auto"/>
              </w:rPr>
              <w:t>112</w:t>
            </w:r>
          </w:p>
        </w:tc>
        <w:tc>
          <w:tcPr>
            <w:tcW w:w="960" w:type="dxa"/>
            <w:vAlign w:val="bottom"/>
          </w:tcPr>
          <w:p>
            <w:pPr>
              <w:jc w:val="right"/>
              <w:ind w:right="179"/>
              <w:spacing w:after="0"/>
              <w:rPr>
                <w:sz w:val="20"/>
                <w:szCs w:val="20"/>
                <w:color w:val="auto"/>
              </w:rPr>
            </w:pPr>
            <w:r>
              <w:rPr>
                <w:rFonts w:ascii="Arial" w:cs="Arial" w:eastAsia="Arial" w:hAnsi="Arial"/>
                <w:sz w:val="16"/>
                <w:szCs w:val="16"/>
                <w:color w:val="auto"/>
              </w:rPr>
              <w:t>145</w:t>
            </w:r>
          </w:p>
        </w:tc>
        <w:tc>
          <w:tcPr>
            <w:tcW w:w="860" w:type="dxa"/>
            <w:vAlign w:val="bottom"/>
          </w:tcPr>
          <w:p>
            <w:pPr>
              <w:jc w:val="right"/>
              <w:spacing w:after="0"/>
              <w:rPr>
                <w:sz w:val="20"/>
                <w:szCs w:val="20"/>
                <w:color w:val="auto"/>
              </w:rPr>
            </w:pPr>
            <w:r>
              <w:rPr>
                <w:rFonts w:ascii="Arial" w:cs="Arial" w:eastAsia="Arial" w:hAnsi="Arial"/>
                <w:sz w:val="16"/>
                <w:szCs w:val="16"/>
                <w:color w:val="auto"/>
              </w:rPr>
              <w:t>1,285</w:t>
            </w:r>
          </w:p>
        </w:tc>
      </w:tr>
      <w:tr>
        <w:trPr>
          <w:trHeight w:val="216"/>
        </w:trPr>
        <w:tc>
          <w:tcPr>
            <w:tcW w:w="1200" w:type="dxa"/>
            <w:vAlign w:val="bottom"/>
          </w:tcPr>
          <w:p>
            <w:pPr>
              <w:jc w:val="right"/>
              <w:ind w:right="259"/>
              <w:spacing w:after="0"/>
              <w:rPr>
                <w:sz w:val="20"/>
                <w:szCs w:val="20"/>
                <w:color w:val="auto"/>
              </w:rPr>
            </w:pPr>
            <w:r>
              <w:rPr>
                <w:rFonts w:ascii="Arial" w:cs="Arial" w:eastAsia="Arial" w:hAnsi="Arial"/>
                <w:sz w:val="16"/>
                <w:szCs w:val="16"/>
                <w:color w:val="auto"/>
              </w:rPr>
              <w:t>27,489</w:t>
            </w:r>
          </w:p>
        </w:tc>
        <w:tc>
          <w:tcPr>
            <w:tcW w:w="1060" w:type="dxa"/>
            <w:vAlign w:val="bottom"/>
          </w:tcPr>
          <w:p>
            <w:pPr>
              <w:jc w:val="right"/>
              <w:ind w:right="279"/>
              <w:spacing w:after="0"/>
              <w:rPr>
                <w:sz w:val="20"/>
                <w:szCs w:val="20"/>
                <w:color w:val="auto"/>
              </w:rPr>
            </w:pPr>
            <w:r>
              <w:rPr>
                <w:rFonts w:ascii="Arial" w:cs="Arial" w:eastAsia="Arial" w:hAnsi="Arial"/>
                <w:sz w:val="16"/>
                <w:szCs w:val="16"/>
                <w:color w:val="auto"/>
              </w:rPr>
              <w:t>5,118</w:t>
            </w:r>
          </w:p>
        </w:tc>
        <w:tc>
          <w:tcPr>
            <w:tcW w:w="1040" w:type="dxa"/>
            <w:vAlign w:val="bottom"/>
          </w:tcPr>
          <w:p>
            <w:pPr>
              <w:jc w:val="right"/>
              <w:ind w:right="279"/>
              <w:spacing w:after="0"/>
              <w:rPr>
                <w:sz w:val="20"/>
                <w:szCs w:val="20"/>
                <w:color w:val="auto"/>
              </w:rPr>
            </w:pPr>
            <w:r>
              <w:rPr>
                <w:rFonts w:ascii="Arial" w:cs="Arial" w:eastAsia="Arial" w:hAnsi="Arial"/>
                <w:sz w:val="16"/>
                <w:szCs w:val="16"/>
                <w:color w:val="auto"/>
              </w:rPr>
              <w:t>828</w:t>
            </w:r>
          </w:p>
        </w:tc>
        <w:tc>
          <w:tcPr>
            <w:tcW w:w="1000" w:type="dxa"/>
            <w:vAlign w:val="bottom"/>
          </w:tcPr>
          <w:p>
            <w:pPr>
              <w:jc w:val="right"/>
              <w:ind w:right="239"/>
              <w:spacing w:after="0"/>
              <w:rPr>
                <w:sz w:val="20"/>
                <w:szCs w:val="20"/>
                <w:color w:val="auto"/>
              </w:rPr>
            </w:pPr>
            <w:r>
              <w:rPr>
                <w:rFonts w:ascii="Arial" w:cs="Arial" w:eastAsia="Arial" w:hAnsi="Arial"/>
                <w:sz w:val="16"/>
                <w:szCs w:val="16"/>
                <w:color w:val="auto"/>
              </w:rPr>
              <w:t>2,788</w:t>
            </w:r>
          </w:p>
        </w:tc>
        <w:tc>
          <w:tcPr>
            <w:tcW w:w="1080" w:type="dxa"/>
            <w:vAlign w:val="bottom"/>
          </w:tcPr>
          <w:p>
            <w:pPr>
              <w:jc w:val="right"/>
              <w:ind w:right="279"/>
              <w:spacing w:after="0"/>
              <w:rPr>
                <w:sz w:val="20"/>
                <w:szCs w:val="20"/>
                <w:color w:val="auto"/>
              </w:rPr>
            </w:pPr>
            <w:r>
              <w:rPr>
                <w:rFonts w:ascii="Arial" w:cs="Arial" w:eastAsia="Arial" w:hAnsi="Arial"/>
                <w:sz w:val="16"/>
                <w:szCs w:val="16"/>
                <w:color w:val="auto"/>
              </w:rPr>
              <w:t>2,171</w:t>
            </w:r>
          </w:p>
        </w:tc>
        <w:tc>
          <w:tcPr>
            <w:tcW w:w="960" w:type="dxa"/>
            <w:vAlign w:val="bottom"/>
          </w:tcPr>
          <w:p>
            <w:pPr>
              <w:jc w:val="right"/>
              <w:ind w:right="179"/>
              <w:spacing w:after="0"/>
              <w:rPr>
                <w:sz w:val="20"/>
                <w:szCs w:val="20"/>
                <w:color w:val="auto"/>
              </w:rPr>
            </w:pPr>
            <w:r>
              <w:rPr>
                <w:rFonts w:ascii="Arial" w:cs="Arial" w:eastAsia="Arial" w:hAnsi="Arial"/>
                <w:sz w:val="16"/>
                <w:szCs w:val="16"/>
                <w:color w:val="auto"/>
              </w:rPr>
              <w:t>733</w:t>
            </w:r>
          </w:p>
        </w:tc>
        <w:tc>
          <w:tcPr>
            <w:tcW w:w="860" w:type="dxa"/>
            <w:vAlign w:val="bottom"/>
          </w:tcPr>
          <w:p>
            <w:pPr>
              <w:jc w:val="right"/>
              <w:spacing w:after="0"/>
              <w:rPr>
                <w:sz w:val="20"/>
                <w:szCs w:val="20"/>
                <w:color w:val="auto"/>
              </w:rPr>
            </w:pPr>
            <w:r>
              <w:rPr>
                <w:rFonts w:ascii="Arial" w:cs="Arial" w:eastAsia="Arial" w:hAnsi="Arial"/>
                <w:sz w:val="16"/>
                <w:szCs w:val="16"/>
                <w:color w:val="auto"/>
              </w:rPr>
              <w:t>39,127</w:t>
            </w:r>
          </w:p>
        </w:tc>
      </w:tr>
      <w:tr>
        <w:trPr>
          <w:trHeight w:val="216"/>
        </w:trPr>
        <w:tc>
          <w:tcPr>
            <w:tcW w:w="1200" w:type="dxa"/>
            <w:vAlign w:val="bottom"/>
          </w:tcPr>
          <w:p>
            <w:pPr>
              <w:jc w:val="right"/>
              <w:ind w:right="259"/>
              <w:spacing w:after="0"/>
              <w:rPr>
                <w:sz w:val="20"/>
                <w:szCs w:val="20"/>
                <w:color w:val="auto"/>
              </w:rPr>
            </w:pPr>
            <w:r>
              <w:rPr>
                <w:rFonts w:ascii="Arial" w:cs="Arial" w:eastAsia="Arial" w:hAnsi="Arial"/>
                <w:sz w:val="16"/>
                <w:szCs w:val="16"/>
                <w:color w:val="auto"/>
              </w:rPr>
              <w:t>615</w:t>
            </w:r>
          </w:p>
        </w:tc>
        <w:tc>
          <w:tcPr>
            <w:tcW w:w="1060" w:type="dxa"/>
            <w:vAlign w:val="bottom"/>
          </w:tcPr>
          <w:p>
            <w:pPr>
              <w:jc w:val="right"/>
              <w:ind w:right="279"/>
              <w:spacing w:after="0"/>
              <w:rPr>
                <w:sz w:val="20"/>
                <w:szCs w:val="20"/>
                <w:color w:val="auto"/>
              </w:rPr>
            </w:pPr>
            <w:r>
              <w:rPr>
                <w:rFonts w:ascii="Arial" w:cs="Arial" w:eastAsia="Arial" w:hAnsi="Arial"/>
                <w:sz w:val="16"/>
                <w:szCs w:val="16"/>
                <w:color w:val="auto"/>
              </w:rPr>
              <w:t>106</w:t>
            </w:r>
          </w:p>
        </w:tc>
        <w:tc>
          <w:tcPr>
            <w:tcW w:w="1040" w:type="dxa"/>
            <w:vAlign w:val="bottom"/>
          </w:tcPr>
          <w:p>
            <w:pPr>
              <w:jc w:val="right"/>
              <w:ind w:right="279"/>
              <w:spacing w:after="0"/>
              <w:rPr>
                <w:sz w:val="20"/>
                <w:szCs w:val="20"/>
                <w:color w:val="auto"/>
              </w:rPr>
            </w:pPr>
            <w:r>
              <w:rPr>
                <w:rFonts w:ascii="Arial" w:cs="Arial" w:eastAsia="Arial" w:hAnsi="Arial"/>
                <w:sz w:val="16"/>
                <w:szCs w:val="16"/>
                <w:color w:val="auto"/>
              </w:rPr>
              <w:t>32</w:t>
            </w:r>
          </w:p>
        </w:tc>
        <w:tc>
          <w:tcPr>
            <w:tcW w:w="1000" w:type="dxa"/>
            <w:vAlign w:val="bottom"/>
          </w:tcPr>
          <w:p>
            <w:pPr>
              <w:jc w:val="right"/>
              <w:ind w:right="239"/>
              <w:spacing w:after="0"/>
              <w:rPr>
                <w:sz w:val="20"/>
                <w:szCs w:val="20"/>
                <w:color w:val="auto"/>
              </w:rPr>
            </w:pPr>
            <w:r>
              <w:rPr>
                <w:rFonts w:ascii="Arial" w:cs="Arial" w:eastAsia="Arial" w:hAnsi="Arial"/>
                <w:sz w:val="16"/>
                <w:szCs w:val="16"/>
                <w:color w:val="auto"/>
              </w:rPr>
              <w:t>390</w:t>
            </w:r>
          </w:p>
        </w:tc>
        <w:tc>
          <w:tcPr>
            <w:tcW w:w="1080" w:type="dxa"/>
            <w:vAlign w:val="bottom"/>
          </w:tcPr>
          <w:p>
            <w:pPr>
              <w:jc w:val="right"/>
              <w:ind w:right="279"/>
              <w:spacing w:after="0"/>
              <w:rPr>
                <w:sz w:val="20"/>
                <w:szCs w:val="20"/>
                <w:color w:val="auto"/>
              </w:rPr>
            </w:pPr>
            <w:r>
              <w:rPr>
                <w:rFonts w:ascii="Arial" w:cs="Arial" w:eastAsia="Arial" w:hAnsi="Arial"/>
                <w:sz w:val="16"/>
                <w:szCs w:val="16"/>
                <w:color w:val="auto"/>
              </w:rPr>
              <w:t>692</w:t>
            </w:r>
          </w:p>
        </w:tc>
        <w:tc>
          <w:tcPr>
            <w:tcW w:w="960" w:type="dxa"/>
            <w:vAlign w:val="bottom"/>
          </w:tcPr>
          <w:p>
            <w:pPr>
              <w:jc w:val="right"/>
              <w:ind w:right="179"/>
              <w:spacing w:after="0"/>
              <w:rPr>
                <w:sz w:val="20"/>
                <w:szCs w:val="20"/>
                <w:color w:val="auto"/>
              </w:rPr>
            </w:pPr>
            <w:r>
              <w:rPr>
                <w:rFonts w:ascii="Arial" w:cs="Arial" w:eastAsia="Arial" w:hAnsi="Arial"/>
                <w:sz w:val="16"/>
                <w:szCs w:val="16"/>
                <w:color w:val="auto"/>
              </w:rPr>
              <w:t>152</w:t>
            </w:r>
          </w:p>
        </w:tc>
        <w:tc>
          <w:tcPr>
            <w:tcW w:w="860" w:type="dxa"/>
            <w:vAlign w:val="bottom"/>
          </w:tcPr>
          <w:p>
            <w:pPr>
              <w:jc w:val="right"/>
              <w:spacing w:after="0"/>
              <w:rPr>
                <w:sz w:val="20"/>
                <w:szCs w:val="20"/>
                <w:color w:val="auto"/>
              </w:rPr>
            </w:pPr>
            <w:r>
              <w:rPr>
                <w:rFonts w:ascii="Arial" w:cs="Arial" w:eastAsia="Arial" w:hAnsi="Arial"/>
                <w:sz w:val="16"/>
                <w:szCs w:val="16"/>
                <w:color w:val="auto"/>
              </w:rPr>
              <w:t>1,987</w:t>
            </w:r>
          </w:p>
        </w:tc>
      </w:tr>
      <w:tr>
        <w:trPr>
          <w:trHeight w:val="219"/>
        </w:trPr>
        <w:tc>
          <w:tcPr>
            <w:tcW w:w="12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(5,650)</w:t>
            </w:r>
          </w:p>
        </w:tc>
        <w:tc>
          <w:tcPr>
            <w:tcW w:w="10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(944)</w:t>
            </w:r>
          </w:p>
        </w:tc>
        <w:tc>
          <w:tcPr>
            <w:tcW w:w="10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(343)</w:t>
            </w:r>
          </w:p>
        </w:tc>
        <w:tc>
          <w:tcPr>
            <w:tcW w:w="10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(258)</w:t>
            </w:r>
          </w:p>
        </w:tc>
        <w:tc>
          <w:tcPr>
            <w:tcW w:w="10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2,130</w:t>
            </w:r>
          </w:p>
        </w:tc>
        <w:tc>
          <w:tcPr>
            <w:tcW w:w="9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241</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(4,824)</w:t>
            </w:r>
          </w:p>
        </w:tc>
      </w:tr>
      <w:tr>
        <w:trPr>
          <w:trHeight w:val="358"/>
        </w:trPr>
        <w:tc>
          <w:tcPr>
            <w:tcW w:w="12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(18,506)</w:t>
            </w:r>
          </w:p>
        </w:tc>
        <w:tc>
          <w:tcPr>
            <w:tcW w:w="10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(3,809)</w:t>
            </w:r>
          </w:p>
        </w:tc>
        <w:tc>
          <w:tcPr>
            <w:tcW w:w="10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(438)</w:t>
            </w:r>
          </w:p>
        </w:tc>
        <w:tc>
          <w:tcPr>
            <w:tcW w:w="10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(337)</w:t>
            </w:r>
          </w:p>
        </w:tc>
        <w:tc>
          <w:tcPr>
            <w:tcW w:w="10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640</w:t>
            </w:r>
          </w:p>
        </w:tc>
        <w:tc>
          <w:tcPr>
            <w:tcW w:w="9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738</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(21,712)</w:t>
            </w:r>
          </w:p>
        </w:tc>
      </w:tr>
      <w:tr>
        <w:trPr>
          <w:trHeight w:val="773"/>
        </w:trPr>
        <w:tc>
          <w:tcPr>
            <w:tcW w:w="1200" w:type="dxa"/>
            <w:vAlign w:val="bottom"/>
          </w:tcPr>
          <w:p>
            <w:pPr>
              <w:jc w:val="right"/>
              <w:ind w:right="259"/>
              <w:spacing w:after="0"/>
              <w:rPr>
                <w:sz w:val="20"/>
                <w:szCs w:val="20"/>
                <w:color w:val="auto"/>
              </w:rPr>
            </w:pPr>
            <w:r>
              <w:rPr>
                <w:rFonts w:ascii="Arial" w:cs="Arial" w:eastAsia="Arial" w:hAnsi="Arial"/>
                <w:sz w:val="16"/>
                <w:szCs w:val="16"/>
                <w:color w:val="auto"/>
              </w:rPr>
              <w:t>410</w:t>
            </w:r>
          </w:p>
        </w:tc>
        <w:tc>
          <w:tcPr>
            <w:tcW w:w="106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79"/>
              <w:spacing w:after="0"/>
              <w:rPr>
                <w:sz w:val="20"/>
                <w:szCs w:val="20"/>
                <w:color w:val="auto"/>
              </w:rPr>
            </w:pPr>
            <w:r>
              <w:rPr>
                <w:rFonts w:ascii="Arial" w:cs="Arial" w:eastAsia="Arial" w:hAnsi="Arial"/>
                <w:sz w:val="16"/>
                <w:szCs w:val="16"/>
                <w:color w:val="auto"/>
              </w:rPr>
              <w:t>513</w:t>
            </w:r>
          </w:p>
        </w:tc>
        <w:tc>
          <w:tcPr>
            <w:tcW w:w="100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79"/>
              <w:spacing w:after="0"/>
              <w:rPr>
                <w:sz w:val="20"/>
                <w:szCs w:val="20"/>
                <w:color w:val="auto"/>
              </w:rPr>
            </w:pPr>
            <w:r>
              <w:rPr>
                <w:rFonts w:ascii="Arial" w:cs="Arial" w:eastAsia="Arial" w:hAnsi="Arial"/>
                <w:sz w:val="16"/>
                <w:szCs w:val="16"/>
                <w:color w:val="auto"/>
              </w:rPr>
              <w:t>6,289</w:t>
            </w:r>
          </w:p>
        </w:tc>
        <w:tc>
          <w:tcPr>
            <w:tcW w:w="9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7,212</w:t>
            </w:r>
          </w:p>
        </w:tc>
      </w:tr>
      <w:tr>
        <w:trPr>
          <w:trHeight w:val="219"/>
        </w:trPr>
        <w:tc>
          <w:tcPr>
            <w:tcW w:w="12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308</w:t>
            </w:r>
          </w:p>
        </w:tc>
        <w:tc>
          <w:tcPr>
            <w:tcW w:w="10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12</w:t>
            </w:r>
          </w:p>
        </w:tc>
        <w:tc>
          <w:tcPr>
            <w:tcW w:w="10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60</w:t>
            </w:r>
          </w:p>
        </w:tc>
        <w:tc>
          <w:tcPr>
            <w:tcW w:w="9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380</w:t>
            </w:r>
          </w:p>
        </w:tc>
      </w:tr>
      <w:tr>
        <w:trPr>
          <w:trHeight w:val="206"/>
        </w:trPr>
        <w:tc>
          <w:tcPr>
            <w:tcW w:w="1200" w:type="dxa"/>
            <w:vAlign w:val="bottom"/>
          </w:tcPr>
          <w:p>
            <w:pPr>
              <w:jc w:val="right"/>
              <w:ind w:right="259"/>
              <w:spacing w:after="0"/>
              <w:rPr>
                <w:sz w:val="20"/>
                <w:szCs w:val="20"/>
                <w:color w:val="auto"/>
              </w:rPr>
            </w:pPr>
            <w:r>
              <w:rPr>
                <w:rFonts w:ascii="Arial" w:cs="Arial" w:eastAsia="Arial" w:hAnsi="Arial"/>
                <w:sz w:val="16"/>
                <w:szCs w:val="16"/>
                <w:color w:val="auto"/>
              </w:rPr>
              <w:t>718</w:t>
            </w:r>
          </w:p>
        </w:tc>
        <w:tc>
          <w:tcPr>
            <w:tcW w:w="106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79"/>
              <w:spacing w:after="0"/>
              <w:rPr>
                <w:sz w:val="20"/>
                <w:szCs w:val="20"/>
                <w:color w:val="auto"/>
              </w:rPr>
            </w:pPr>
            <w:r>
              <w:rPr>
                <w:rFonts w:ascii="Arial" w:cs="Arial" w:eastAsia="Arial" w:hAnsi="Arial"/>
                <w:sz w:val="16"/>
                <w:szCs w:val="16"/>
                <w:color w:val="auto"/>
              </w:rPr>
              <w:t>525</w:t>
            </w:r>
          </w:p>
        </w:tc>
        <w:tc>
          <w:tcPr>
            <w:tcW w:w="100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79"/>
              <w:spacing w:after="0"/>
              <w:rPr>
                <w:sz w:val="20"/>
                <w:szCs w:val="20"/>
                <w:color w:val="auto"/>
              </w:rPr>
            </w:pPr>
            <w:r>
              <w:rPr>
                <w:rFonts w:ascii="Arial" w:cs="Arial" w:eastAsia="Arial" w:hAnsi="Arial"/>
                <w:sz w:val="16"/>
                <w:szCs w:val="16"/>
                <w:color w:val="auto"/>
              </w:rPr>
              <w:t>6,349</w:t>
            </w:r>
          </w:p>
        </w:tc>
        <w:tc>
          <w:tcPr>
            <w:tcW w:w="9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7,592</w:t>
            </w:r>
          </w:p>
        </w:tc>
      </w:tr>
      <w:tr>
        <w:trPr>
          <w:trHeight w:val="216"/>
        </w:trPr>
        <w:tc>
          <w:tcPr>
            <w:tcW w:w="1200" w:type="dxa"/>
            <w:vAlign w:val="bottom"/>
          </w:tcPr>
          <w:p>
            <w:pPr>
              <w:jc w:val="right"/>
              <w:ind w:right="259"/>
              <w:spacing w:after="0"/>
              <w:rPr>
                <w:sz w:val="20"/>
                <w:szCs w:val="20"/>
                <w:color w:val="auto"/>
              </w:rPr>
            </w:pPr>
            <w:r>
              <w:rPr>
                <w:rFonts w:ascii="Arial" w:cs="Arial" w:eastAsia="Arial" w:hAnsi="Arial"/>
                <w:sz w:val="16"/>
                <w:szCs w:val="16"/>
                <w:color w:val="auto"/>
              </w:rPr>
              <w:t>500</w:t>
            </w:r>
          </w:p>
        </w:tc>
        <w:tc>
          <w:tcPr>
            <w:tcW w:w="106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79"/>
              <w:spacing w:after="0"/>
              <w:rPr>
                <w:sz w:val="20"/>
                <w:szCs w:val="20"/>
                <w:color w:val="auto"/>
              </w:rPr>
            </w:pPr>
            <w:r>
              <w:rPr>
                <w:rFonts w:ascii="Arial" w:cs="Arial" w:eastAsia="Arial" w:hAnsi="Arial"/>
                <w:sz w:val="16"/>
                <w:szCs w:val="16"/>
                <w:color w:val="auto"/>
              </w:rPr>
              <w:t>674</w:t>
            </w:r>
          </w:p>
        </w:tc>
        <w:tc>
          <w:tcPr>
            <w:tcW w:w="1000" w:type="dxa"/>
            <w:vAlign w:val="bottom"/>
          </w:tcPr>
          <w:p>
            <w:pPr>
              <w:jc w:val="right"/>
              <w:ind w:right="239"/>
              <w:spacing w:after="0"/>
              <w:rPr>
                <w:sz w:val="20"/>
                <w:szCs w:val="20"/>
                <w:color w:val="auto"/>
              </w:rPr>
            </w:pPr>
            <w:r>
              <w:rPr>
                <w:rFonts w:ascii="Arial" w:cs="Arial" w:eastAsia="Arial" w:hAnsi="Arial"/>
                <w:sz w:val="16"/>
                <w:szCs w:val="16"/>
                <w:color w:val="auto"/>
              </w:rPr>
              <w:t>6</w:t>
            </w:r>
          </w:p>
        </w:tc>
        <w:tc>
          <w:tcPr>
            <w:tcW w:w="1080" w:type="dxa"/>
            <w:vAlign w:val="bottom"/>
          </w:tcPr>
          <w:p>
            <w:pPr>
              <w:jc w:val="right"/>
              <w:ind w:right="279"/>
              <w:spacing w:after="0"/>
              <w:rPr>
                <w:sz w:val="20"/>
                <w:szCs w:val="20"/>
                <w:color w:val="auto"/>
              </w:rPr>
            </w:pPr>
            <w:r>
              <w:rPr>
                <w:rFonts w:ascii="Arial" w:cs="Arial" w:eastAsia="Arial" w:hAnsi="Arial"/>
                <w:sz w:val="16"/>
                <w:szCs w:val="16"/>
                <w:color w:val="auto"/>
              </w:rPr>
              <w:t>421</w:t>
            </w:r>
          </w:p>
        </w:tc>
        <w:tc>
          <w:tcPr>
            <w:tcW w:w="9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1,601</w:t>
            </w:r>
          </w:p>
        </w:tc>
      </w:tr>
      <w:tr>
        <w:trPr>
          <w:trHeight w:val="216"/>
        </w:trPr>
        <w:tc>
          <w:tcPr>
            <w:tcW w:w="120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79"/>
              <w:spacing w:after="0"/>
              <w:rPr>
                <w:sz w:val="20"/>
                <w:szCs w:val="20"/>
                <w:color w:val="auto"/>
              </w:rPr>
            </w:pPr>
            <w:r>
              <w:rPr>
                <w:rFonts w:ascii="Arial" w:cs="Arial" w:eastAsia="Arial" w:hAnsi="Arial"/>
                <w:sz w:val="16"/>
                <w:szCs w:val="16"/>
                <w:color w:val="auto"/>
              </w:rPr>
              <w:t>2</w:t>
            </w:r>
          </w:p>
        </w:tc>
        <w:tc>
          <w:tcPr>
            <w:tcW w:w="100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6"/>
        </w:trPr>
        <w:tc>
          <w:tcPr>
            <w:tcW w:w="1200" w:type="dxa"/>
            <w:vAlign w:val="bottom"/>
          </w:tcPr>
          <w:p>
            <w:pPr>
              <w:jc w:val="right"/>
              <w:ind w:right="259"/>
              <w:spacing w:after="0"/>
              <w:rPr>
                <w:sz w:val="20"/>
                <w:szCs w:val="20"/>
                <w:color w:val="auto"/>
              </w:rPr>
            </w:pPr>
            <w:r>
              <w:rPr>
                <w:rFonts w:ascii="Arial" w:cs="Arial" w:eastAsia="Arial" w:hAnsi="Arial"/>
                <w:sz w:val="16"/>
                <w:szCs w:val="16"/>
                <w:color w:val="auto"/>
              </w:rPr>
              <w:t>605</w:t>
            </w:r>
          </w:p>
        </w:tc>
        <w:tc>
          <w:tcPr>
            <w:tcW w:w="106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79"/>
              <w:spacing w:after="0"/>
              <w:rPr>
                <w:sz w:val="20"/>
                <w:szCs w:val="20"/>
                <w:color w:val="auto"/>
              </w:rPr>
            </w:pPr>
            <w:r>
              <w:rPr>
                <w:rFonts w:ascii="Arial" w:cs="Arial" w:eastAsia="Arial" w:hAnsi="Arial"/>
                <w:sz w:val="16"/>
                <w:szCs w:val="16"/>
                <w:color w:val="auto"/>
              </w:rPr>
              <w:t>224</w:t>
            </w:r>
          </w:p>
        </w:tc>
        <w:tc>
          <w:tcPr>
            <w:tcW w:w="100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79"/>
              <w:spacing w:after="0"/>
              <w:rPr>
                <w:sz w:val="20"/>
                <w:szCs w:val="20"/>
                <w:color w:val="auto"/>
              </w:rPr>
            </w:pPr>
            <w:r>
              <w:rPr>
                <w:rFonts w:ascii="Arial" w:cs="Arial" w:eastAsia="Arial" w:hAnsi="Arial"/>
                <w:sz w:val="16"/>
                <w:szCs w:val="16"/>
                <w:color w:val="auto"/>
              </w:rPr>
              <w:t>543</w:t>
            </w:r>
          </w:p>
        </w:tc>
        <w:tc>
          <w:tcPr>
            <w:tcW w:w="9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1,372</w:t>
            </w:r>
          </w:p>
        </w:tc>
      </w:tr>
      <w:tr>
        <w:trPr>
          <w:trHeight w:val="216"/>
        </w:trPr>
        <w:tc>
          <w:tcPr>
            <w:tcW w:w="1200" w:type="dxa"/>
            <w:vAlign w:val="bottom"/>
          </w:tcPr>
          <w:p>
            <w:pPr>
              <w:jc w:val="right"/>
              <w:ind w:right="259"/>
              <w:spacing w:after="0"/>
              <w:rPr>
                <w:sz w:val="20"/>
                <w:szCs w:val="20"/>
                <w:color w:val="auto"/>
              </w:rPr>
            </w:pPr>
            <w:r>
              <w:rPr>
                <w:rFonts w:ascii="Arial" w:cs="Arial" w:eastAsia="Arial" w:hAnsi="Arial"/>
                <w:sz w:val="16"/>
                <w:szCs w:val="16"/>
                <w:color w:val="auto"/>
              </w:rPr>
              <w:t>34</w:t>
            </w:r>
          </w:p>
        </w:tc>
        <w:tc>
          <w:tcPr>
            <w:tcW w:w="106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79"/>
              <w:spacing w:after="0"/>
              <w:rPr>
                <w:sz w:val="20"/>
                <w:szCs w:val="20"/>
                <w:color w:val="auto"/>
              </w:rPr>
            </w:pPr>
            <w:r>
              <w:rPr>
                <w:rFonts w:ascii="Arial" w:cs="Arial" w:eastAsia="Arial" w:hAnsi="Arial"/>
                <w:sz w:val="16"/>
                <w:szCs w:val="16"/>
                <w:color w:val="auto"/>
              </w:rPr>
              <w:t>22</w:t>
            </w:r>
          </w:p>
        </w:tc>
        <w:tc>
          <w:tcPr>
            <w:tcW w:w="100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79"/>
              <w:spacing w:after="0"/>
              <w:rPr>
                <w:sz w:val="20"/>
                <w:szCs w:val="20"/>
                <w:color w:val="auto"/>
              </w:rPr>
            </w:pPr>
            <w:r>
              <w:rPr>
                <w:rFonts w:ascii="Arial" w:cs="Arial" w:eastAsia="Arial" w:hAnsi="Arial"/>
                <w:sz w:val="16"/>
                <w:szCs w:val="16"/>
                <w:color w:val="auto"/>
              </w:rPr>
              <w:t>2,274</w:t>
            </w:r>
          </w:p>
        </w:tc>
        <w:tc>
          <w:tcPr>
            <w:tcW w:w="9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2,330</w:t>
            </w:r>
          </w:p>
        </w:tc>
      </w:tr>
      <w:tr>
        <w:trPr>
          <w:trHeight w:val="219"/>
        </w:trPr>
        <w:tc>
          <w:tcPr>
            <w:tcW w:w="12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(246)</w:t>
            </w:r>
          </w:p>
        </w:tc>
        <w:tc>
          <w:tcPr>
            <w:tcW w:w="10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w:t>
            </w:r>
          </w:p>
        </w:tc>
        <w:tc>
          <w:tcPr>
            <w:tcW w:w="10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1,126</w:t>
            </w:r>
          </w:p>
        </w:tc>
        <w:tc>
          <w:tcPr>
            <w:tcW w:w="9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879</w:t>
            </w:r>
          </w:p>
        </w:tc>
      </w:tr>
      <w:tr>
        <w:trPr>
          <w:trHeight w:val="209"/>
        </w:trPr>
        <w:tc>
          <w:tcPr>
            <w:tcW w:w="12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(421)</w:t>
            </w:r>
          </w:p>
        </w:tc>
        <w:tc>
          <w:tcPr>
            <w:tcW w:w="10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(151)</w:t>
            </w:r>
          </w:p>
        </w:tc>
        <w:tc>
          <w:tcPr>
            <w:tcW w:w="10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(5)</w:t>
            </w:r>
          </w:p>
        </w:tc>
        <w:tc>
          <w:tcPr>
            <w:tcW w:w="10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1,985</w:t>
            </w:r>
          </w:p>
        </w:tc>
        <w:tc>
          <w:tcPr>
            <w:tcW w:w="9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1,408</w:t>
            </w:r>
          </w:p>
        </w:tc>
      </w:tr>
      <w:tr>
        <w:trPr>
          <w:trHeight w:val="412"/>
        </w:trPr>
        <w:tc>
          <w:tcPr>
            <w:tcW w:w="12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(18,927)</w:t>
            </w:r>
          </w:p>
        </w:tc>
        <w:tc>
          <w:tcPr>
            <w:tcW w:w="10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(3,809)</w:t>
            </w:r>
          </w:p>
        </w:tc>
        <w:tc>
          <w:tcPr>
            <w:tcW w:w="10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(589)</w:t>
            </w:r>
          </w:p>
        </w:tc>
        <w:tc>
          <w:tcPr>
            <w:tcW w:w="10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(342)</w:t>
            </w:r>
          </w:p>
        </w:tc>
        <w:tc>
          <w:tcPr>
            <w:tcW w:w="10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2,625</w:t>
            </w:r>
          </w:p>
        </w:tc>
        <w:tc>
          <w:tcPr>
            <w:tcW w:w="9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738</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(20,304)</w:t>
            </w:r>
          </w:p>
        </w:tc>
      </w:tr>
      <w:tr>
        <w:trPr>
          <w:trHeight w:val="773"/>
        </w:trPr>
        <w:tc>
          <w:tcPr>
            <w:tcW w:w="1200" w:type="dxa"/>
            <w:vAlign w:val="bottom"/>
          </w:tcPr>
          <w:p>
            <w:pPr>
              <w:jc w:val="right"/>
              <w:ind w:right="259"/>
              <w:spacing w:after="0"/>
              <w:rPr>
                <w:sz w:val="20"/>
                <w:szCs w:val="20"/>
                <w:color w:val="auto"/>
              </w:rPr>
            </w:pPr>
            <w:r>
              <w:rPr>
                <w:rFonts w:ascii="Arial" w:cs="Arial" w:eastAsia="Arial" w:hAnsi="Arial"/>
                <w:sz w:val="16"/>
                <w:szCs w:val="16"/>
                <w:color w:val="auto"/>
              </w:rPr>
              <w:t>5,070</w:t>
            </w:r>
          </w:p>
        </w:tc>
        <w:tc>
          <w:tcPr>
            <w:tcW w:w="1060" w:type="dxa"/>
            <w:vAlign w:val="bottom"/>
          </w:tcPr>
          <w:p>
            <w:pPr>
              <w:jc w:val="right"/>
              <w:ind w:right="279"/>
              <w:spacing w:after="0"/>
              <w:rPr>
                <w:sz w:val="20"/>
                <w:szCs w:val="20"/>
                <w:color w:val="auto"/>
              </w:rPr>
            </w:pPr>
            <w:r>
              <w:rPr>
                <w:rFonts w:ascii="Arial" w:cs="Arial" w:eastAsia="Arial" w:hAnsi="Arial"/>
                <w:sz w:val="16"/>
                <w:szCs w:val="16"/>
                <w:color w:val="auto"/>
              </w:rPr>
              <w:t>1,452</w:t>
            </w:r>
          </w:p>
        </w:tc>
        <w:tc>
          <w:tcPr>
            <w:tcW w:w="1040" w:type="dxa"/>
            <w:vAlign w:val="bottom"/>
          </w:tcPr>
          <w:p>
            <w:pPr>
              <w:jc w:val="right"/>
              <w:ind w:right="279"/>
              <w:spacing w:after="0"/>
              <w:rPr>
                <w:sz w:val="20"/>
                <w:szCs w:val="20"/>
                <w:color w:val="auto"/>
              </w:rPr>
            </w:pPr>
            <w:r>
              <w:rPr>
                <w:rFonts w:ascii="Arial" w:cs="Arial" w:eastAsia="Arial" w:hAnsi="Arial"/>
                <w:sz w:val="16"/>
                <w:szCs w:val="16"/>
                <w:color w:val="auto"/>
              </w:rPr>
              <w:t>2,141</w:t>
            </w:r>
          </w:p>
        </w:tc>
        <w:tc>
          <w:tcPr>
            <w:tcW w:w="1000" w:type="dxa"/>
            <w:vAlign w:val="bottom"/>
          </w:tcPr>
          <w:p>
            <w:pPr>
              <w:jc w:val="right"/>
              <w:ind w:right="239"/>
              <w:spacing w:after="0"/>
              <w:rPr>
                <w:sz w:val="20"/>
                <w:szCs w:val="20"/>
                <w:color w:val="auto"/>
              </w:rPr>
            </w:pPr>
            <w:r>
              <w:rPr>
                <w:rFonts w:ascii="Arial" w:cs="Arial" w:eastAsia="Arial" w:hAnsi="Arial"/>
                <w:sz w:val="16"/>
                <w:szCs w:val="16"/>
                <w:color w:val="auto"/>
              </w:rPr>
              <w:t>802</w:t>
            </w:r>
          </w:p>
        </w:tc>
        <w:tc>
          <w:tcPr>
            <w:tcW w:w="1080" w:type="dxa"/>
            <w:vAlign w:val="bottom"/>
          </w:tcPr>
          <w:p>
            <w:pPr>
              <w:jc w:val="right"/>
              <w:ind w:right="279"/>
              <w:spacing w:after="0"/>
              <w:rPr>
                <w:sz w:val="20"/>
                <w:szCs w:val="20"/>
                <w:color w:val="auto"/>
              </w:rPr>
            </w:pPr>
            <w:r>
              <w:rPr>
                <w:rFonts w:ascii="Arial" w:cs="Arial" w:eastAsia="Arial" w:hAnsi="Arial"/>
                <w:sz w:val="16"/>
                <w:szCs w:val="16"/>
                <w:color w:val="auto"/>
              </w:rPr>
              <w:t>2,393</w:t>
            </w:r>
          </w:p>
        </w:tc>
        <w:tc>
          <w:tcPr>
            <w:tcW w:w="960" w:type="dxa"/>
            <w:vAlign w:val="bottom"/>
          </w:tcPr>
          <w:p>
            <w:pPr>
              <w:jc w:val="right"/>
              <w:ind w:right="179"/>
              <w:spacing w:after="0"/>
              <w:rPr>
                <w:sz w:val="20"/>
                <w:szCs w:val="20"/>
                <w:color w:val="auto"/>
              </w:rPr>
            </w:pPr>
            <w:r>
              <w:rPr>
                <w:rFonts w:ascii="Arial" w:cs="Arial" w:eastAsia="Arial" w:hAnsi="Arial"/>
                <w:sz w:val="16"/>
                <w:szCs w:val="16"/>
                <w:color w:val="auto"/>
              </w:rPr>
              <w:t>3,132</w:t>
            </w:r>
          </w:p>
        </w:tc>
        <w:tc>
          <w:tcPr>
            <w:tcW w:w="860" w:type="dxa"/>
            <w:vAlign w:val="bottom"/>
          </w:tcPr>
          <w:p>
            <w:pPr>
              <w:jc w:val="right"/>
              <w:spacing w:after="0"/>
              <w:rPr>
                <w:sz w:val="20"/>
                <w:szCs w:val="20"/>
                <w:color w:val="auto"/>
              </w:rPr>
            </w:pPr>
            <w:r>
              <w:rPr>
                <w:rFonts w:ascii="Arial" w:cs="Arial" w:eastAsia="Arial" w:hAnsi="Arial"/>
                <w:sz w:val="16"/>
                <w:szCs w:val="16"/>
                <w:color w:val="auto"/>
              </w:rPr>
              <w:t>14,990</w:t>
            </w:r>
          </w:p>
        </w:tc>
      </w:tr>
      <w:tr>
        <w:trPr>
          <w:trHeight w:val="219"/>
        </w:trPr>
        <w:tc>
          <w:tcPr>
            <w:tcW w:w="12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6,544</w:t>
            </w:r>
          </w:p>
        </w:tc>
        <w:tc>
          <w:tcPr>
            <w:tcW w:w="10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5,979</w:t>
            </w:r>
          </w:p>
        </w:tc>
        <w:tc>
          <w:tcPr>
            <w:tcW w:w="10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1,345</w:t>
            </w:r>
          </w:p>
        </w:tc>
        <w:tc>
          <w:tcPr>
            <w:tcW w:w="10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7,892</w:t>
            </w:r>
          </w:p>
        </w:tc>
        <w:tc>
          <w:tcPr>
            <w:tcW w:w="10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8,706</w:t>
            </w:r>
          </w:p>
        </w:tc>
        <w:tc>
          <w:tcPr>
            <w:tcW w:w="9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628</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31,094</w:t>
            </w:r>
          </w:p>
        </w:tc>
      </w:tr>
      <w:tr>
        <w:trPr>
          <w:trHeight w:val="206"/>
        </w:trPr>
        <w:tc>
          <w:tcPr>
            <w:tcW w:w="1200" w:type="dxa"/>
            <w:vAlign w:val="bottom"/>
          </w:tcPr>
          <w:p>
            <w:pPr>
              <w:jc w:val="right"/>
              <w:ind w:right="259"/>
              <w:spacing w:after="0"/>
              <w:rPr>
                <w:sz w:val="20"/>
                <w:szCs w:val="20"/>
                <w:color w:val="auto"/>
              </w:rPr>
            </w:pPr>
            <w:r>
              <w:rPr>
                <w:rFonts w:ascii="Arial" w:cs="Arial" w:eastAsia="Arial" w:hAnsi="Arial"/>
                <w:sz w:val="16"/>
                <w:szCs w:val="16"/>
                <w:color w:val="auto"/>
              </w:rPr>
              <w:t>11,614</w:t>
            </w:r>
          </w:p>
        </w:tc>
        <w:tc>
          <w:tcPr>
            <w:tcW w:w="1060" w:type="dxa"/>
            <w:vAlign w:val="bottom"/>
          </w:tcPr>
          <w:p>
            <w:pPr>
              <w:jc w:val="right"/>
              <w:ind w:right="279"/>
              <w:spacing w:after="0"/>
              <w:rPr>
                <w:sz w:val="20"/>
                <w:szCs w:val="20"/>
                <w:color w:val="auto"/>
              </w:rPr>
            </w:pPr>
            <w:r>
              <w:rPr>
                <w:rFonts w:ascii="Arial" w:cs="Arial" w:eastAsia="Arial" w:hAnsi="Arial"/>
                <w:sz w:val="16"/>
                <w:szCs w:val="16"/>
                <w:color w:val="auto"/>
              </w:rPr>
              <w:t>7,431</w:t>
            </w:r>
          </w:p>
        </w:tc>
        <w:tc>
          <w:tcPr>
            <w:tcW w:w="1040" w:type="dxa"/>
            <w:vAlign w:val="bottom"/>
          </w:tcPr>
          <w:p>
            <w:pPr>
              <w:jc w:val="right"/>
              <w:ind w:right="279"/>
              <w:spacing w:after="0"/>
              <w:rPr>
                <w:sz w:val="20"/>
                <w:szCs w:val="20"/>
                <w:color w:val="auto"/>
              </w:rPr>
            </w:pPr>
            <w:r>
              <w:rPr>
                <w:rFonts w:ascii="Arial" w:cs="Arial" w:eastAsia="Arial" w:hAnsi="Arial"/>
                <w:sz w:val="16"/>
                <w:szCs w:val="16"/>
                <w:color w:val="auto"/>
              </w:rPr>
              <w:t>3,486</w:t>
            </w:r>
          </w:p>
        </w:tc>
        <w:tc>
          <w:tcPr>
            <w:tcW w:w="1000" w:type="dxa"/>
            <w:vAlign w:val="bottom"/>
          </w:tcPr>
          <w:p>
            <w:pPr>
              <w:jc w:val="right"/>
              <w:ind w:right="239"/>
              <w:spacing w:after="0"/>
              <w:rPr>
                <w:sz w:val="20"/>
                <w:szCs w:val="20"/>
                <w:color w:val="auto"/>
              </w:rPr>
            </w:pPr>
            <w:r>
              <w:rPr>
                <w:rFonts w:ascii="Arial" w:cs="Arial" w:eastAsia="Arial" w:hAnsi="Arial"/>
                <w:sz w:val="16"/>
                <w:szCs w:val="16"/>
                <w:color w:val="auto"/>
              </w:rPr>
              <w:t>8,694</w:t>
            </w:r>
          </w:p>
        </w:tc>
        <w:tc>
          <w:tcPr>
            <w:tcW w:w="1080" w:type="dxa"/>
            <w:vAlign w:val="bottom"/>
          </w:tcPr>
          <w:p>
            <w:pPr>
              <w:jc w:val="right"/>
              <w:ind w:right="279"/>
              <w:spacing w:after="0"/>
              <w:rPr>
                <w:sz w:val="20"/>
                <w:szCs w:val="20"/>
                <w:color w:val="auto"/>
              </w:rPr>
            </w:pPr>
            <w:r>
              <w:rPr>
                <w:rFonts w:ascii="Arial" w:cs="Arial" w:eastAsia="Arial" w:hAnsi="Arial"/>
                <w:sz w:val="16"/>
                <w:szCs w:val="16"/>
                <w:color w:val="auto"/>
              </w:rPr>
              <w:t>11,099</w:t>
            </w:r>
          </w:p>
        </w:tc>
        <w:tc>
          <w:tcPr>
            <w:tcW w:w="960" w:type="dxa"/>
            <w:vAlign w:val="bottom"/>
          </w:tcPr>
          <w:p>
            <w:pPr>
              <w:jc w:val="right"/>
              <w:ind w:right="179"/>
              <w:spacing w:after="0"/>
              <w:rPr>
                <w:sz w:val="20"/>
                <w:szCs w:val="20"/>
                <w:color w:val="auto"/>
              </w:rPr>
            </w:pPr>
            <w:r>
              <w:rPr>
                <w:rFonts w:ascii="Arial" w:cs="Arial" w:eastAsia="Arial" w:hAnsi="Arial"/>
                <w:sz w:val="16"/>
                <w:szCs w:val="16"/>
                <w:color w:val="auto"/>
              </w:rPr>
              <w:t>3,760</w:t>
            </w:r>
          </w:p>
        </w:tc>
        <w:tc>
          <w:tcPr>
            <w:tcW w:w="860" w:type="dxa"/>
            <w:vAlign w:val="bottom"/>
          </w:tcPr>
          <w:p>
            <w:pPr>
              <w:jc w:val="right"/>
              <w:spacing w:after="0"/>
              <w:rPr>
                <w:sz w:val="20"/>
                <w:szCs w:val="20"/>
                <w:color w:val="auto"/>
              </w:rPr>
            </w:pPr>
            <w:r>
              <w:rPr>
                <w:rFonts w:ascii="Arial" w:cs="Arial" w:eastAsia="Arial" w:hAnsi="Arial"/>
                <w:sz w:val="16"/>
                <w:szCs w:val="16"/>
                <w:color w:val="auto"/>
              </w:rPr>
              <w:t>46,084</w:t>
            </w:r>
          </w:p>
        </w:tc>
      </w:tr>
      <w:tr>
        <w:trPr>
          <w:trHeight w:val="216"/>
        </w:trPr>
        <w:tc>
          <w:tcPr>
            <w:tcW w:w="1200" w:type="dxa"/>
            <w:vAlign w:val="bottom"/>
          </w:tcPr>
          <w:p>
            <w:pPr>
              <w:jc w:val="right"/>
              <w:ind w:right="259"/>
              <w:spacing w:after="0"/>
              <w:rPr>
                <w:sz w:val="20"/>
                <w:szCs w:val="20"/>
                <w:color w:val="auto"/>
              </w:rPr>
            </w:pPr>
            <w:r>
              <w:rPr>
                <w:rFonts w:ascii="Arial" w:cs="Arial" w:eastAsia="Arial" w:hAnsi="Arial"/>
                <w:sz w:val="16"/>
                <w:szCs w:val="16"/>
                <w:color w:val="auto"/>
              </w:rPr>
              <w:t>4,697</w:t>
            </w:r>
          </w:p>
        </w:tc>
        <w:tc>
          <w:tcPr>
            <w:tcW w:w="1060" w:type="dxa"/>
            <w:vAlign w:val="bottom"/>
          </w:tcPr>
          <w:p>
            <w:pPr>
              <w:jc w:val="right"/>
              <w:ind w:right="279"/>
              <w:spacing w:after="0"/>
              <w:rPr>
                <w:sz w:val="20"/>
                <w:szCs w:val="20"/>
                <w:color w:val="auto"/>
              </w:rPr>
            </w:pPr>
            <w:r>
              <w:rPr>
                <w:rFonts w:ascii="Arial" w:cs="Arial" w:eastAsia="Arial" w:hAnsi="Arial"/>
                <w:sz w:val="16"/>
                <w:szCs w:val="16"/>
                <w:color w:val="auto"/>
              </w:rPr>
              <w:t>4,366</w:t>
            </w:r>
          </w:p>
        </w:tc>
        <w:tc>
          <w:tcPr>
            <w:tcW w:w="1040" w:type="dxa"/>
            <w:vAlign w:val="bottom"/>
          </w:tcPr>
          <w:p>
            <w:pPr>
              <w:jc w:val="right"/>
              <w:ind w:right="279"/>
              <w:spacing w:after="0"/>
              <w:rPr>
                <w:sz w:val="20"/>
                <w:szCs w:val="20"/>
                <w:color w:val="auto"/>
              </w:rPr>
            </w:pPr>
            <w:r>
              <w:rPr>
                <w:rFonts w:ascii="Arial" w:cs="Arial" w:eastAsia="Arial" w:hAnsi="Arial"/>
                <w:sz w:val="16"/>
                <w:szCs w:val="16"/>
                <w:color w:val="auto"/>
              </w:rPr>
              <w:t>1,196</w:t>
            </w:r>
          </w:p>
        </w:tc>
        <w:tc>
          <w:tcPr>
            <w:tcW w:w="1000" w:type="dxa"/>
            <w:vAlign w:val="bottom"/>
          </w:tcPr>
          <w:p>
            <w:pPr>
              <w:jc w:val="right"/>
              <w:ind w:right="239"/>
              <w:spacing w:after="0"/>
              <w:rPr>
                <w:sz w:val="20"/>
                <w:szCs w:val="20"/>
                <w:color w:val="auto"/>
              </w:rPr>
            </w:pPr>
            <w:r>
              <w:rPr>
                <w:rFonts w:ascii="Arial" w:cs="Arial" w:eastAsia="Arial" w:hAnsi="Arial"/>
                <w:sz w:val="16"/>
                <w:szCs w:val="16"/>
                <w:color w:val="auto"/>
              </w:rPr>
              <w:t>2,387</w:t>
            </w:r>
          </w:p>
        </w:tc>
        <w:tc>
          <w:tcPr>
            <w:tcW w:w="1080" w:type="dxa"/>
            <w:vAlign w:val="bottom"/>
          </w:tcPr>
          <w:p>
            <w:pPr>
              <w:jc w:val="right"/>
              <w:ind w:right="279"/>
              <w:spacing w:after="0"/>
              <w:rPr>
                <w:sz w:val="20"/>
                <w:szCs w:val="20"/>
                <w:color w:val="auto"/>
              </w:rPr>
            </w:pPr>
            <w:r>
              <w:rPr>
                <w:rFonts w:ascii="Arial" w:cs="Arial" w:eastAsia="Arial" w:hAnsi="Arial"/>
                <w:sz w:val="16"/>
                <w:szCs w:val="16"/>
                <w:color w:val="auto"/>
              </w:rPr>
              <w:t>1,597</w:t>
            </w:r>
          </w:p>
        </w:tc>
        <w:tc>
          <w:tcPr>
            <w:tcW w:w="960" w:type="dxa"/>
            <w:vAlign w:val="bottom"/>
          </w:tcPr>
          <w:p>
            <w:pPr>
              <w:jc w:val="right"/>
              <w:ind w:right="179"/>
              <w:spacing w:after="0"/>
              <w:rPr>
                <w:sz w:val="20"/>
                <w:szCs w:val="20"/>
                <w:color w:val="auto"/>
              </w:rPr>
            </w:pPr>
            <w:r>
              <w:rPr>
                <w:rFonts w:ascii="Arial" w:cs="Arial" w:eastAsia="Arial" w:hAnsi="Arial"/>
                <w:sz w:val="16"/>
                <w:szCs w:val="16"/>
                <w:color w:val="auto"/>
              </w:rPr>
              <w:t>637</w:t>
            </w:r>
          </w:p>
        </w:tc>
        <w:tc>
          <w:tcPr>
            <w:tcW w:w="860" w:type="dxa"/>
            <w:vAlign w:val="bottom"/>
          </w:tcPr>
          <w:p>
            <w:pPr>
              <w:jc w:val="right"/>
              <w:spacing w:after="0"/>
              <w:rPr>
                <w:sz w:val="20"/>
                <w:szCs w:val="20"/>
                <w:color w:val="auto"/>
              </w:rPr>
            </w:pPr>
            <w:r>
              <w:rPr>
                <w:rFonts w:ascii="Arial" w:cs="Arial" w:eastAsia="Arial" w:hAnsi="Arial"/>
                <w:sz w:val="16"/>
                <w:szCs w:val="16"/>
                <w:color w:val="auto"/>
              </w:rPr>
              <w:t>14,880</w:t>
            </w:r>
          </w:p>
        </w:tc>
      </w:tr>
      <w:tr>
        <w:trPr>
          <w:trHeight w:val="216"/>
        </w:trPr>
        <w:tc>
          <w:tcPr>
            <w:tcW w:w="1200" w:type="dxa"/>
            <w:vAlign w:val="bottom"/>
          </w:tcPr>
          <w:p>
            <w:pPr>
              <w:jc w:val="right"/>
              <w:ind w:right="259"/>
              <w:spacing w:after="0"/>
              <w:rPr>
                <w:sz w:val="20"/>
                <w:szCs w:val="20"/>
                <w:color w:val="auto"/>
              </w:rPr>
            </w:pPr>
            <w:r>
              <w:rPr>
                <w:rFonts w:ascii="Arial" w:cs="Arial" w:eastAsia="Arial" w:hAnsi="Arial"/>
                <w:sz w:val="16"/>
                <w:szCs w:val="16"/>
                <w:color w:val="auto"/>
              </w:rPr>
              <w:t>120</w:t>
            </w:r>
          </w:p>
        </w:tc>
        <w:tc>
          <w:tcPr>
            <w:tcW w:w="1060" w:type="dxa"/>
            <w:vAlign w:val="bottom"/>
          </w:tcPr>
          <w:p>
            <w:pPr>
              <w:jc w:val="right"/>
              <w:ind w:right="279"/>
              <w:spacing w:after="0"/>
              <w:rPr>
                <w:sz w:val="20"/>
                <w:szCs w:val="20"/>
                <w:color w:val="auto"/>
              </w:rPr>
            </w:pPr>
            <w:r>
              <w:rPr>
                <w:rFonts w:ascii="Arial" w:cs="Arial" w:eastAsia="Arial" w:hAnsi="Arial"/>
                <w:sz w:val="16"/>
                <w:szCs w:val="16"/>
                <w:color w:val="auto"/>
              </w:rPr>
              <w:t>498</w:t>
            </w:r>
          </w:p>
        </w:tc>
        <w:tc>
          <w:tcPr>
            <w:tcW w:w="1040" w:type="dxa"/>
            <w:vAlign w:val="bottom"/>
          </w:tcPr>
          <w:p>
            <w:pPr>
              <w:jc w:val="right"/>
              <w:ind w:right="279"/>
              <w:spacing w:after="0"/>
              <w:rPr>
                <w:sz w:val="20"/>
                <w:szCs w:val="20"/>
                <w:color w:val="auto"/>
              </w:rPr>
            </w:pPr>
            <w:r>
              <w:rPr>
                <w:rFonts w:ascii="Arial" w:cs="Arial" w:eastAsia="Arial" w:hAnsi="Arial"/>
                <w:sz w:val="16"/>
                <w:szCs w:val="16"/>
                <w:color w:val="auto"/>
              </w:rPr>
              <w:t>118</w:t>
            </w:r>
          </w:p>
        </w:tc>
        <w:tc>
          <w:tcPr>
            <w:tcW w:w="1000" w:type="dxa"/>
            <w:vAlign w:val="bottom"/>
          </w:tcPr>
          <w:p>
            <w:pPr>
              <w:jc w:val="right"/>
              <w:ind w:right="239"/>
              <w:spacing w:after="0"/>
              <w:rPr>
                <w:sz w:val="20"/>
                <w:szCs w:val="20"/>
                <w:color w:val="auto"/>
              </w:rPr>
            </w:pPr>
            <w:r>
              <w:rPr>
                <w:rFonts w:ascii="Arial" w:cs="Arial" w:eastAsia="Arial" w:hAnsi="Arial"/>
                <w:sz w:val="16"/>
                <w:szCs w:val="16"/>
                <w:color w:val="auto"/>
              </w:rPr>
              <w:t>234</w:t>
            </w:r>
          </w:p>
        </w:tc>
        <w:tc>
          <w:tcPr>
            <w:tcW w:w="1080" w:type="dxa"/>
            <w:vAlign w:val="bottom"/>
          </w:tcPr>
          <w:p>
            <w:pPr>
              <w:jc w:val="right"/>
              <w:ind w:right="279"/>
              <w:spacing w:after="0"/>
              <w:rPr>
                <w:sz w:val="20"/>
                <w:szCs w:val="20"/>
                <w:color w:val="auto"/>
              </w:rPr>
            </w:pPr>
            <w:r>
              <w:rPr>
                <w:rFonts w:ascii="Arial" w:cs="Arial" w:eastAsia="Arial" w:hAnsi="Arial"/>
                <w:sz w:val="16"/>
                <w:szCs w:val="16"/>
                <w:color w:val="auto"/>
              </w:rPr>
              <w:t>119</w:t>
            </w:r>
          </w:p>
        </w:tc>
        <w:tc>
          <w:tcPr>
            <w:tcW w:w="960" w:type="dxa"/>
            <w:vAlign w:val="bottom"/>
          </w:tcPr>
          <w:p>
            <w:pPr>
              <w:jc w:val="right"/>
              <w:ind w:right="179"/>
              <w:spacing w:after="0"/>
              <w:rPr>
                <w:sz w:val="20"/>
                <w:szCs w:val="20"/>
                <w:color w:val="auto"/>
              </w:rPr>
            </w:pPr>
            <w:r>
              <w:rPr>
                <w:rFonts w:ascii="Arial" w:cs="Arial" w:eastAsia="Arial" w:hAnsi="Arial"/>
                <w:sz w:val="16"/>
                <w:szCs w:val="16"/>
                <w:color w:val="auto"/>
              </w:rPr>
              <w:t>180</w:t>
            </w:r>
          </w:p>
        </w:tc>
        <w:tc>
          <w:tcPr>
            <w:tcW w:w="860" w:type="dxa"/>
            <w:vAlign w:val="bottom"/>
          </w:tcPr>
          <w:p>
            <w:pPr>
              <w:jc w:val="right"/>
              <w:spacing w:after="0"/>
              <w:rPr>
                <w:sz w:val="20"/>
                <w:szCs w:val="20"/>
                <w:color w:val="auto"/>
              </w:rPr>
            </w:pPr>
            <w:r>
              <w:rPr>
                <w:rFonts w:ascii="Arial" w:cs="Arial" w:eastAsia="Arial" w:hAnsi="Arial"/>
                <w:sz w:val="16"/>
                <w:szCs w:val="16"/>
                <w:color w:val="auto"/>
              </w:rPr>
              <w:t>1,269</w:t>
            </w:r>
          </w:p>
        </w:tc>
      </w:tr>
      <w:tr>
        <w:trPr>
          <w:trHeight w:val="216"/>
        </w:trPr>
        <w:tc>
          <w:tcPr>
            <w:tcW w:w="1200" w:type="dxa"/>
            <w:vAlign w:val="bottom"/>
          </w:tcPr>
          <w:p>
            <w:pPr>
              <w:jc w:val="right"/>
              <w:ind w:right="259"/>
              <w:spacing w:after="0"/>
              <w:rPr>
                <w:sz w:val="20"/>
                <w:szCs w:val="20"/>
                <w:color w:val="auto"/>
              </w:rPr>
            </w:pPr>
            <w:r>
              <w:rPr>
                <w:rFonts w:ascii="Arial" w:cs="Arial" w:eastAsia="Arial" w:hAnsi="Arial"/>
                <w:sz w:val="16"/>
                <w:szCs w:val="16"/>
                <w:color w:val="auto"/>
              </w:rPr>
              <w:t>5,916</w:t>
            </w:r>
          </w:p>
        </w:tc>
        <w:tc>
          <w:tcPr>
            <w:tcW w:w="1060" w:type="dxa"/>
            <w:vAlign w:val="bottom"/>
          </w:tcPr>
          <w:p>
            <w:pPr>
              <w:jc w:val="right"/>
              <w:ind w:right="279"/>
              <w:spacing w:after="0"/>
              <w:rPr>
                <w:sz w:val="20"/>
                <w:szCs w:val="20"/>
                <w:color w:val="auto"/>
              </w:rPr>
            </w:pPr>
            <w:r>
              <w:rPr>
                <w:rFonts w:ascii="Arial" w:cs="Arial" w:eastAsia="Arial" w:hAnsi="Arial"/>
                <w:sz w:val="16"/>
                <w:szCs w:val="16"/>
                <w:color w:val="auto"/>
              </w:rPr>
              <w:t>1,975</w:t>
            </w:r>
          </w:p>
        </w:tc>
        <w:tc>
          <w:tcPr>
            <w:tcW w:w="1040" w:type="dxa"/>
            <w:vAlign w:val="bottom"/>
          </w:tcPr>
          <w:p>
            <w:pPr>
              <w:jc w:val="right"/>
              <w:ind w:right="279"/>
              <w:spacing w:after="0"/>
              <w:rPr>
                <w:sz w:val="20"/>
                <w:szCs w:val="20"/>
                <w:color w:val="auto"/>
              </w:rPr>
            </w:pPr>
            <w:r>
              <w:rPr>
                <w:rFonts w:ascii="Arial" w:cs="Arial" w:eastAsia="Arial" w:hAnsi="Arial"/>
                <w:sz w:val="16"/>
                <w:szCs w:val="16"/>
                <w:color w:val="auto"/>
              </w:rPr>
              <w:t>601</w:t>
            </w:r>
          </w:p>
        </w:tc>
        <w:tc>
          <w:tcPr>
            <w:tcW w:w="1000" w:type="dxa"/>
            <w:vAlign w:val="bottom"/>
          </w:tcPr>
          <w:p>
            <w:pPr>
              <w:jc w:val="right"/>
              <w:ind w:right="239"/>
              <w:spacing w:after="0"/>
              <w:rPr>
                <w:sz w:val="20"/>
                <w:szCs w:val="20"/>
                <w:color w:val="auto"/>
              </w:rPr>
            </w:pPr>
            <w:r>
              <w:rPr>
                <w:rFonts w:ascii="Arial" w:cs="Arial" w:eastAsia="Arial" w:hAnsi="Arial"/>
                <w:sz w:val="16"/>
                <w:szCs w:val="16"/>
                <w:color w:val="auto"/>
              </w:rPr>
              <w:t>3,019</w:t>
            </w:r>
          </w:p>
        </w:tc>
        <w:tc>
          <w:tcPr>
            <w:tcW w:w="1080" w:type="dxa"/>
            <w:vAlign w:val="bottom"/>
          </w:tcPr>
          <w:p>
            <w:pPr>
              <w:jc w:val="right"/>
              <w:ind w:right="279"/>
              <w:spacing w:after="0"/>
              <w:rPr>
                <w:sz w:val="20"/>
                <w:szCs w:val="20"/>
                <w:color w:val="auto"/>
              </w:rPr>
            </w:pPr>
            <w:r>
              <w:rPr>
                <w:rFonts w:ascii="Arial" w:cs="Arial" w:eastAsia="Arial" w:hAnsi="Arial"/>
                <w:sz w:val="16"/>
                <w:szCs w:val="16"/>
                <w:color w:val="auto"/>
              </w:rPr>
              <w:t>2,264</w:t>
            </w:r>
          </w:p>
        </w:tc>
        <w:tc>
          <w:tcPr>
            <w:tcW w:w="960" w:type="dxa"/>
            <w:vAlign w:val="bottom"/>
          </w:tcPr>
          <w:p>
            <w:pPr>
              <w:jc w:val="right"/>
              <w:ind w:right="179"/>
              <w:spacing w:after="0"/>
              <w:rPr>
                <w:sz w:val="20"/>
                <w:szCs w:val="20"/>
                <w:color w:val="auto"/>
              </w:rPr>
            </w:pPr>
            <w:r>
              <w:rPr>
                <w:rFonts w:ascii="Arial" w:cs="Arial" w:eastAsia="Arial" w:hAnsi="Arial"/>
                <w:sz w:val="16"/>
                <w:szCs w:val="16"/>
                <w:color w:val="auto"/>
              </w:rPr>
              <w:t>703</w:t>
            </w:r>
          </w:p>
        </w:tc>
        <w:tc>
          <w:tcPr>
            <w:tcW w:w="860" w:type="dxa"/>
            <w:vAlign w:val="bottom"/>
          </w:tcPr>
          <w:p>
            <w:pPr>
              <w:jc w:val="right"/>
              <w:spacing w:after="0"/>
              <w:rPr>
                <w:sz w:val="20"/>
                <w:szCs w:val="20"/>
                <w:color w:val="auto"/>
              </w:rPr>
            </w:pPr>
            <w:r>
              <w:rPr>
                <w:rFonts w:ascii="Arial" w:cs="Arial" w:eastAsia="Arial" w:hAnsi="Arial"/>
                <w:sz w:val="16"/>
                <w:szCs w:val="16"/>
                <w:color w:val="auto"/>
              </w:rPr>
              <w:t>14,478</w:t>
            </w:r>
          </w:p>
        </w:tc>
      </w:tr>
      <w:tr>
        <w:trPr>
          <w:trHeight w:val="216"/>
        </w:trPr>
        <w:tc>
          <w:tcPr>
            <w:tcW w:w="1200" w:type="dxa"/>
            <w:vAlign w:val="bottom"/>
          </w:tcPr>
          <w:p>
            <w:pPr>
              <w:jc w:val="right"/>
              <w:ind w:right="259"/>
              <w:spacing w:after="0"/>
              <w:rPr>
                <w:sz w:val="20"/>
                <w:szCs w:val="20"/>
                <w:color w:val="auto"/>
              </w:rPr>
            </w:pPr>
            <w:r>
              <w:rPr>
                <w:rFonts w:ascii="Arial" w:cs="Arial" w:eastAsia="Arial" w:hAnsi="Arial"/>
                <w:sz w:val="16"/>
                <w:szCs w:val="16"/>
                <w:color w:val="auto"/>
              </w:rPr>
              <w:t>998</w:t>
            </w:r>
          </w:p>
        </w:tc>
        <w:tc>
          <w:tcPr>
            <w:tcW w:w="1060" w:type="dxa"/>
            <w:vAlign w:val="bottom"/>
          </w:tcPr>
          <w:p>
            <w:pPr>
              <w:jc w:val="right"/>
              <w:ind w:right="279"/>
              <w:spacing w:after="0"/>
              <w:rPr>
                <w:sz w:val="20"/>
                <w:szCs w:val="20"/>
                <w:color w:val="auto"/>
              </w:rPr>
            </w:pPr>
            <w:r>
              <w:rPr>
                <w:rFonts w:ascii="Arial" w:cs="Arial" w:eastAsia="Arial" w:hAnsi="Arial"/>
                <w:sz w:val="16"/>
                <w:szCs w:val="16"/>
                <w:color w:val="auto"/>
              </w:rPr>
              <w:t>122</w:t>
            </w:r>
          </w:p>
        </w:tc>
        <w:tc>
          <w:tcPr>
            <w:tcW w:w="1040" w:type="dxa"/>
            <w:vAlign w:val="bottom"/>
          </w:tcPr>
          <w:p>
            <w:pPr>
              <w:jc w:val="right"/>
              <w:ind w:right="279"/>
              <w:spacing w:after="0"/>
              <w:rPr>
                <w:sz w:val="20"/>
                <w:szCs w:val="20"/>
                <w:color w:val="auto"/>
              </w:rPr>
            </w:pPr>
            <w:r>
              <w:rPr>
                <w:rFonts w:ascii="Arial" w:cs="Arial" w:eastAsia="Arial" w:hAnsi="Arial"/>
                <w:sz w:val="16"/>
                <w:szCs w:val="16"/>
                <w:color w:val="auto"/>
              </w:rPr>
              <w:t>113</w:t>
            </w:r>
          </w:p>
        </w:tc>
        <w:tc>
          <w:tcPr>
            <w:tcW w:w="1000" w:type="dxa"/>
            <w:vAlign w:val="bottom"/>
          </w:tcPr>
          <w:p>
            <w:pPr>
              <w:jc w:val="right"/>
              <w:ind w:right="239"/>
              <w:spacing w:after="0"/>
              <w:rPr>
                <w:sz w:val="20"/>
                <w:szCs w:val="20"/>
                <w:color w:val="auto"/>
              </w:rPr>
            </w:pPr>
            <w:r>
              <w:rPr>
                <w:rFonts w:ascii="Arial" w:cs="Arial" w:eastAsia="Arial" w:hAnsi="Arial"/>
                <w:sz w:val="16"/>
                <w:szCs w:val="16"/>
                <w:color w:val="auto"/>
              </w:rPr>
              <w:t>682</w:t>
            </w:r>
          </w:p>
        </w:tc>
        <w:tc>
          <w:tcPr>
            <w:tcW w:w="1080" w:type="dxa"/>
            <w:vAlign w:val="bottom"/>
          </w:tcPr>
          <w:p>
            <w:pPr>
              <w:jc w:val="right"/>
              <w:ind w:right="279"/>
              <w:spacing w:after="0"/>
              <w:rPr>
                <w:sz w:val="20"/>
                <w:szCs w:val="20"/>
                <w:color w:val="auto"/>
              </w:rPr>
            </w:pPr>
            <w:r>
              <w:rPr>
                <w:rFonts w:ascii="Arial" w:cs="Arial" w:eastAsia="Arial" w:hAnsi="Arial"/>
                <w:sz w:val="16"/>
                <w:szCs w:val="16"/>
                <w:color w:val="auto"/>
              </w:rPr>
              <w:t>1,182</w:t>
            </w:r>
          </w:p>
        </w:tc>
        <w:tc>
          <w:tcPr>
            <w:tcW w:w="960" w:type="dxa"/>
            <w:vAlign w:val="bottom"/>
          </w:tcPr>
          <w:p>
            <w:pPr>
              <w:jc w:val="right"/>
              <w:ind w:right="179"/>
              <w:spacing w:after="0"/>
              <w:rPr>
                <w:sz w:val="20"/>
                <w:szCs w:val="20"/>
                <w:color w:val="auto"/>
              </w:rPr>
            </w:pPr>
            <w:r>
              <w:rPr>
                <w:rFonts w:ascii="Arial" w:cs="Arial" w:eastAsia="Arial" w:hAnsi="Arial"/>
                <w:sz w:val="16"/>
                <w:szCs w:val="16"/>
                <w:color w:val="auto"/>
              </w:rPr>
              <w:t>250</w:t>
            </w:r>
          </w:p>
        </w:tc>
        <w:tc>
          <w:tcPr>
            <w:tcW w:w="860" w:type="dxa"/>
            <w:vAlign w:val="bottom"/>
          </w:tcPr>
          <w:p>
            <w:pPr>
              <w:jc w:val="right"/>
              <w:spacing w:after="0"/>
              <w:rPr>
                <w:sz w:val="20"/>
                <w:szCs w:val="20"/>
                <w:color w:val="auto"/>
              </w:rPr>
            </w:pPr>
            <w:r>
              <w:rPr>
                <w:rFonts w:ascii="Arial" w:cs="Arial" w:eastAsia="Arial" w:hAnsi="Arial"/>
                <w:sz w:val="16"/>
                <w:szCs w:val="16"/>
                <w:color w:val="auto"/>
              </w:rPr>
              <w:t>3,347</w:t>
            </w:r>
          </w:p>
        </w:tc>
      </w:tr>
      <w:tr>
        <w:trPr>
          <w:trHeight w:val="219"/>
        </w:trPr>
        <w:tc>
          <w:tcPr>
            <w:tcW w:w="12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(29)</w:t>
            </w:r>
          </w:p>
        </w:tc>
        <w:tc>
          <w:tcPr>
            <w:tcW w:w="10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(423)</w:t>
            </w:r>
          </w:p>
        </w:tc>
        <w:tc>
          <w:tcPr>
            <w:tcW w:w="10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(20)</w:t>
            </w:r>
          </w:p>
        </w:tc>
        <w:tc>
          <w:tcPr>
            <w:tcW w:w="10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1,188</w:t>
            </w:r>
          </w:p>
        </w:tc>
        <w:tc>
          <w:tcPr>
            <w:tcW w:w="10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4,238</w:t>
            </w:r>
          </w:p>
        </w:tc>
        <w:tc>
          <w:tcPr>
            <w:tcW w:w="9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599</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5,553</w:t>
            </w:r>
          </w:p>
        </w:tc>
      </w:tr>
      <w:tr>
        <w:trPr>
          <w:trHeight w:val="358"/>
        </w:trPr>
        <w:tc>
          <w:tcPr>
            <w:tcW w:w="12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(88)</w:t>
            </w:r>
          </w:p>
        </w:tc>
        <w:tc>
          <w:tcPr>
            <w:tcW w:w="10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893</w:t>
            </w:r>
          </w:p>
        </w:tc>
        <w:tc>
          <w:tcPr>
            <w:tcW w:w="10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1,478</w:t>
            </w:r>
          </w:p>
        </w:tc>
        <w:tc>
          <w:tcPr>
            <w:tcW w:w="10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1,184</w:t>
            </w:r>
          </w:p>
        </w:tc>
        <w:tc>
          <w:tcPr>
            <w:tcW w:w="10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1,699</w:t>
            </w:r>
          </w:p>
        </w:tc>
        <w:tc>
          <w:tcPr>
            <w:tcW w:w="9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1,391</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6,557</w:t>
            </w:r>
          </w:p>
        </w:tc>
      </w:tr>
      <w:tr>
        <w:trPr>
          <w:trHeight w:val="773"/>
        </w:trPr>
        <w:tc>
          <w:tcPr>
            <w:tcW w:w="1200" w:type="dxa"/>
            <w:vAlign w:val="bottom"/>
          </w:tcPr>
          <w:p>
            <w:pPr>
              <w:jc w:val="right"/>
              <w:ind w:right="259"/>
              <w:spacing w:after="0"/>
              <w:rPr>
                <w:sz w:val="20"/>
                <w:szCs w:val="20"/>
                <w:color w:val="auto"/>
              </w:rPr>
            </w:pPr>
            <w:r>
              <w:rPr>
                <w:rFonts w:ascii="Arial" w:cs="Arial" w:eastAsia="Arial" w:hAnsi="Arial"/>
                <w:sz w:val="16"/>
                <w:szCs w:val="16"/>
                <w:color w:val="auto"/>
              </w:rPr>
              <w:t>664</w:t>
            </w:r>
          </w:p>
        </w:tc>
        <w:tc>
          <w:tcPr>
            <w:tcW w:w="106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79"/>
              <w:spacing w:after="0"/>
              <w:rPr>
                <w:sz w:val="20"/>
                <w:szCs w:val="20"/>
                <w:color w:val="auto"/>
              </w:rPr>
            </w:pPr>
            <w:r>
              <w:rPr>
                <w:rFonts w:ascii="Arial" w:cs="Arial" w:eastAsia="Arial" w:hAnsi="Arial"/>
                <w:sz w:val="16"/>
                <w:szCs w:val="16"/>
                <w:color w:val="auto"/>
              </w:rPr>
              <w:t>1,248</w:t>
            </w:r>
          </w:p>
        </w:tc>
        <w:tc>
          <w:tcPr>
            <w:tcW w:w="100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79"/>
              <w:spacing w:after="0"/>
              <w:rPr>
                <w:sz w:val="20"/>
                <w:szCs w:val="20"/>
                <w:color w:val="auto"/>
              </w:rPr>
            </w:pPr>
            <w:r>
              <w:rPr>
                <w:rFonts w:ascii="Arial" w:cs="Arial" w:eastAsia="Arial" w:hAnsi="Arial"/>
                <w:sz w:val="16"/>
                <w:szCs w:val="16"/>
                <w:color w:val="auto"/>
              </w:rPr>
              <w:t>10,536</w:t>
            </w:r>
          </w:p>
        </w:tc>
        <w:tc>
          <w:tcPr>
            <w:tcW w:w="9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12,448</w:t>
            </w:r>
          </w:p>
        </w:tc>
      </w:tr>
      <w:tr>
        <w:trPr>
          <w:trHeight w:val="219"/>
        </w:trPr>
        <w:tc>
          <w:tcPr>
            <w:tcW w:w="12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530</w:t>
            </w:r>
          </w:p>
        </w:tc>
        <w:tc>
          <w:tcPr>
            <w:tcW w:w="10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6</w:t>
            </w:r>
          </w:p>
        </w:tc>
        <w:tc>
          <w:tcPr>
            <w:tcW w:w="10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464</w:t>
            </w:r>
          </w:p>
        </w:tc>
        <w:tc>
          <w:tcPr>
            <w:tcW w:w="9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r>
      <w:tr>
        <w:trPr>
          <w:trHeight w:val="207"/>
        </w:trPr>
        <w:tc>
          <w:tcPr>
            <w:tcW w:w="1200" w:type="dxa"/>
            <w:vAlign w:val="bottom"/>
          </w:tcPr>
          <w:p>
            <w:pPr>
              <w:jc w:val="right"/>
              <w:ind w:right="259"/>
              <w:spacing w:after="0"/>
              <w:rPr>
                <w:sz w:val="20"/>
                <w:szCs w:val="20"/>
                <w:color w:val="auto"/>
              </w:rPr>
            </w:pPr>
            <w:r>
              <w:rPr>
                <w:rFonts w:ascii="Arial" w:cs="Arial" w:eastAsia="Arial" w:hAnsi="Arial"/>
                <w:sz w:val="16"/>
                <w:szCs w:val="16"/>
                <w:color w:val="auto"/>
              </w:rPr>
              <w:t>1,194</w:t>
            </w:r>
          </w:p>
        </w:tc>
        <w:tc>
          <w:tcPr>
            <w:tcW w:w="106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79"/>
              <w:spacing w:after="0"/>
              <w:rPr>
                <w:sz w:val="20"/>
                <w:szCs w:val="20"/>
                <w:color w:val="auto"/>
              </w:rPr>
            </w:pPr>
            <w:r>
              <w:rPr>
                <w:rFonts w:ascii="Arial" w:cs="Arial" w:eastAsia="Arial" w:hAnsi="Arial"/>
                <w:sz w:val="16"/>
                <w:szCs w:val="16"/>
                <w:color w:val="auto"/>
              </w:rPr>
              <w:t>1,254</w:t>
            </w:r>
          </w:p>
        </w:tc>
        <w:tc>
          <w:tcPr>
            <w:tcW w:w="100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79"/>
              <w:spacing w:after="0"/>
              <w:rPr>
                <w:sz w:val="20"/>
                <w:szCs w:val="20"/>
                <w:color w:val="auto"/>
              </w:rPr>
            </w:pPr>
            <w:r>
              <w:rPr>
                <w:rFonts w:ascii="Arial" w:cs="Arial" w:eastAsia="Arial" w:hAnsi="Arial"/>
                <w:sz w:val="16"/>
                <w:szCs w:val="16"/>
                <w:color w:val="auto"/>
              </w:rPr>
              <w:t>11,000</w:t>
            </w:r>
          </w:p>
        </w:tc>
        <w:tc>
          <w:tcPr>
            <w:tcW w:w="9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13,448</w:t>
            </w:r>
          </w:p>
        </w:tc>
      </w:tr>
      <w:tr>
        <w:trPr>
          <w:trHeight w:val="216"/>
        </w:trPr>
        <w:tc>
          <w:tcPr>
            <w:tcW w:w="1200" w:type="dxa"/>
            <w:vAlign w:val="bottom"/>
          </w:tcPr>
          <w:p>
            <w:pPr>
              <w:jc w:val="right"/>
              <w:ind w:right="259"/>
              <w:spacing w:after="0"/>
              <w:rPr>
                <w:sz w:val="20"/>
                <w:szCs w:val="20"/>
                <w:color w:val="auto"/>
              </w:rPr>
            </w:pPr>
            <w:r>
              <w:rPr>
                <w:rFonts w:ascii="Arial" w:cs="Arial" w:eastAsia="Arial" w:hAnsi="Arial"/>
                <w:sz w:val="16"/>
                <w:szCs w:val="16"/>
                <w:color w:val="auto"/>
              </w:rPr>
              <w:t>543</w:t>
            </w:r>
          </w:p>
        </w:tc>
        <w:tc>
          <w:tcPr>
            <w:tcW w:w="106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79"/>
              <w:spacing w:after="0"/>
              <w:rPr>
                <w:sz w:val="20"/>
                <w:szCs w:val="20"/>
                <w:color w:val="auto"/>
              </w:rPr>
            </w:pPr>
            <w:r>
              <w:rPr>
                <w:rFonts w:ascii="Arial" w:cs="Arial" w:eastAsia="Arial" w:hAnsi="Arial"/>
                <w:sz w:val="16"/>
                <w:szCs w:val="16"/>
                <w:color w:val="auto"/>
              </w:rPr>
              <w:t>570</w:t>
            </w:r>
          </w:p>
        </w:tc>
        <w:tc>
          <w:tcPr>
            <w:tcW w:w="1000" w:type="dxa"/>
            <w:vAlign w:val="bottom"/>
          </w:tcPr>
          <w:p>
            <w:pPr>
              <w:jc w:val="right"/>
              <w:ind w:right="239"/>
              <w:spacing w:after="0"/>
              <w:rPr>
                <w:sz w:val="20"/>
                <w:szCs w:val="20"/>
                <w:color w:val="auto"/>
              </w:rPr>
            </w:pPr>
            <w:r>
              <w:rPr>
                <w:rFonts w:ascii="Arial" w:cs="Arial" w:eastAsia="Arial" w:hAnsi="Arial"/>
                <w:sz w:val="16"/>
                <w:szCs w:val="16"/>
                <w:color w:val="auto"/>
              </w:rPr>
              <w:t>6</w:t>
            </w:r>
          </w:p>
        </w:tc>
        <w:tc>
          <w:tcPr>
            <w:tcW w:w="1080" w:type="dxa"/>
            <w:vAlign w:val="bottom"/>
          </w:tcPr>
          <w:p>
            <w:pPr>
              <w:jc w:val="right"/>
              <w:ind w:right="279"/>
              <w:spacing w:after="0"/>
              <w:rPr>
                <w:sz w:val="20"/>
                <w:szCs w:val="20"/>
                <w:color w:val="auto"/>
              </w:rPr>
            </w:pPr>
            <w:r>
              <w:rPr>
                <w:rFonts w:ascii="Arial" w:cs="Arial" w:eastAsia="Arial" w:hAnsi="Arial"/>
                <w:sz w:val="16"/>
                <w:szCs w:val="16"/>
                <w:color w:val="auto"/>
              </w:rPr>
              <w:t>555</w:t>
            </w:r>
          </w:p>
        </w:tc>
        <w:tc>
          <w:tcPr>
            <w:tcW w:w="9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1,674</w:t>
            </w:r>
          </w:p>
        </w:tc>
      </w:tr>
      <w:tr>
        <w:trPr>
          <w:trHeight w:val="216"/>
        </w:trPr>
        <w:tc>
          <w:tcPr>
            <w:tcW w:w="1200" w:type="dxa"/>
            <w:vAlign w:val="bottom"/>
          </w:tcPr>
          <w:p>
            <w:pPr>
              <w:jc w:val="right"/>
              <w:ind w:right="259"/>
              <w:spacing w:after="0"/>
              <w:rPr>
                <w:sz w:val="20"/>
                <w:szCs w:val="20"/>
                <w:color w:val="auto"/>
              </w:rPr>
            </w:pPr>
            <w:r>
              <w:rPr>
                <w:rFonts w:ascii="Arial" w:cs="Arial" w:eastAsia="Arial" w:hAnsi="Arial"/>
                <w:sz w:val="16"/>
                <w:szCs w:val="16"/>
                <w:color w:val="auto"/>
              </w:rPr>
              <w:t>1</w:t>
            </w:r>
          </w:p>
        </w:tc>
        <w:tc>
          <w:tcPr>
            <w:tcW w:w="106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79"/>
              <w:spacing w:after="0"/>
              <w:rPr>
                <w:sz w:val="20"/>
                <w:szCs w:val="20"/>
                <w:color w:val="auto"/>
              </w:rPr>
            </w:pPr>
            <w:r>
              <w:rPr>
                <w:rFonts w:ascii="Arial" w:cs="Arial" w:eastAsia="Arial" w:hAnsi="Arial"/>
                <w:sz w:val="16"/>
                <w:szCs w:val="16"/>
                <w:color w:val="auto"/>
              </w:rPr>
              <w:t>4</w:t>
            </w:r>
          </w:p>
        </w:tc>
        <w:tc>
          <w:tcPr>
            <w:tcW w:w="100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16"/>
        </w:trPr>
        <w:tc>
          <w:tcPr>
            <w:tcW w:w="1200" w:type="dxa"/>
            <w:vAlign w:val="bottom"/>
          </w:tcPr>
          <w:p>
            <w:pPr>
              <w:jc w:val="right"/>
              <w:ind w:right="259"/>
              <w:spacing w:after="0"/>
              <w:rPr>
                <w:sz w:val="20"/>
                <w:szCs w:val="20"/>
                <w:color w:val="auto"/>
              </w:rPr>
            </w:pPr>
            <w:r>
              <w:rPr>
                <w:rFonts w:ascii="Arial" w:cs="Arial" w:eastAsia="Arial" w:hAnsi="Arial"/>
                <w:sz w:val="16"/>
                <w:szCs w:val="16"/>
                <w:color w:val="auto"/>
              </w:rPr>
              <w:t>431</w:t>
            </w:r>
          </w:p>
        </w:tc>
        <w:tc>
          <w:tcPr>
            <w:tcW w:w="106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79"/>
              <w:spacing w:after="0"/>
              <w:rPr>
                <w:sz w:val="20"/>
                <w:szCs w:val="20"/>
                <w:color w:val="auto"/>
              </w:rPr>
            </w:pPr>
            <w:r>
              <w:rPr>
                <w:rFonts w:ascii="Arial" w:cs="Arial" w:eastAsia="Arial" w:hAnsi="Arial"/>
                <w:sz w:val="16"/>
                <w:szCs w:val="16"/>
                <w:color w:val="auto"/>
              </w:rPr>
              <w:t>231</w:t>
            </w:r>
          </w:p>
        </w:tc>
        <w:tc>
          <w:tcPr>
            <w:tcW w:w="100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79"/>
              <w:spacing w:after="0"/>
              <w:rPr>
                <w:sz w:val="20"/>
                <w:szCs w:val="20"/>
                <w:color w:val="auto"/>
              </w:rPr>
            </w:pPr>
            <w:r>
              <w:rPr>
                <w:rFonts w:ascii="Arial" w:cs="Arial" w:eastAsia="Arial" w:hAnsi="Arial"/>
                <w:sz w:val="16"/>
                <w:szCs w:val="16"/>
                <w:color w:val="auto"/>
              </w:rPr>
              <w:t>528</w:t>
            </w:r>
          </w:p>
        </w:tc>
        <w:tc>
          <w:tcPr>
            <w:tcW w:w="9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1,190</w:t>
            </w:r>
          </w:p>
        </w:tc>
      </w:tr>
      <w:tr>
        <w:trPr>
          <w:trHeight w:val="216"/>
        </w:trPr>
        <w:tc>
          <w:tcPr>
            <w:tcW w:w="1200" w:type="dxa"/>
            <w:vAlign w:val="bottom"/>
          </w:tcPr>
          <w:p>
            <w:pPr>
              <w:jc w:val="right"/>
              <w:ind w:right="259"/>
              <w:spacing w:after="0"/>
              <w:rPr>
                <w:sz w:val="20"/>
                <w:szCs w:val="20"/>
                <w:color w:val="auto"/>
              </w:rPr>
            </w:pPr>
            <w:r>
              <w:rPr>
                <w:rFonts w:ascii="Arial" w:cs="Arial" w:eastAsia="Arial" w:hAnsi="Arial"/>
                <w:sz w:val="16"/>
                <w:szCs w:val="16"/>
                <w:color w:val="auto"/>
              </w:rPr>
              <w:t>33</w:t>
            </w:r>
          </w:p>
        </w:tc>
        <w:tc>
          <w:tcPr>
            <w:tcW w:w="106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79"/>
              <w:spacing w:after="0"/>
              <w:rPr>
                <w:sz w:val="20"/>
                <w:szCs w:val="20"/>
                <w:color w:val="auto"/>
              </w:rPr>
            </w:pPr>
            <w:r>
              <w:rPr>
                <w:rFonts w:ascii="Arial" w:cs="Arial" w:eastAsia="Arial" w:hAnsi="Arial"/>
                <w:sz w:val="16"/>
                <w:szCs w:val="16"/>
                <w:color w:val="auto"/>
              </w:rPr>
              <w:t>75</w:t>
            </w:r>
          </w:p>
        </w:tc>
        <w:tc>
          <w:tcPr>
            <w:tcW w:w="100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79"/>
              <w:spacing w:after="0"/>
              <w:rPr>
                <w:sz w:val="20"/>
                <w:szCs w:val="20"/>
                <w:color w:val="auto"/>
              </w:rPr>
            </w:pPr>
            <w:r>
              <w:rPr>
                <w:rFonts w:ascii="Arial" w:cs="Arial" w:eastAsia="Arial" w:hAnsi="Arial"/>
                <w:sz w:val="16"/>
                <w:szCs w:val="16"/>
                <w:color w:val="auto"/>
              </w:rPr>
              <w:t>3,634</w:t>
            </w:r>
          </w:p>
        </w:tc>
        <w:tc>
          <w:tcPr>
            <w:tcW w:w="9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3,742</w:t>
            </w:r>
          </w:p>
        </w:tc>
      </w:tr>
      <w:tr>
        <w:trPr>
          <w:trHeight w:val="219"/>
        </w:trPr>
        <w:tc>
          <w:tcPr>
            <w:tcW w:w="12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180</w:t>
            </w:r>
          </w:p>
        </w:tc>
        <w:tc>
          <w:tcPr>
            <w:tcW w:w="10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w:t>
            </w:r>
          </w:p>
        </w:tc>
        <w:tc>
          <w:tcPr>
            <w:tcW w:w="10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2,275</w:t>
            </w:r>
          </w:p>
        </w:tc>
        <w:tc>
          <w:tcPr>
            <w:tcW w:w="9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2,454</w:t>
            </w:r>
          </w:p>
        </w:tc>
      </w:tr>
      <w:tr>
        <w:trPr>
          <w:trHeight w:val="209"/>
        </w:trPr>
        <w:tc>
          <w:tcPr>
            <w:tcW w:w="12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186</w:t>
            </w:r>
          </w:p>
        </w:tc>
        <w:tc>
          <w:tcPr>
            <w:tcW w:w="10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194</w:t>
            </w:r>
          </w:p>
        </w:tc>
        <w:tc>
          <w:tcPr>
            <w:tcW w:w="10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(5)</w:t>
            </w:r>
          </w:p>
        </w:tc>
        <w:tc>
          <w:tcPr>
            <w:tcW w:w="10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4,008</w:t>
            </w:r>
          </w:p>
        </w:tc>
        <w:tc>
          <w:tcPr>
            <w:tcW w:w="9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4,383</w:t>
            </w:r>
          </w:p>
        </w:tc>
      </w:tr>
      <w:tr>
        <w:trPr>
          <w:trHeight w:val="344"/>
        </w:trPr>
        <w:tc>
          <w:tcPr>
            <w:tcW w:w="12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98</w:t>
            </w:r>
          </w:p>
        </w:tc>
        <w:tc>
          <w:tcPr>
            <w:tcW w:w="10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893</w:t>
            </w:r>
          </w:p>
        </w:tc>
        <w:tc>
          <w:tcPr>
            <w:tcW w:w="10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1,672</w:t>
            </w:r>
          </w:p>
        </w:tc>
        <w:tc>
          <w:tcPr>
            <w:tcW w:w="10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1,179</w:t>
            </w:r>
          </w:p>
        </w:tc>
        <w:tc>
          <w:tcPr>
            <w:tcW w:w="10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5,707</w:t>
            </w:r>
          </w:p>
        </w:tc>
        <w:tc>
          <w:tcPr>
            <w:tcW w:w="9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1,391</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10,940</w:t>
            </w:r>
          </w:p>
        </w:tc>
      </w:tr>
    </w:tbl>
    <w:p>
      <w:pPr>
        <w:spacing w:after="0" w:line="200" w:lineRule="exact"/>
        <w:rPr>
          <w:sz w:val="20"/>
          <w:szCs w:val="20"/>
          <w:color w:val="auto"/>
        </w:rPr>
      </w:pPr>
    </w:p>
    <w:p>
      <w:pPr>
        <w:sectPr>
          <w:pgSz w:w="11900" w:h="16838" w:orient="portrait"/>
          <w:cols w:equalWidth="0" w:num="2">
            <w:col w:w="3520" w:space="520"/>
            <w:col w:w="7200"/>
          </w:cols>
          <w:pgMar w:left="320" w:top="883" w:right="339" w:bottom="1440" w:gutter="0" w:footer="0" w:header="0"/>
          <w:type w:val="continuous"/>
        </w:sect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3" w:right="339" w:bottom="1440" w:gutter="0" w:footer="0" w:header="0"/>
          <w:type w:val="continuous"/>
        </w:sectPr>
      </w:pPr>
    </w:p>
    <w:bookmarkStart w:id="113" w:name="page114"/>
    <w:bookmarkEnd w:id="113"/>
    <w:p>
      <w:pPr>
        <w:spacing w:after="0"/>
        <w:rPr>
          <w:sz w:val="20"/>
          <w:szCs w:val="20"/>
          <w:color w:val="auto"/>
        </w:rPr>
      </w:pPr>
      <w:r>
        <w:rPr>
          <w:rFonts w:ascii="Arial" w:cs="Arial" w:eastAsia="Arial" w:hAnsi="Arial"/>
          <w:sz w:val="18"/>
          <w:szCs w:val="18"/>
          <w:b w:val="1"/>
          <w:bCs w:val="1"/>
          <w:color w:val="auto"/>
        </w:rPr>
        <w:t>Oil and Gas Exploration and Production Costs</w:t>
      </w:r>
    </w:p>
    <w:p>
      <w:pPr>
        <w:spacing w:after="0" w:line="1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amounts shown for net capitalized costs of consolidated subsidiaries are $12,005 million less at year-end 2021 and $13,206 million less at year-end 2020 than the amounts reported as investments in property, plant and equipment for the Upstream in Note 9. This is due to the exclusion from capitalized costs of certain transportation and research assets and assets relating to LNG operations. Assets related to oil sands and oil shale mining operations are included in the capitalized costs in accordance with Financial Accounting Standards Board rules.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960" w:type="dxa"/>
            <w:vAlign w:val="bottom"/>
            <w:vMerge w:val="restart"/>
          </w:tcPr>
          <w:p>
            <w:pPr>
              <w:jc w:val="right"/>
              <w:ind w:right="240"/>
              <w:spacing w:after="0"/>
              <w:rPr>
                <w:sz w:val="20"/>
                <w:szCs w:val="20"/>
                <w:color w:val="auto"/>
              </w:rPr>
            </w:pPr>
            <w:r>
              <w:rPr>
                <w:rFonts w:ascii="Arial" w:cs="Arial" w:eastAsia="Arial" w:hAnsi="Arial"/>
                <w:sz w:val="14"/>
                <w:szCs w:val="14"/>
                <w:b w:val="1"/>
                <w:bCs w:val="1"/>
                <w:color w:val="auto"/>
              </w:rPr>
              <w:t>United</w:t>
            </w:r>
          </w:p>
        </w:tc>
        <w:tc>
          <w:tcPr>
            <w:tcW w:w="1040" w:type="dxa"/>
            <w:vAlign w:val="bottom"/>
          </w:tcPr>
          <w:p>
            <w:pPr>
              <w:jc w:val="center"/>
              <w:ind w:right="40"/>
              <w:spacing w:after="0"/>
              <w:rPr>
                <w:sz w:val="20"/>
                <w:szCs w:val="20"/>
                <w:color w:val="auto"/>
              </w:rPr>
            </w:pPr>
            <w:r>
              <w:rPr>
                <w:rFonts w:ascii="Arial" w:cs="Arial" w:eastAsia="Arial" w:hAnsi="Arial"/>
                <w:sz w:val="14"/>
                <w:szCs w:val="14"/>
                <w:b w:val="1"/>
                <w:bCs w:val="1"/>
                <w:color w:val="auto"/>
                <w:w w:val="95"/>
              </w:rPr>
              <w:t>Canada/</w:t>
            </w:r>
          </w:p>
        </w:tc>
        <w:tc>
          <w:tcPr>
            <w:tcW w:w="8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vMerge w:val="restart"/>
          </w:tcPr>
          <w:p>
            <w:pPr>
              <w:jc w:val="right"/>
              <w:ind w:right="240"/>
              <w:spacing w:after="0"/>
              <w:rPr>
                <w:sz w:val="20"/>
                <w:szCs w:val="20"/>
                <w:color w:val="auto"/>
              </w:rPr>
            </w:pPr>
            <w:r>
              <w:rPr>
                <w:rFonts w:ascii="Arial" w:cs="Arial" w:eastAsia="Arial" w:hAnsi="Arial"/>
                <w:sz w:val="14"/>
                <w:szCs w:val="14"/>
                <w:b w:val="1"/>
                <w:bCs w:val="1"/>
                <w:color w:val="auto"/>
              </w:rPr>
              <w:t>Australia/</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9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Capitalized Costs</w:t>
            </w:r>
          </w:p>
        </w:tc>
        <w:tc>
          <w:tcPr>
            <w:tcW w:w="240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1040" w:type="dxa"/>
            <w:vAlign w:val="bottom"/>
          </w:tcPr>
          <w:p>
            <w:pPr>
              <w:jc w:val="center"/>
              <w:ind w:right="40"/>
              <w:spacing w:after="0" w:line="135" w:lineRule="exact"/>
              <w:rPr>
                <w:sz w:val="20"/>
                <w:szCs w:val="20"/>
                <w:color w:val="auto"/>
              </w:rPr>
            </w:pPr>
            <w:r>
              <w:rPr>
                <w:rFonts w:ascii="Arial" w:cs="Arial" w:eastAsia="Arial" w:hAnsi="Arial"/>
                <w:sz w:val="14"/>
                <w:szCs w:val="14"/>
                <w:b w:val="1"/>
                <w:bCs w:val="1"/>
                <w:color w:val="auto"/>
                <w:w w:val="96"/>
              </w:rPr>
              <w:t>Other</w:t>
            </w:r>
          </w:p>
        </w:tc>
        <w:tc>
          <w:tcPr>
            <w:tcW w:w="82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rPr>
              <w:t>Europe</w:t>
            </w:r>
          </w:p>
        </w:tc>
        <w:tc>
          <w:tcPr>
            <w:tcW w:w="1300" w:type="dxa"/>
            <w:vAlign w:val="bottom"/>
            <w:vMerge w:val="restart"/>
          </w:tcPr>
          <w:p>
            <w:pPr>
              <w:jc w:val="right"/>
              <w:ind w:right="440"/>
              <w:spacing w:after="0"/>
              <w:rPr>
                <w:sz w:val="20"/>
                <w:szCs w:val="20"/>
                <w:color w:val="auto"/>
              </w:rPr>
            </w:pPr>
            <w:r>
              <w:rPr>
                <w:rFonts w:ascii="Arial" w:cs="Arial" w:eastAsia="Arial" w:hAnsi="Arial"/>
                <w:sz w:val="14"/>
                <w:szCs w:val="14"/>
                <w:b w:val="1"/>
                <w:bCs w:val="1"/>
                <w:color w:val="auto"/>
              </w:rPr>
              <w:t>Africa</w:t>
            </w:r>
          </w:p>
        </w:tc>
        <w:tc>
          <w:tcPr>
            <w:tcW w:w="800" w:type="dxa"/>
            <w:vAlign w:val="bottom"/>
            <w:vMerge w:val="restart"/>
          </w:tcPr>
          <w:p>
            <w:pPr>
              <w:jc w:val="right"/>
              <w:ind w:right="319"/>
              <w:spacing w:after="0"/>
              <w:rPr>
                <w:sz w:val="20"/>
                <w:szCs w:val="20"/>
                <w:color w:val="auto"/>
              </w:rPr>
            </w:pPr>
            <w:r>
              <w:rPr>
                <w:rFonts w:ascii="Arial" w:cs="Arial" w:eastAsia="Arial" w:hAnsi="Arial"/>
                <w:sz w:val="14"/>
                <w:szCs w:val="14"/>
                <w:b w:val="1"/>
                <w:bCs w:val="1"/>
                <w:color w:val="auto"/>
              </w:rPr>
              <w:t>Asia</w:t>
            </w:r>
          </w:p>
        </w:tc>
        <w:tc>
          <w:tcPr>
            <w:tcW w:w="1080" w:type="dxa"/>
            <w:vAlign w:val="bottom"/>
            <w:vMerge w:val="continue"/>
          </w:tcPr>
          <w:p>
            <w:pPr>
              <w:spacing w:after="0"/>
              <w:rPr>
                <w:sz w:val="11"/>
                <w:szCs w:val="11"/>
                <w:color w:val="auto"/>
              </w:rPr>
            </w:pPr>
          </w:p>
        </w:tc>
        <w:tc>
          <w:tcPr>
            <w:tcW w:w="82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1920" w:type="dxa"/>
            <w:vAlign w:val="bottom"/>
            <w:tcBorders>
              <w:bottom w:val="single" w:sz="8" w:color="auto"/>
            </w:tcBorders>
            <w:vMerge w:val="continue"/>
          </w:tcPr>
          <w:p>
            <w:pPr>
              <w:spacing w:after="0"/>
              <w:rPr>
                <w:sz w:val="16"/>
                <w:szCs w:val="16"/>
                <w:color w:val="auto"/>
              </w:rPr>
            </w:pPr>
          </w:p>
        </w:tc>
        <w:tc>
          <w:tcPr>
            <w:tcW w:w="24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States</w:t>
            </w:r>
          </w:p>
        </w:tc>
        <w:tc>
          <w:tcPr>
            <w:tcW w:w="104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91"/>
              </w:rPr>
              <w:t>Americas</w:t>
            </w:r>
          </w:p>
        </w:tc>
        <w:tc>
          <w:tcPr>
            <w:tcW w:w="820" w:type="dxa"/>
            <w:vAlign w:val="bottom"/>
            <w:tcBorders>
              <w:bottom w:val="single" w:sz="8" w:color="auto"/>
            </w:tcBorders>
            <w:vMerge w:val="continue"/>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Oceania</w:t>
            </w: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9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00" w:type="dxa"/>
            <w:vAlign w:val="bottom"/>
          </w:tcPr>
          <w:p>
            <w:pPr>
              <w:jc w:val="right"/>
              <w:ind w:right="60"/>
              <w:spacing w:after="0"/>
              <w:rPr>
                <w:sz w:val="20"/>
                <w:szCs w:val="20"/>
                <w:color w:val="auto"/>
              </w:rPr>
            </w:pPr>
            <w:r>
              <w:rPr>
                <w:rFonts w:ascii="Arial" w:cs="Arial" w:eastAsia="Arial" w:hAnsi="Arial"/>
                <w:sz w:val="14"/>
                <w:szCs w:val="14"/>
                <w:i w:val="1"/>
                <w:iCs w:val="1"/>
                <w:color w:val="auto"/>
                <w:w w:val="97"/>
              </w:rPr>
              <w:t>(millions of dollars)</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1920" w:type="dxa"/>
            <w:vAlign w:val="bottom"/>
          </w:tcPr>
          <w:p>
            <w:pPr>
              <w:ind w:left="20"/>
              <w:spacing w:after="0"/>
              <w:rPr>
                <w:sz w:val="20"/>
                <w:szCs w:val="20"/>
                <w:color w:val="auto"/>
              </w:rPr>
            </w:pPr>
            <w:r>
              <w:rPr>
                <w:rFonts w:ascii="Arial" w:cs="Arial" w:eastAsia="Arial" w:hAnsi="Arial"/>
                <w:sz w:val="16"/>
                <w:szCs w:val="16"/>
                <w:b w:val="1"/>
                <w:bCs w:val="1"/>
                <w:color w:val="auto"/>
                <w:w w:val="93"/>
              </w:rPr>
              <w:t>Consolidated Subsidiaries</w:t>
            </w:r>
          </w:p>
        </w:tc>
        <w:tc>
          <w:tcPr>
            <w:tcW w:w="2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920" w:type="dxa"/>
            <w:vAlign w:val="bottom"/>
          </w:tcPr>
          <w:p>
            <w:pPr>
              <w:ind w:left="20"/>
              <w:spacing w:after="0"/>
              <w:rPr>
                <w:sz w:val="20"/>
                <w:szCs w:val="20"/>
                <w:color w:val="auto"/>
              </w:rPr>
            </w:pPr>
            <w:r>
              <w:rPr>
                <w:rFonts w:ascii="Arial" w:cs="Arial" w:eastAsia="Arial" w:hAnsi="Arial"/>
                <w:sz w:val="16"/>
                <w:szCs w:val="16"/>
                <w:color w:val="auto"/>
              </w:rPr>
              <w:t>As of December 31, 2021</w:t>
            </w:r>
          </w:p>
        </w:tc>
        <w:tc>
          <w:tcPr>
            <w:tcW w:w="2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tcPr>
          <w:p>
            <w:pPr>
              <w:ind w:left="120"/>
              <w:spacing w:after="0"/>
              <w:rPr>
                <w:sz w:val="20"/>
                <w:szCs w:val="20"/>
                <w:color w:val="auto"/>
              </w:rPr>
            </w:pPr>
            <w:r>
              <w:rPr>
                <w:rFonts w:ascii="Arial" w:cs="Arial" w:eastAsia="Arial" w:hAnsi="Arial"/>
                <w:sz w:val="16"/>
                <w:szCs w:val="16"/>
                <w:color w:val="auto"/>
              </w:rPr>
              <w:t>Property (acreage) costs</w:t>
            </w:r>
          </w:p>
        </w:tc>
        <w:tc>
          <w:tcPr>
            <w:tcW w:w="2400" w:type="dxa"/>
            <w:vAlign w:val="bottom"/>
          </w:tcPr>
          <w:p>
            <w:pPr>
              <w:ind w:left="100"/>
              <w:spacing w:after="0"/>
              <w:rPr>
                <w:sz w:val="20"/>
                <w:szCs w:val="20"/>
                <w:color w:val="auto"/>
              </w:rPr>
            </w:pPr>
            <w:r>
              <w:rPr>
                <w:rFonts w:ascii="Arial" w:cs="Arial" w:eastAsia="Arial" w:hAnsi="Arial"/>
                <w:sz w:val="16"/>
                <w:szCs w:val="16"/>
                <w:color w:val="auto"/>
              </w:rPr>
              <w:t>– Proved</w:t>
            </w: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18,353</w:t>
            </w:r>
          </w:p>
        </w:tc>
        <w:tc>
          <w:tcPr>
            <w:tcW w:w="1040" w:type="dxa"/>
            <w:vAlign w:val="bottom"/>
          </w:tcPr>
          <w:p>
            <w:pPr>
              <w:jc w:val="right"/>
              <w:ind w:right="120"/>
              <w:spacing w:after="0"/>
              <w:rPr>
                <w:sz w:val="20"/>
                <w:szCs w:val="20"/>
                <w:color w:val="auto"/>
              </w:rPr>
            </w:pPr>
            <w:r>
              <w:rPr>
                <w:rFonts w:ascii="Arial" w:cs="Arial" w:eastAsia="Arial" w:hAnsi="Arial"/>
                <w:sz w:val="16"/>
                <w:szCs w:val="16"/>
                <w:color w:val="auto"/>
              </w:rPr>
              <w:t>3,844</w:t>
            </w:r>
          </w:p>
        </w:tc>
        <w:tc>
          <w:tcPr>
            <w:tcW w:w="820" w:type="dxa"/>
            <w:vAlign w:val="bottom"/>
          </w:tcPr>
          <w:p>
            <w:pPr>
              <w:jc w:val="right"/>
              <w:spacing w:after="0"/>
              <w:rPr>
                <w:sz w:val="20"/>
                <w:szCs w:val="20"/>
                <w:color w:val="auto"/>
              </w:rPr>
            </w:pPr>
            <w:r>
              <w:rPr>
                <w:rFonts w:ascii="Arial" w:cs="Arial" w:eastAsia="Arial" w:hAnsi="Arial"/>
                <w:sz w:val="16"/>
                <w:szCs w:val="16"/>
                <w:color w:val="auto"/>
              </w:rPr>
              <w:t>10</w:t>
            </w:r>
          </w:p>
        </w:tc>
        <w:tc>
          <w:tcPr>
            <w:tcW w:w="1300" w:type="dxa"/>
            <w:vAlign w:val="bottom"/>
          </w:tcPr>
          <w:p>
            <w:pPr>
              <w:jc w:val="right"/>
              <w:ind w:right="260"/>
              <w:spacing w:after="0"/>
              <w:rPr>
                <w:sz w:val="20"/>
                <w:szCs w:val="20"/>
                <w:color w:val="auto"/>
              </w:rPr>
            </w:pPr>
            <w:r>
              <w:rPr>
                <w:rFonts w:ascii="Arial" w:cs="Arial" w:eastAsia="Arial" w:hAnsi="Arial"/>
                <w:sz w:val="16"/>
                <w:szCs w:val="16"/>
                <w:color w:val="auto"/>
              </w:rPr>
              <w:t>1,422</w:t>
            </w: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2,994</w:t>
            </w:r>
          </w:p>
        </w:tc>
        <w:tc>
          <w:tcPr>
            <w:tcW w:w="1080" w:type="dxa"/>
            <w:vAlign w:val="bottom"/>
          </w:tcPr>
          <w:p>
            <w:pPr>
              <w:jc w:val="right"/>
              <w:ind w:right="160"/>
              <w:spacing w:after="0"/>
              <w:rPr>
                <w:sz w:val="20"/>
                <w:szCs w:val="20"/>
                <w:color w:val="auto"/>
              </w:rPr>
            </w:pPr>
            <w:r>
              <w:rPr>
                <w:rFonts w:ascii="Arial" w:cs="Arial" w:eastAsia="Arial" w:hAnsi="Arial"/>
                <w:sz w:val="16"/>
                <w:szCs w:val="16"/>
                <w:color w:val="auto"/>
              </w:rPr>
              <w:t>730</w:t>
            </w:r>
          </w:p>
        </w:tc>
        <w:tc>
          <w:tcPr>
            <w:tcW w:w="820" w:type="dxa"/>
            <w:vAlign w:val="bottom"/>
          </w:tcPr>
          <w:p>
            <w:pPr>
              <w:jc w:val="right"/>
              <w:spacing w:after="0"/>
              <w:rPr>
                <w:sz w:val="20"/>
                <w:szCs w:val="20"/>
                <w:color w:val="auto"/>
              </w:rPr>
            </w:pPr>
            <w:r>
              <w:rPr>
                <w:rFonts w:ascii="Arial" w:cs="Arial" w:eastAsia="Arial" w:hAnsi="Arial"/>
                <w:sz w:val="16"/>
                <w:szCs w:val="16"/>
                <w:color w:val="auto"/>
              </w:rPr>
              <w:t>27,353</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2400" w:type="dxa"/>
            <w:vAlign w:val="bottom"/>
          </w:tcPr>
          <w:p>
            <w:pPr>
              <w:ind w:left="100"/>
              <w:spacing w:after="0"/>
              <w:rPr>
                <w:sz w:val="20"/>
                <w:szCs w:val="20"/>
                <w:color w:val="auto"/>
              </w:rPr>
            </w:pPr>
            <w:r>
              <w:rPr>
                <w:rFonts w:ascii="Arial" w:cs="Arial" w:eastAsia="Arial" w:hAnsi="Arial"/>
                <w:sz w:val="16"/>
                <w:szCs w:val="16"/>
                <w:color w:val="auto"/>
              </w:rPr>
              <w:t>– Unproved</w:t>
            </w: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21,146</w:t>
            </w:r>
          </w:p>
        </w:tc>
        <w:tc>
          <w:tcPr>
            <w:tcW w:w="10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6,231</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130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auto"/>
              </w:rPr>
              <w:t>119</w:t>
            </w:r>
          </w:p>
        </w:tc>
        <w:tc>
          <w:tcPr>
            <w:tcW w:w="8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w:t>
            </w:r>
          </w:p>
        </w:tc>
        <w:tc>
          <w:tcPr>
            <w:tcW w:w="108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2,675</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30,213</w:t>
            </w:r>
          </w:p>
        </w:tc>
        <w:tc>
          <w:tcPr>
            <w:tcW w:w="0" w:type="dxa"/>
            <w:vAlign w:val="bottom"/>
          </w:tcPr>
          <w:p>
            <w:pPr>
              <w:spacing w:after="0"/>
              <w:rPr>
                <w:sz w:val="1"/>
                <w:szCs w:val="1"/>
                <w:color w:val="auto"/>
              </w:rPr>
            </w:pPr>
          </w:p>
        </w:tc>
      </w:tr>
      <w:tr>
        <w:trPr>
          <w:trHeight w:val="210"/>
        </w:trPr>
        <w:tc>
          <w:tcPr>
            <w:tcW w:w="1920" w:type="dxa"/>
            <w:vAlign w:val="bottom"/>
          </w:tcPr>
          <w:p>
            <w:pPr>
              <w:ind w:left="260"/>
              <w:spacing w:after="0"/>
              <w:rPr>
                <w:sz w:val="20"/>
                <w:szCs w:val="20"/>
                <w:color w:val="auto"/>
              </w:rPr>
            </w:pPr>
            <w:r>
              <w:rPr>
                <w:rFonts w:ascii="Arial" w:cs="Arial" w:eastAsia="Arial" w:hAnsi="Arial"/>
                <w:sz w:val="16"/>
                <w:szCs w:val="16"/>
                <w:color w:val="auto"/>
              </w:rPr>
              <w:t>Total property costs</w:t>
            </w:r>
          </w:p>
        </w:tc>
        <w:tc>
          <w:tcPr>
            <w:tcW w:w="2400" w:type="dxa"/>
            <w:vAlign w:val="bottom"/>
          </w:tcPr>
          <w:p>
            <w:pPr>
              <w:spacing w:after="0"/>
              <w:rPr>
                <w:sz w:val="18"/>
                <w:szCs w:val="18"/>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39,499</w:t>
            </w:r>
          </w:p>
        </w:tc>
        <w:tc>
          <w:tcPr>
            <w:tcW w:w="1040" w:type="dxa"/>
            <w:vAlign w:val="bottom"/>
          </w:tcPr>
          <w:p>
            <w:pPr>
              <w:jc w:val="right"/>
              <w:ind w:right="120"/>
              <w:spacing w:after="0"/>
              <w:rPr>
                <w:sz w:val="20"/>
                <w:szCs w:val="20"/>
                <w:color w:val="auto"/>
              </w:rPr>
            </w:pPr>
            <w:r>
              <w:rPr>
                <w:rFonts w:ascii="Arial" w:cs="Arial" w:eastAsia="Arial" w:hAnsi="Arial"/>
                <w:sz w:val="16"/>
                <w:szCs w:val="16"/>
                <w:color w:val="auto"/>
              </w:rPr>
              <w:t>10,075</w:t>
            </w:r>
          </w:p>
        </w:tc>
        <w:tc>
          <w:tcPr>
            <w:tcW w:w="820" w:type="dxa"/>
            <w:vAlign w:val="bottom"/>
          </w:tcPr>
          <w:p>
            <w:pPr>
              <w:jc w:val="right"/>
              <w:spacing w:after="0"/>
              <w:rPr>
                <w:sz w:val="20"/>
                <w:szCs w:val="20"/>
                <w:color w:val="auto"/>
              </w:rPr>
            </w:pPr>
            <w:r>
              <w:rPr>
                <w:rFonts w:ascii="Arial" w:cs="Arial" w:eastAsia="Arial" w:hAnsi="Arial"/>
                <w:sz w:val="16"/>
                <w:szCs w:val="16"/>
                <w:color w:val="auto"/>
              </w:rPr>
              <w:t>47</w:t>
            </w:r>
          </w:p>
        </w:tc>
        <w:tc>
          <w:tcPr>
            <w:tcW w:w="1300" w:type="dxa"/>
            <w:vAlign w:val="bottom"/>
          </w:tcPr>
          <w:p>
            <w:pPr>
              <w:jc w:val="right"/>
              <w:ind w:right="260"/>
              <w:spacing w:after="0"/>
              <w:rPr>
                <w:sz w:val="20"/>
                <w:szCs w:val="20"/>
                <w:color w:val="auto"/>
              </w:rPr>
            </w:pPr>
            <w:r>
              <w:rPr>
                <w:rFonts w:ascii="Arial" w:cs="Arial" w:eastAsia="Arial" w:hAnsi="Arial"/>
                <w:sz w:val="16"/>
                <w:szCs w:val="16"/>
                <w:color w:val="auto"/>
              </w:rPr>
              <w:t>1,541</w:t>
            </w: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2,999</w:t>
            </w:r>
          </w:p>
        </w:tc>
        <w:tc>
          <w:tcPr>
            <w:tcW w:w="1080" w:type="dxa"/>
            <w:vAlign w:val="bottom"/>
          </w:tcPr>
          <w:p>
            <w:pPr>
              <w:jc w:val="right"/>
              <w:ind w:right="160"/>
              <w:spacing w:after="0"/>
              <w:rPr>
                <w:sz w:val="20"/>
                <w:szCs w:val="20"/>
                <w:color w:val="auto"/>
              </w:rPr>
            </w:pPr>
            <w:r>
              <w:rPr>
                <w:rFonts w:ascii="Arial" w:cs="Arial" w:eastAsia="Arial" w:hAnsi="Arial"/>
                <w:sz w:val="16"/>
                <w:szCs w:val="16"/>
                <w:color w:val="auto"/>
              </w:rPr>
              <w:t>3,405</w:t>
            </w:r>
          </w:p>
        </w:tc>
        <w:tc>
          <w:tcPr>
            <w:tcW w:w="820" w:type="dxa"/>
            <w:vAlign w:val="bottom"/>
          </w:tcPr>
          <w:p>
            <w:pPr>
              <w:jc w:val="right"/>
              <w:spacing w:after="0"/>
              <w:rPr>
                <w:sz w:val="20"/>
                <w:szCs w:val="20"/>
                <w:color w:val="auto"/>
              </w:rPr>
            </w:pPr>
            <w:r>
              <w:rPr>
                <w:rFonts w:ascii="Arial" w:cs="Arial" w:eastAsia="Arial" w:hAnsi="Arial"/>
                <w:sz w:val="16"/>
                <w:szCs w:val="16"/>
                <w:color w:val="auto"/>
              </w:rPr>
              <w:t>57,566</w:t>
            </w:r>
          </w:p>
        </w:tc>
        <w:tc>
          <w:tcPr>
            <w:tcW w:w="0" w:type="dxa"/>
            <w:vAlign w:val="bottom"/>
          </w:tcPr>
          <w:p>
            <w:pPr>
              <w:spacing w:after="0"/>
              <w:rPr>
                <w:sz w:val="1"/>
                <w:szCs w:val="1"/>
                <w:color w:val="auto"/>
              </w:rPr>
            </w:pPr>
          </w:p>
        </w:tc>
      </w:tr>
      <w:tr>
        <w:trPr>
          <w:trHeight w:val="216"/>
        </w:trPr>
        <w:tc>
          <w:tcPr>
            <w:tcW w:w="1920" w:type="dxa"/>
            <w:vAlign w:val="bottom"/>
          </w:tcPr>
          <w:p>
            <w:pPr>
              <w:ind w:left="120"/>
              <w:spacing w:after="0"/>
              <w:rPr>
                <w:sz w:val="20"/>
                <w:szCs w:val="20"/>
                <w:color w:val="auto"/>
              </w:rPr>
            </w:pPr>
            <w:r>
              <w:rPr>
                <w:rFonts w:ascii="Arial" w:cs="Arial" w:eastAsia="Arial" w:hAnsi="Arial"/>
                <w:sz w:val="16"/>
                <w:szCs w:val="16"/>
                <w:color w:val="auto"/>
              </w:rPr>
              <w:t>Producing assets</w:t>
            </w:r>
          </w:p>
        </w:tc>
        <w:tc>
          <w:tcPr>
            <w:tcW w:w="2400" w:type="dxa"/>
            <w:vAlign w:val="bottom"/>
          </w:tcPr>
          <w:p>
            <w:pPr>
              <w:spacing w:after="0"/>
              <w:rPr>
                <w:sz w:val="18"/>
                <w:szCs w:val="18"/>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101,211</w:t>
            </w:r>
          </w:p>
        </w:tc>
        <w:tc>
          <w:tcPr>
            <w:tcW w:w="1040" w:type="dxa"/>
            <w:vAlign w:val="bottom"/>
          </w:tcPr>
          <w:p>
            <w:pPr>
              <w:jc w:val="right"/>
              <w:ind w:right="120"/>
              <w:spacing w:after="0"/>
              <w:rPr>
                <w:sz w:val="20"/>
                <w:szCs w:val="20"/>
                <w:color w:val="auto"/>
              </w:rPr>
            </w:pPr>
            <w:r>
              <w:rPr>
                <w:rFonts w:ascii="Arial" w:cs="Arial" w:eastAsia="Arial" w:hAnsi="Arial"/>
                <w:sz w:val="16"/>
                <w:szCs w:val="16"/>
                <w:color w:val="auto"/>
              </w:rPr>
              <w:t>52,092</w:t>
            </w:r>
          </w:p>
        </w:tc>
        <w:tc>
          <w:tcPr>
            <w:tcW w:w="820" w:type="dxa"/>
            <w:vAlign w:val="bottom"/>
          </w:tcPr>
          <w:p>
            <w:pPr>
              <w:jc w:val="right"/>
              <w:spacing w:after="0"/>
              <w:rPr>
                <w:sz w:val="20"/>
                <w:szCs w:val="20"/>
                <w:color w:val="auto"/>
              </w:rPr>
            </w:pPr>
            <w:r>
              <w:rPr>
                <w:rFonts w:ascii="Arial" w:cs="Arial" w:eastAsia="Arial" w:hAnsi="Arial"/>
                <w:sz w:val="16"/>
                <w:szCs w:val="16"/>
                <w:color w:val="auto"/>
              </w:rPr>
              <w:t>14,420</w:t>
            </w:r>
          </w:p>
        </w:tc>
        <w:tc>
          <w:tcPr>
            <w:tcW w:w="1300" w:type="dxa"/>
            <w:vAlign w:val="bottom"/>
          </w:tcPr>
          <w:p>
            <w:pPr>
              <w:jc w:val="right"/>
              <w:ind w:right="260"/>
              <w:spacing w:after="0"/>
              <w:rPr>
                <w:sz w:val="20"/>
                <w:szCs w:val="20"/>
                <w:color w:val="auto"/>
              </w:rPr>
            </w:pPr>
            <w:r>
              <w:rPr>
                <w:rFonts w:ascii="Arial" w:cs="Arial" w:eastAsia="Arial" w:hAnsi="Arial"/>
                <w:sz w:val="16"/>
                <w:szCs w:val="16"/>
                <w:color w:val="auto"/>
              </w:rPr>
              <w:t>56,168</w:t>
            </w: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44,228</w:t>
            </w:r>
          </w:p>
        </w:tc>
        <w:tc>
          <w:tcPr>
            <w:tcW w:w="1080" w:type="dxa"/>
            <w:vAlign w:val="bottom"/>
          </w:tcPr>
          <w:p>
            <w:pPr>
              <w:jc w:val="right"/>
              <w:ind w:right="160"/>
              <w:spacing w:after="0"/>
              <w:rPr>
                <w:sz w:val="20"/>
                <w:szCs w:val="20"/>
                <w:color w:val="auto"/>
              </w:rPr>
            </w:pPr>
            <w:r>
              <w:rPr>
                <w:rFonts w:ascii="Arial" w:cs="Arial" w:eastAsia="Arial" w:hAnsi="Arial"/>
                <w:sz w:val="16"/>
                <w:szCs w:val="16"/>
                <w:color w:val="auto"/>
              </w:rPr>
              <w:t>14,944</w:t>
            </w:r>
          </w:p>
        </w:tc>
        <w:tc>
          <w:tcPr>
            <w:tcW w:w="820" w:type="dxa"/>
            <w:vAlign w:val="bottom"/>
          </w:tcPr>
          <w:p>
            <w:pPr>
              <w:jc w:val="right"/>
              <w:spacing w:after="0"/>
              <w:rPr>
                <w:sz w:val="20"/>
                <w:szCs w:val="20"/>
                <w:color w:val="auto"/>
              </w:rPr>
            </w:pPr>
            <w:r>
              <w:rPr>
                <w:rFonts w:ascii="Arial" w:cs="Arial" w:eastAsia="Arial" w:hAnsi="Arial"/>
                <w:sz w:val="16"/>
                <w:szCs w:val="16"/>
                <w:color w:val="auto"/>
              </w:rPr>
              <w:t>283,063</w:t>
            </w:r>
          </w:p>
        </w:tc>
        <w:tc>
          <w:tcPr>
            <w:tcW w:w="0" w:type="dxa"/>
            <w:vAlign w:val="bottom"/>
          </w:tcPr>
          <w:p>
            <w:pPr>
              <w:spacing w:after="0"/>
              <w:rPr>
                <w:sz w:val="1"/>
                <w:szCs w:val="1"/>
                <w:color w:val="auto"/>
              </w:rPr>
            </w:pPr>
          </w:p>
        </w:tc>
      </w:tr>
      <w:tr>
        <w:trPr>
          <w:trHeight w:val="216"/>
        </w:trPr>
        <w:tc>
          <w:tcPr>
            <w:tcW w:w="1920" w:type="dxa"/>
            <w:vAlign w:val="bottom"/>
          </w:tcPr>
          <w:p>
            <w:pPr>
              <w:ind w:left="120"/>
              <w:spacing w:after="0"/>
              <w:rPr>
                <w:sz w:val="20"/>
                <w:szCs w:val="20"/>
                <w:color w:val="auto"/>
              </w:rPr>
            </w:pPr>
            <w:r>
              <w:rPr>
                <w:rFonts w:ascii="Arial" w:cs="Arial" w:eastAsia="Arial" w:hAnsi="Arial"/>
                <w:sz w:val="16"/>
                <w:szCs w:val="16"/>
                <w:color w:val="auto"/>
              </w:rPr>
              <w:t>Incomplete construction</w:t>
            </w:r>
          </w:p>
        </w:tc>
        <w:tc>
          <w:tcPr>
            <w:tcW w:w="2400" w:type="dxa"/>
            <w:vAlign w:val="bottom"/>
          </w:tcPr>
          <w:p>
            <w:pPr>
              <w:spacing w:after="0"/>
              <w:rPr>
                <w:sz w:val="18"/>
                <w:szCs w:val="18"/>
                <w:color w:val="auto"/>
              </w:rPr>
            </w:pP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4,125</w:t>
            </w:r>
          </w:p>
        </w:tc>
        <w:tc>
          <w:tcPr>
            <w:tcW w:w="10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7,047</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889</w:t>
            </w:r>
          </w:p>
        </w:tc>
        <w:tc>
          <w:tcPr>
            <w:tcW w:w="130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auto"/>
              </w:rPr>
              <w:t>1,428</w:t>
            </w:r>
          </w:p>
        </w:tc>
        <w:tc>
          <w:tcPr>
            <w:tcW w:w="8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2,888</w:t>
            </w:r>
          </w:p>
        </w:tc>
        <w:tc>
          <w:tcPr>
            <w:tcW w:w="108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2,044</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18,421</w:t>
            </w:r>
          </w:p>
        </w:tc>
        <w:tc>
          <w:tcPr>
            <w:tcW w:w="0" w:type="dxa"/>
            <w:vAlign w:val="bottom"/>
          </w:tcPr>
          <w:p>
            <w:pPr>
              <w:spacing w:after="0"/>
              <w:rPr>
                <w:sz w:val="1"/>
                <w:szCs w:val="1"/>
                <w:color w:val="auto"/>
              </w:rPr>
            </w:pPr>
          </w:p>
        </w:tc>
      </w:tr>
      <w:tr>
        <w:trPr>
          <w:trHeight w:val="209"/>
        </w:trPr>
        <w:tc>
          <w:tcPr>
            <w:tcW w:w="1920" w:type="dxa"/>
            <w:vAlign w:val="bottom"/>
          </w:tcPr>
          <w:p>
            <w:pPr>
              <w:ind w:left="260"/>
              <w:spacing w:after="0"/>
              <w:rPr>
                <w:sz w:val="20"/>
                <w:szCs w:val="20"/>
                <w:color w:val="auto"/>
              </w:rPr>
            </w:pPr>
            <w:r>
              <w:rPr>
                <w:rFonts w:ascii="Arial" w:cs="Arial" w:eastAsia="Arial" w:hAnsi="Arial"/>
                <w:sz w:val="16"/>
                <w:szCs w:val="16"/>
                <w:color w:val="auto"/>
              </w:rPr>
              <w:t>Total capitalized costs</w:t>
            </w:r>
          </w:p>
        </w:tc>
        <w:tc>
          <w:tcPr>
            <w:tcW w:w="2400" w:type="dxa"/>
            <w:vAlign w:val="bottom"/>
          </w:tcPr>
          <w:p>
            <w:pPr>
              <w:spacing w:after="0"/>
              <w:rPr>
                <w:sz w:val="18"/>
                <w:szCs w:val="18"/>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144,835</w:t>
            </w:r>
          </w:p>
        </w:tc>
        <w:tc>
          <w:tcPr>
            <w:tcW w:w="1040" w:type="dxa"/>
            <w:vAlign w:val="bottom"/>
          </w:tcPr>
          <w:p>
            <w:pPr>
              <w:jc w:val="right"/>
              <w:ind w:right="120"/>
              <w:spacing w:after="0"/>
              <w:rPr>
                <w:sz w:val="20"/>
                <w:szCs w:val="20"/>
                <w:color w:val="auto"/>
              </w:rPr>
            </w:pPr>
            <w:r>
              <w:rPr>
                <w:rFonts w:ascii="Arial" w:cs="Arial" w:eastAsia="Arial" w:hAnsi="Arial"/>
                <w:sz w:val="16"/>
                <w:szCs w:val="16"/>
                <w:color w:val="auto"/>
              </w:rPr>
              <w:t>69,214</w:t>
            </w:r>
          </w:p>
        </w:tc>
        <w:tc>
          <w:tcPr>
            <w:tcW w:w="820" w:type="dxa"/>
            <w:vAlign w:val="bottom"/>
          </w:tcPr>
          <w:p>
            <w:pPr>
              <w:jc w:val="right"/>
              <w:spacing w:after="0"/>
              <w:rPr>
                <w:sz w:val="20"/>
                <w:szCs w:val="20"/>
                <w:color w:val="auto"/>
              </w:rPr>
            </w:pPr>
            <w:r>
              <w:rPr>
                <w:rFonts w:ascii="Arial" w:cs="Arial" w:eastAsia="Arial" w:hAnsi="Arial"/>
                <w:sz w:val="16"/>
                <w:szCs w:val="16"/>
                <w:color w:val="auto"/>
              </w:rPr>
              <w:t>15,356</w:t>
            </w:r>
          </w:p>
        </w:tc>
        <w:tc>
          <w:tcPr>
            <w:tcW w:w="1300" w:type="dxa"/>
            <w:vAlign w:val="bottom"/>
          </w:tcPr>
          <w:p>
            <w:pPr>
              <w:jc w:val="right"/>
              <w:ind w:right="260"/>
              <w:spacing w:after="0"/>
              <w:rPr>
                <w:sz w:val="20"/>
                <w:szCs w:val="20"/>
                <w:color w:val="auto"/>
              </w:rPr>
            </w:pPr>
            <w:r>
              <w:rPr>
                <w:rFonts w:ascii="Arial" w:cs="Arial" w:eastAsia="Arial" w:hAnsi="Arial"/>
                <w:sz w:val="16"/>
                <w:szCs w:val="16"/>
                <w:color w:val="auto"/>
              </w:rPr>
              <w:t>59,137</w:t>
            </w: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50,115</w:t>
            </w:r>
          </w:p>
        </w:tc>
        <w:tc>
          <w:tcPr>
            <w:tcW w:w="1080" w:type="dxa"/>
            <w:vAlign w:val="bottom"/>
          </w:tcPr>
          <w:p>
            <w:pPr>
              <w:jc w:val="right"/>
              <w:ind w:right="160"/>
              <w:spacing w:after="0"/>
              <w:rPr>
                <w:sz w:val="20"/>
                <w:szCs w:val="20"/>
                <w:color w:val="auto"/>
              </w:rPr>
            </w:pPr>
            <w:r>
              <w:rPr>
                <w:rFonts w:ascii="Arial" w:cs="Arial" w:eastAsia="Arial" w:hAnsi="Arial"/>
                <w:sz w:val="16"/>
                <w:szCs w:val="16"/>
                <w:color w:val="auto"/>
              </w:rPr>
              <w:t>20,393</w:t>
            </w:r>
          </w:p>
        </w:tc>
        <w:tc>
          <w:tcPr>
            <w:tcW w:w="820" w:type="dxa"/>
            <w:vAlign w:val="bottom"/>
          </w:tcPr>
          <w:p>
            <w:pPr>
              <w:jc w:val="right"/>
              <w:spacing w:after="0"/>
              <w:rPr>
                <w:sz w:val="20"/>
                <w:szCs w:val="20"/>
                <w:color w:val="auto"/>
              </w:rPr>
            </w:pPr>
            <w:r>
              <w:rPr>
                <w:rFonts w:ascii="Arial" w:cs="Arial" w:eastAsia="Arial" w:hAnsi="Arial"/>
                <w:sz w:val="16"/>
                <w:szCs w:val="16"/>
                <w:color w:val="auto"/>
              </w:rPr>
              <w:t>359,050</w:t>
            </w:r>
          </w:p>
        </w:tc>
        <w:tc>
          <w:tcPr>
            <w:tcW w:w="0" w:type="dxa"/>
            <w:vAlign w:val="bottom"/>
          </w:tcPr>
          <w:p>
            <w:pPr>
              <w:spacing w:after="0"/>
              <w:rPr>
                <w:sz w:val="1"/>
                <w:szCs w:val="1"/>
                <w:color w:val="auto"/>
              </w:rPr>
            </w:pPr>
          </w:p>
        </w:tc>
      </w:tr>
      <w:tr>
        <w:trPr>
          <w:trHeight w:val="216"/>
        </w:trPr>
        <w:tc>
          <w:tcPr>
            <w:tcW w:w="4320" w:type="dxa"/>
            <w:vAlign w:val="bottom"/>
            <w:gridSpan w:val="2"/>
          </w:tcPr>
          <w:p>
            <w:pPr>
              <w:ind w:left="120"/>
              <w:spacing w:after="0"/>
              <w:rPr>
                <w:sz w:val="20"/>
                <w:szCs w:val="20"/>
                <w:color w:val="auto"/>
              </w:rPr>
            </w:pPr>
            <w:r>
              <w:rPr>
                <w:rFonts w:ascii="Arial" w:cs="Arial" w:eastAsia="Arial" w:hAnsi="Arial"/>
                <w:sz w:val="16"/>
                <w:szCs w:val="16"/>
                <w:color w:val="auto"/>
              </w:rPr>
              <w:t>Accumulated depreciation and depletion</w:t>
            </w: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86,830</w:t>
            </w:r>
          </w:p>
        </w:tc>
        <w:tc>
          <w:tcPr>
            <w:tcW w:w="10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28,428</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13,790</w:t>
            </w:r>
          </w:p>
        </w:tc>
        <w:tc>
          <w:tcPr>
            <w:tcW w:w="130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auto"/>
              </w:rPr>
              <w:t>49,312</w:t>
            </w:r>
          </w:p>
        </w:tc>
        <w:tc>
          <w:tcPr>
            <w:tcW w:w="8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26,519</w:t>
            </w:r>
          </w:p>
        </w:tc>
        <w:tc>
          <w:tcPr>
            <w:tcW w:w="108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9,225</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214,104</w:t>
            </w:r>
          </w:p>
        </w:tc>
        <w:tc>
          <w:tcPr>
            <w:tcW w:w="0" w:type="dxa"/>
            <w:vAlign w:val="bottom"/>
          </w:tcPr>
          <w:p>
            <w:pPr>
              <w:spacing w:after="0"/>
              <w:rPr>
                <w:sz w:val="1"/>
                <w:szCs w:val="1"/>
                <w:color w:val="auto"/>
              </w:rPr>
            </w:pPr>
          </w:p>
        </w:tc>
      </w:tr>
      <w:tr>
        <w:trPr>
          <w:trHeight w:val="210"/>
        </w:trPr>
        <w:tc>
          <w:tcPr>
            <w:tcW w:w="4320" w:type="dxa"/>
            <w:vAlign w:val="bottom"/>
            <w:gridSpan w:val="2"/>
          </w:tcPr>
          <w:p>
            <w:pPr>
              <w:ind w:left="120"/>
              <w:spacing w:after="0"/>
              <w:rPr>
                <w:sz w:val="20"/>
                <w:szCs w:val="20"/>
                <w:color w:val="auto"/>
              </w:rPr>
            </w:pPr>
            <w:r>
              <w:rPr>
                <w:rFonts w:ascii="Arial" w:cs="Arial" w:eastAsia="Arial" w:hAnsi="Arial"/>
                <w:sz w:val="16"/>
                <w:szCs w:val="16"/>
                <w:color w:val="auto"/>
              </w:rPr>
              <w:t>Net capitalized costs for consolidated subsidiaries</w:t>
            </w: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58,005</w:t>
            </w:r>
          </w:p>
        </w:tc>
        <w:tc>
          <w:tcPr>
            <w:tcW w:w="10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40,786</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1,566</w:t>
            </w:r>
          </w:p>
        </w:tc>
        <w:tc>
          <w:tcPr>
            <w:tcW w:w="130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auto"/>
              </w:rPr>
              <w:t>9,825</w:t>
            </w:r>
          </w:p>
        </w:tc>
        <w:tc>
          <w:tcPr>
            <w:tcW w:w="8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23,596</w:t>
            </w:r>
          </w:p>
        </w:tc>
        <w:tc>
          <w:tcPr>
            <w:tcW w:w="108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11,168</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144,946</w:t>
            </w:r>
          </w:p>
        </w:tc>
        <w:tc>
          <w:tcPr>
            <w:tcW w:w="0" w:type="dxa"/>
            <w:vAlign w:val="bottom"/>
          </w:tcPr>
          <w:p>
            <w:pPr>
              <w:spacing w:after="0"/>
              <w:rPr>
                <w:sz w:val="1"/>
                <w:szCs w:val="1"/>
                <w:color w:val="auto"/>
              </w:rPr>
            </w:pPr>
          </w:p>
        </w:tc>
      </w:tr>
      <w:tr>
        <w:trPr>
          <w:trHeight w:val="412"/>
        </w:trPr>
        <w:tc>
          <w:tcPr>
            <w:tcW w:w="1920" w:type="dxa"/>
            <w:vAlign w:val="bottom"/>
          </w:tcPr>
          <w:p>
            <w:pPr>
              <w:ind w:left="20"/>
              <w:spacing w:after="0"/>
              <w:rPr>
                <w:sz w:val="20"/>
                <w:szCs w:val="20"/>
                <w:color w:val="auto"/>
              </w:rPr>
            </w:pPr>
            <w:r>
              <w:rPr>
                <w:rFonts w:ascii="Arial" w:cs="Arial" w:eastAsia="Arial" w:hAnsi="Arial"/>
                <w:sz w:val="16"/>
                <w:szCs w:val="16"/>
                <w:b w:val="1"/>
                <w:bCs w:val="1"/>
                <w:color w:val="auto"/>
              </w:rPr>
              <w:t>Equity Companies</w:t>
            </w:r>
          </w:p>
        </w:tc>
        <w:tc>
          <w:tcPr>
            <w:tcW w:w="2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920" w:type="dxa"/>
            <w:vAlign w:val="bottom"/>
          </w:tcPr>
          <w:p>
            <w:pPr>
              <w:ind w:left="20"/>
              <w:spacing w:after="0"/>
              <w:rPr>
                <w:sz w:val="20"/>
                <w:szCs w:val="20"/>
                <w:color w:val="auto"/>
              </w:rPr>
            </w:pPr>
            <w:r>
              <w:rPr>
                <w:rFonts w:ascii="Arial" w:cs="Arial" w:eastAsia="Arial" w:hAnsi="Arial"/>
                <w:sz w:val="16"/>
                <w:szCs w:val="16"/>
                <w:color w:val="auto"/>
              </w:rPr>
              <w:t>As of December 31, 2021</w:t>
            </w:r>
          </w:p>
        </w:tc>
        <w:tc>
          <w:tcPr>
            <w:tcW w:w="2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tcPr>
          <w:p>
            <w:pPr>
              <w:ind w:left="120"/>
              <w:spacing w:after="0"/>
              <w:rPr>
                <w:sz w:val="20"/>
                <w:szCs w:val="20"/>
                <w:color w:val="auto"/>
              </w:rPr>
            </w:pPr>
            <w:r>
              <w:rPr>
                <w:rFonts w:ascii="Arial" w:cs="Arial" w:eastAsia="Arial" w:hAnsi="Arial"/>
                <w:sz w:val="16"/>
                <w:szCs w:val="16"/>
                <w:color w:val="auto"/>
              </w:rPr>
              <w:t>Property (acreage) costs</w:t>
            </w:r>
          </w:p>
        </w:tc>
        <w:tc>
          <w:tcPr>
            <w:tcW w:w="2400" w:type="dxa"/>
            <w:vAlign w:val="bottom"/>
          </w:tcPr>
          <w:p>
            <w:pPr>
              <w:ind w:left="100"/>
              <w:spacing w:after="0"/>
              <w:rPr>
                <w:sz w:val="20"/>
                <w:szCs w:val="20"/>
                <w:color w:val="auto"/>
              </w:rPr>
            </w:pPr>
            <w:r>
              <w:rPr>
                <w:rFonts w:ascii="Arial" w:cs="Arial" w:eastAsia="Arial" w:hAnsi="Arial"/>
                <w:sz w:val="16"/>
                <w:szCs w:val="16"/>
                <w:color w:val="auto"/>
              </w:rPr>
              <w:t>– Proved</w:t>
            </w: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98</w:t>
            </w:r>
          </w:p>
        </w:tc>
        <w:tc>
          <w:tcPr>
            <w:tcW w:w="104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w:t>
            </w:r>
          </w:p>
        </w:tc>
        <w:tc>
          <w:tcPr>
            <w:tcW w:w="1300" w:type="dxa"/>
            <w:vAlign w:val="bottom"/>
          </w:tcPr>
          <w:p>
            <w:pPr>
              <w:jc w:val="right"/>
              <w:ind w:right="260"/>
              <w:spacing w:after="0"/>
              <w:rPr>
                <w:sz w:val="20"/>
                <w:szCs w:val="20"/>
                <w:color w:val="auto"/>
              </w:rPr>
            </w:pPr>
            <w:r>
              <w:rPr>
                <w:rFonts w:ascii="Arial" w:cs="Arial" w:eastAsia="Arial" w:hAnsi="Arial"/>
                <w:sz w:val="16"/>
                <w:szCs w:val="16"/>
                <w:color w:val="auto"/>
              </w:rPr>
              <w:t>309</w:t>
            </w: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411</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2400" w:type="dxa"/>
            <w:vAlign w:val="bottom"/>
          </w:tcPr>
          <w:p>
            <w:pPr>
              <w:ind w:left="100"/>
              <w:spacing w:after="0"/>
              <w:rPr>
                <w:sz w:val="20"/>
                <w:szCs w:val="20"/>
                <w:color w:val="auto"/>
              </w:rPr>
            </w:pPr>
            <w:r>
              <w:rPr>
                <w:rFonts w:ascii="Arial" w:cs="Arial" w:eastAsia="Arial" w:hAnsi="Arial"/>
                <w:sz w:val="16"/>
                <w:szCs w:val="16"/>
                <w:color w:val="auto"/>
              </w:rPr>
              <w:t>– Unproved</w:t>
            </w: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4</w:t>
            </w:r>
          </w:p>
        </w:tc>
        <w:tc>
          <w:tcPr>
            <w:tcW w:w="10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auto"/>
              </w:rPr>
              <w:t>3,111</w:t>
            </w:r>
          </w:p>
        </w:tc>
        <w:tc>
          <w:tcPr>
            <w:tcW w:w="8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3,115</w:t>
            </w:r>
          </w:p>
        </w:tc>
        <w:tc>
          <w:tcPr>
            <w:tcW w:w="0" w:type="dxa"/>
            <w:vAlign w:val="bottom"/>
          </w:tcPr>
          <w:p>
            <w:pPr>
              <w:spacing w:after="0"/>
              <w:rPr>
                <w:sz w:val="1"/>
                <w:szCs w:val="1"/>
                <w:color w:val="auto"/>
              </w:rPr>
            </w:pPr>
          </w:p>
        </w:tc>
      </w:tr>
      <w:tr>
        <w:trPr>
          <w:trHeight w:val="209"/>
        </w:trPr>
        <w:tc>
          <w:tcPr>
            <w:tcW w:w="1920" w:type="dxa"/>
            <w:vAlign w:val="bottom"/>
          </w:tcPr>
          <w:p>
            <w:pPr>
              <w:ind w:left="260"/>
              <w:spacing w:after="0"/>
              <w:rPr>
                <w:sz w:val="20"/>
                <w:szCs w:val="20"/>
                <w:color w:val="auto"/>
              </w:rPr>
            </w:pPr>
            <w:r>
              <w:rPr>
                <w:rFonts w:ascii="Arial" w:cs="Arial" w:eastAsia="Arial" w:hAnsi="Arial"/>
                <w:sz w:val="16"/>
                <w:szCs w:val="16"/>
                <w:color w:val="auto"/>
              </w:rPr>
              <w:t>Total property costs</w:t>
            </w:r>
          </w:p>
        </w:tc>
        <w:tc>
          <w:tcPr>
            <w:tcW w:w="2400" w:type="dxa"/>
            <w:vAlign w:val="bottom"/>
          </w:tcPr>
          <w:p>
            <w:pPr>
              <w:spacing w:after="0"/>
              <w:rPr>
                <w:sz w:val="18"/>
                <w:szCs w:val="18"/>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102</w:t>
            </w:r>
          </w:p>
        </w:tc>
        <w:tc>
          <w:tcPr>
            <w:tcW w:w="104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w:t>
            </w:r>
          </w:p>
        </w:tc>
        <w:tc>
          <w:tcPr>
            <w:tcW w:w="1300" w:type="dxa"/>
            <w:vAlign w:val="bottom"/>
          </w:tcPr>
          <w:p>
            <w:pPr>
              <w:jc w:val="right"/>
              <w:ind w:right="260"/>
              <w:spacing w:after="0"/>
              <w:rPr>
                <w:sz w:val="20"/>
                <w:szCs w:val="20"/>
                <w:color w:val="auto"/>
              </w:rPr>
            </w:pPr>
            <w:r>
              <w:rPr>
                <w:rFonts w:ascii="Arial" w:cs="Arial" w:eastAsia="Arial" w:hAnsi="Arial"/>
                <w:sz w:val="16"/>
                <w:szCs w:val="16"/>
                <w:color w:val="auto"/>
              </w:rPr>
              <w:t>3,420</w:t>
            </w: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3,526</w:t>
            </w:r>
          </w:p>
        </w:tc>
        <w:tc>
          <w:tcPr>
            <w:tcW w:w="0" w:type="dxa"/>
            <w:vAlign w:val="bottom"/>
          </w:tcPr>
          <w:p>
            <w:pPr>
              <w:spacing w:after="0"/>
              <w:rPr>
                <w:sz w:val="1"/>
                <w:szCs w:val="1"/>
                <w:color w:val="auto"/>
              </w:rPr>
            </w:pPr>
          </w:p>
        </w:tc>
      </w:tr>
      <w:tr>
        <w:trPr>
          <w:trHeight w:val="216"/>
        </w:trPr>
        <w:tc>
          <w:tcPr>
            <w:tcW w:w="1920" w:type="dxa"/>
            <w:vAlign w:val="bottom"/>
          </w:tcPr>
          <w:p>
            <w:pPr>
              <w:ind w:left="120"/>
              <w:spacing w:after="0"/>
              <w:rPr>
                <w:sz w:val="20"/>
                <w:szCs w:val="20"/>
                <w:color w:val="auto"/>
              </w:rPr>
            </w:pPr>
            <w:r>
              <w:rPr>
                <w:rFonts w:ascii="Arial" w:cs="Arial" w:eastAsia="Arial" w:hAnsi="Arial"/>
                <w:sz w:val="16"/>
                <w:szCs w:val="16"/>
                <w:color w:val="auto"/>
              </w:rPr>
              <w:t>Producing assets</w:t>
            </w:r>
          </w:p>
        </w:tc>
        <w:tc>
          <w:tcPr>
            <w:tcW w:w="2400" w:type="dxa"/>
            <w:vAlign w:val="bottom"/>
          </w:tcPr>
          <w:p>
            <w:pPr>
              <w:spacing w:after="0"/>
              <w:rPr>
                <w:sz w:val="18"/>
                <w:szCs w:val="18"/>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6,946</w:t>
            </w:r>
          </w:p>
        </w:tc>
        <w:tc>
          <w:tcPr>
            <w:tcW w:w="104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5,487</w:t>
            </w:r>
          </w:p>
        </w:tc>
        <w:tc>
          <w:tcPr>
            <w:tcW w:w="130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8,676</w:t>
            </w:r>
          </w:p>
        </w:tc>
        <w:tc>
          <w:tcPr>
            <w:tcW w:w="108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21,109</w:t>
            </w:r>
          </w:p>
        </w:tc>
        <w:tc>
          <w:tcPr>
            <w:tcW w:w="0" w:type="dxa"/>
            <w:vAlign w:val="bottom"/>
          </w:tcPr>
          <w:p>
            <w:pPr>
              <w:spacing w:after="0"/>
              <w:rPr>
                <w:sz w:val="1"/>
                <w:szCs w:val="1"/>
                <w:color w:val="auto"/>
              </w:rPr>
            </w:pPr>
          </w:p>
        </w:tc>
      </w:tr>
      <w:tr>
        <w:trPr>
          <w:trHeight w:val="216"/>
        </w:trPr>
        <w:tc>
          <w:tcPr>
            <w:tcW w:w="1920" w:type="dxa"/>
            <w:vAlign w:val="bottom"/>
          </w:tcPr>
          <w:p>
            <w:pPr>
              <w:ind w:left="120"/>
              <w:spacing w:after="0"/>
              <w:rPr>
                <w:sz w:val="20"/>
                <w:szCs w:val="20"/>
                <w:color w:val="auto"/>
              </w:rPr>
            </w:pPr>
            <w:r>
              <w:rPr>
                <w:rFonts w:ascii="Arial" w:cs="Arial" w:eastAsia="Arial" w:hAnsi="Arial"/>
                <w:sz w:val="16"/>
                <w:szCs w:val="16"/>
                <w:color w:val="auto"/>
              </w:rPr>
              <w:t>Incomplete construction</w:t>
            </w:r>
          </w:p>
        </w:tc>
        <w:tc>
          <w:tcPr>
            <w:tcW w:w="2400" w:type="dxa"/>
            <w:vAlign w:val="bottom"/>
          </w:tcPr>
          <w:p>
            <w:pPr>
              <w:spacing w:after="0"/>
              <w:rPr>
                <w:sz w:val="18"/>
                <w:szCs w:val="18"/>
                <w:color w:val="auto"/>
              </w:rPr>
            </w:pP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103</w:t>
            </w:r>
          </w:p>
        </w:tc>
        <w:tc>
          <w:tcPr>
            <w:tcW w:w="10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130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auto"/>
              </w:rPr>
              <w:t>809</w:t>
            </w:r>
          </w:p>
        </w:tc>
        <w:tc>
          <w:tcPr>
            <w:tcW w:w="8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11,716</w:t>
            </w:r>
          </w:p>
        </w:tc>
        <w:tc>
          <w:tcPr>
            <w:tcW w:w="108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12,651</w:t>
            </w:r>
          </w:p>
        </w:tc>
        <w:tc>
          <w:tcPr>
            <w:tcW w:w="0" w:type="dxa"/>
            <w:vAlign w:val="bottom"/>
          </w:tcPr>
          <w:p>
            <w:pPr>
              <w:spacing w:after="0"/>
              <w:rPr>
                <w:sz w:val="1"/>
                <w:szCs w:val="1"/>
                <w:color w:val="auto"/>
              </w:rPr>
            </w:pPr>
          </w:p>
        </w:tc>
      </w:tr>
      <w:tr>
        <w:trPr>
          <w:trHeight w:val="210"/>
        </w:trPr>
        <w:tc>
          <w:tcPr>
            <w:tcW w:w="1920" w:type="dxa"/>
            <w:vAlign w:val="bottom"/>
          </w:tcPr>
          <w:p>
            <w:pPr>
              <w:ind w:left="260"/>
              <w:spacing w:after="0"/>
              <w:rPr>
                <w:sz w:val="20"/>
                <w:szCs w:val="20"/>
                <w:color w:val="auto"/>
              </w:rPr>
            </w:pPr>
            <w:r>
              <w:rPr>
                <w:rFonts w:ascii="Arial" w:cs="Arial" w:eastAsia="Arial" w:hAnsi="Arial"/>
                <w:sz w:val="16"/>
                <w:szCs w:val="16"/>
                <w:color w:val="auto"/>
              </w:rPr>
              <w:t>Total capitalized costs</w:t>
            </w:r>
          </w:p>
        </w:tc>
        <w:tc>
          <w:tcPr>
            <w:tcW w:w="2400" w:type="dxa"/>
            <w:vAlign w:val="bottom"/>
          </w:tcPr>
          <w:p>
            <w:pPr>
              <w:spacing w:after="0"/>
              <w:rPr>
                <w:sz w:val="18"/>
                <w:szCs w:val="18"/>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7,151</w:t>
            </w:r>
          </w:p>
        </w:tc>
        <w:tc>
          <w:tcPr>
            <w:tcW w:w="104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5,514</w:t>
            </w:r>
          </w:p>
        </w:tc>
        <w:tc>
          <w:tcPr>
            <w:tcW w:w="1300" w:type="dxa"/>
            <w:vAlign w:val="bottom"/>
          </w:tcPr>
          <w:p>
            <w:pPr>
              <w:jc w:val="right"/>
              <w:ind w:right="260"/>
              <w:spacing w:after="0"/>
              <w:rPr>
                <w:sz w:val="20"/>
                <w:szCs w:val="20"/>
                <w:color w:val="auto"/>
              </w:rPr>
            </w:pPr>
            <w:r>
              <w:rPr>
                <w:rFonts w:ascii="Arial" w:cs="Arial" w:eastAsia="Arial" w:hAnsi="Arial"/>
                <w:sz w:val="16"/>
                <w:szCs w:val="16"/>
                <w:color w:val="auto"/>
              </w:rPr>
              <w:t>4,229</w:t>
            </w: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20,392</w:t>
            </w:r>
          </w:p>
        </w:tc>
        <w:tc>
          <w:tcPr>
            <w:tcW w:w="108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37,286</w:t>
            </w:r>
          </w:p>
        </w:tc>
        <w:tc>
          <w:tcPr>
            <w:tcW w:w="0" w:type="dxa"/>
            <w:vAlign w:val="bottom"/>
          </w:tcPr>
          <w:p>
            <w:pPr>
              <w:spacing w:after="0"/>
              <w:rPr>
                <w:sz w:val="1"/>
                <w:szCs w:val="1"/>
                <w:color w:val="auto"/>
              </w:rPr>
            </w:pPr>
          </w:p>
        </w:tc>
      </w:tr>
      <w:tr>
        <w:trPr>
          <w:trHeight w:val="216"/>
        </w:trPr>
        <w:tc>
          <w:tcPr>
            <w:tcW w:w="4320" w:type="dxa"/>
            <w:vAlign w:val="bottom"/>
            <w:gridSpan w:val="2"/>
          </w:tcPr>
          <w:p>
            <w:pPr>
              <w:ind w:left="120"/>
              <w:spacing w:after="0"/>
              <w:rPr>
                <w:sz w:val="20"/>
                <w:szCs w:val="20"/>
                <w:color w:val="auto"/>
              </w:rPr>
            </w:pPr>
            <w:r>
              <w:rPr>
                <w:rFonts w:ascii="Arial" w:cs="Arial" w:eastAsia="Arial" w:hAnsi="Arial"/>
                <w:sz w:val="16"/>
                <w:szCs w:val="16"/>
                <w:color w:val="auto"/>
              </w:rPr>
              <w:t>Accumulated depreciation and depletion</w:t>
            </w: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4,304</w:t>
            </w:r>
          </w:p>
        </w:tc>
        <w:tc>
          <w:tcPr>
            <w:tcW w:w="10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5,162</w:t>
            </w:r>
          </w:p>
        </w:tc>
        <w:tc>
          <w:tcPr>
            <w:tcW w:w="130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6,590</w:t>
            </w:r>
          </w:p>
        </w:tc>
        <w:tc>
          <w:tcPr>
            <w:tcW w:w="108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16,056</w:t>
            </w:r>
          </w:p>
        </w:tc>
        <w:tc>
          <w:tcPr>
            <w:tcW w:w="0" w:type="dxa"/>
            <w:vAlign w:val="bottom"/>
          </w:tcPr>
          <w:p>
            <w:pPr>
              <w:spacing w:after="0"/>
              <w:rPr>
                <w:sz w:val="1"/>
                <w:szCs w:val="1"/>
                <w:color w:val="auto"/>
              </w:rPr>
            </w:pPr>
          </w:p>
        </w:tc>
      </w:tr>
      <w:tr>
        <w:trPr>
          <w:trHeight w:val="210"/>
        </w:trPr>
        <w:tc>
          <w:tcPr>
            <w:tcW w:w="4320" w:type="dxa"/>
            <w:vAlign w:val="bottom"/>
            <w:gridSpan w:val="2"/>
          </w:tcPr>
          <w:p>
            <w:pPr>
              <w:ind w:left="120"/>
              <w:spacing w:after="0"/>
              <w:rPr>
                <w:sz w:val="20"/>
                <w:szCs w:val="20"/>
                <w:color w:val="auto"/>
              </w:rPr>
            </w:pPr>
            <w:r>
              <w:rPr>
                <w:rFonts w:ascii="Arial" w:cs="Arial" w:eastAsia="Arial" w:hAnsi="Arial"/>
                <w:sz w:val="16"/>
                <w:szCs w:val="16"/>
                <w:color w:val="auto"/>
              </w:rPr>
              <w:t>Net capitalized costs for equity companies</w:t>
            </w: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2,847</w:t>
            </w:r>
          </w:p>
        </w:tc>
        <w:tc>
          <w:tcPr>
            <w:tcW w:w="10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352</w:t>
            </w:r>
          </w:p>
        </w:tc>
        <w:tc>
          <w:tcPr>
            <w:tcW w:w="130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auto"/>
              </w:rPr>
              <w:t>4,229</w:t>
            </w:r>
          </w:p>
        </w:tc>
        <w:tc>
          <w:tcPr>
            <w:tcW w:w="8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13,802</w:t>
            </w:r>
          </w:p>
        </w:tc>
        <w:tc>
          <w:tcPr>
            <w:tcW w:w="108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21,230</w:t>
            </w:r>
          </w:p>
        </w:tc>
        <w:tc>
          <w:tcPr>
            <w:tcW w:w="0" w:type="dxa"/>
            <w:vAlign w:val="bottom"/>
          </w:tcPr>
          <w:p>
            <w:pPr>
              <w:spacing w:after="0"/>
              <w:rPr>
                <w:sz w:val="1"/>
                <w:szCs w:val="1"/>
                <w:color w:val="auto"/>
              </w:rPr>
            </w:pPr>
          </w:p>
        </w:tc>
      </w:tr>
      <w:tr>
        <w:trPr>
          <w:trHeight w:val="412"/>
        </w:trPr>
        <w:tc>
          <w:tcPr>
            <w:tcW w:w="1920" w:type="dxa"/>
            <w:vAlign w:val="bottom"/>
          </w:tcPr>
          <w:p>
            <w:pPr>
              <w:ind w:left="20"/>
              <w:spacing w:after="0"/>
              <w:rPr>
                <w:sz w:val="20"/>
                <w:szCs w:val="20"/>
                <w:color w:val="auto"/>
              </w:rPr>
            </w:pPr>
            <w:r>
              <w:rPr>
                <w:rFonts w:ascii="Arial" w:cs="Arial" w:eastAsia="Arial" w:hAnsi="Arial"/>
                <w:sz w:val="16"/>
                <w:szCs w:val="16"/>
                <w:b w:val="1"/>
                <w:bCs w:val="1"/>
                <w:color w:val="auto"/>
                <w:w w:val="93"/>
              </w:rPr>
              <w:t>Consolidated Subsidiaries</w:t>
            </w:r>
          </w:p>
        </w:tc>
        <w:tc>
          <w:tcPr>
            <w:tcW w:w="2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920" w:type="dxa"/>
            <w:vAlign w:val="bottom"/>
          </w:tcPr>
          <w:p>
            <w:pPr>
              <w:ind w:left="20"/>
              <w:spacing w:after="0"/>
              <w:rPr>
                <w:sz w:val="20"/>
                <w:szCs w:val="20"/>
                <w:color w:val="auto"/>
              </w:rPr>
            </w:pPr>
            <w:r>
              <w:rPr>
                <w:rFonts w:ascii="Arial" w:cs="Arial" w:eastAsia="Arial" w:hAnsi="Arial"/>
                <w:sz w:val="16"/>
                <w:szCs w:val="16"/>
                <w:color w:val="auto"/>
              </w:rPr>
              <w:t>As of December 31, 2020</w:t>
            </w:r>
          </w:p>
        </w:tc>
        <w:tc>
          <w:tcPr>
            <w:tcW w:w="2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tcPr>
          <w:p>
            <w:pPr>
              <w:ind w:left="120"/>
              <w:spacing w:after="0"/>
              <w:rPr>
                <w:sz w:val="20"/>
                <w:szCs w:val="20"/>
                <w:color w:val="auto"/>
              </w:rPr>
            </w:pPr>
            <w:r>
              <w:rPr>
                <w:rFonts w:ascii="Arial" w:cs="Arial" w:eastAsia="Arial" w:hAnsi="Arial"/>
                <w:sz w:val="16"/>
                <w:szCs w:val="16"/>
                <w:color w:val="auto"/>
              </w:rPr>
              <w:t>Property (acreage) costs</w:t>
            </w:r>
          </w:p>
        </w:tc>
        <w:tc>
          <w:tcPr>
            <w:tcW w:w="2400" w:type="dxa"/>
            <w:vAlign w:val="bottom"/>
          </w:tcPr>
          <w:p>
            <w:pPr>
              <w:ind w:left="100"/>
              <w:spacing w:after="0"/>
              <w:rPr>
                <w:sz w:val="20"/>
                <w:szCs w:val="20"/>
                <w:color w:val="auto"/>
              </w:rPr>
            </w:pPr>
            <w:r>
              <w:rPr>
                <w:rFonts w:ascii="Arial" w:cs="Arial" w:eastAsia="Arial" w:hAnsi="Arial"/>
                <w:sz w:val="16"/>
                <w:szCs w:val="16"/>
                <w:color w:val="auto"/>
              </w:rPr>
              <w:t>– Proved</w:t>
            </w: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18,059</w:t>
            </w:r>
          </w:p>
        </w:tc>
        <w:tc>
          <w:tcPr>
            <w:tcW w:w="1040" w:type="dxa"/>
            <w:vAlign w:val="bottom"/>
          </w:tcPr>
          <w:p>
            <w:pPr>
              <w:jc w:val="right"/>
              <w:ind w:right="120"/>
              <w:spacing w:after="0"/>
              <w:rPr>
                <w:sz w:val="20"/>
                <w:szCs w:val="20"/>
                <w:color w:val="auto"/>
              </w:rPr>
            </w:pPr>
            <w:r>
              <w:rPr>
                <w:rFonts w:ascii="Arial" w:cs="Arial" w:eastAsia="Arial" w:hAnsi="Arial"/>
                <w:sz w:val="16"/>
                <w:szCs w:val="16"/>
                <w:color w:val="auto"/>
              </w:rPr>
              <w:t>2,151</w:t>
            </w:r>
          </w:p>
        </w:tc>
        <w:tc>
          <w:tcPr>
            <w:tcW w:w="820" w:type="dxa"/>
            <w:vAlign w:val="bottom"/>
          </w:tcPr>
          <w:p>
            <w:pPr>
              <w:jc w:val="right"/>
              <w:spacing w:after="0"/>
              <w:rPr>
                <w:sz w:val="20"/>
                <w:szCs w:val="20"/>
                <w:color w:val="auto"/>
              </w:rPr>
            </w:pPr>
            <w:r>
              <w:rPr>
                <w:rFonts w:ascii="Arial" w:cs="Arial" w:eastAsia="Arial" w:hAnsi="Arial"/>
                <w:sz w:val="16"/>
                <w:szCs w:val="16"/>
                <w:color w:val="auto"/>
              </w:rPr>
              <w:t>51</w:t>
            </w:r>
          </w:p>
        </w:tc>
        <w:tc>
          <w:tcPr>
            <w:tcW w:w="1300" w:type="dxa"/>
            <w:vAlign w:val="bottom"/>
          </w:tcPr>
          <w:p>
            <w:pPr>
              <w:jc w:val="right"/>
              <w:ind w:right="260"/>
              <w:spacing w:after="0"/>
              <w:rPr>
                <w:sz w:val="20"/>
                <w:szCs w:val="20"/>
                <w:color w:val="auto"/>
              </w:rPr>
            </w:pPr>
            <w:r>
              <w:rPr>
                <w:rFonts w:ascii="Arial" w:cs="Arial" w:eastAsia="Arial" w:hAnsi="Arial"/>
                <w:sz w:val="16"/>
                <w:szCs w:val="16"/>
                <w:color w:val="auto"/>
              </w:rPr>
              <w:t>1,332</w:t>
            </w: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2,979</w:t>
            </w:r>
          </w:p>
        </w:tc>
        <w:tc>
          <w:tcPr>
            <w:tcW w:w="1080" w:type="dxa"/>
            <w:vAlign w:val="bottom"/>
          </w:tcPr>
          <w:p>
            <w:pPr>
              <w:jc w:val="right"/>
              <w:ind w:right="160"/>
              <w:spacing w:after="0"/>
              <w:rPr>
                <w:sz w:val="20"/>
                <w:szCs w:val="20"/>
                <w:color w:val="auto"/>
              </w:rPr>
            </w:pPr>
            <w:r>
              <w:rPr>
                <w:rFonts w:ascii="Arial" w:cs="Arial" w:eastAsia="Arial" w:hAnsi="Arial"/>
                <w:sz w:val="16"/>
                <w:szCs w:val="16"/>
                <w:color w:val="auto"/>
              </w:rPr>
              <w:t>771</w:t>
            </w:r>
          </w:p>
        </w:tc>
        <w:tc>
          <w:tcPr>
            <w:tcW w:w="820" w:type="dxa"/>
            <w:vAlign w:val="bottom"/>
          </w:tcPr>
          <w:p>
            <w:pPr>
              <w:jc w:val="right"/>
              <w:spacing w:after="0"/>
              <w:rPr>
                <w:sz w:val="20"/>
                <w:szCs w:val="20"/>
                <w:color w:val="auto"/>
              </w:rPr>
            </w:pPr>
            <w:r>
              <w:rPr>
                <w:rFonts w:ascii="Arial" w:cs="Arial" w:eastAsia="Arial" w:hAnsi="Arial"/>
                <w:sz w:val="16"/>
                <w:szCs w:val="16"/>
                <w:color w:val="auto"/>
              </w:rPr>
              <w:t>25,343</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2400" w:type="dxa"/>
            <w:vAlign w:val="bottom"/>
          </w:tcPr>
          <w:p>
            <w:pPr>
              <w:ind w:left="100"/>
              <w:spacing w:after="0"/>
              <w:rPr>
                <w:sz w:val="20"/>
                <w:szCs w:val="20"/>
                <w:color w:val="auto"/>
              </w:rPr>
            </w:pPr>
            <w:r>
              <w:rPr>
                <w:rFonts w:ascii="Arial" w:cs="Arial" w:eastAsia="Arial" w:hAnsi="Arial"/>
                <w:sz w:val="16"/>
                <w:szCs w:val="16"/>
                <w:color w:val="auto"/>
              </w:rPr>
              <w:t>– Unproved</w:t>
            </w: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23,255</w:t>
            </w:r>
          </w:p>
        </w:tc>
        <w:tc>
          <w:tcPr>
            <w:tcW w:w="10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7,352</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130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auto"/>
              </w:rPr>
              <w:t>213</w:t>
            </w:r>
          </w:p>
        </w:tc>
        <w:tc>
          <w:tcPr>
            <w:tcW w:w="8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181</w:t>
            </w:r>
          </w:p>
        </w:tc>
        <w:tc>
          <w:tcPr>
            <w:tcW w:w="108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2,642</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33,680</w:t>
            </w:r>
          </w:p>
        </w:tc>
        <w:tc>
          <w:tcPr>
            <w:tcW w:w="0" w:type="dxa"/>
            <w:vAlign w:val="bottom"/>
          </w:tcPr>
          <w:p>
            <w:pPr>
              <w:spacing w:after="0"/>
              <w:rPr>
                <w:sz w:val="1"/>
                <w:szCs w:val="1"/>
                <w:color w:val="auto"/>
              </w:rPr>
            </w:pPr>
          </w:p>
        </w:tc>
      </w:tr>
      <w:tr>
        <w:trPr>
          <w:trHeight w:val="209"/>
        </w:trPr>
        <w:tc>
          <w:tcPr>
            <w:tcW w:w="1920" w:type="dxa"/>
            <w:vAlign w:val="bottom"/>
          </w:tcPr>
          <w:p>
            <w:pPr>
              <w:ind w:left="260"/>
              <w:spacing w:after="0"/>
              <w:rPr>
                <w:sz w:val="20"/>
                <w:szCs w:val="20"/>
                <w:color w:val="auto"/>
              </w:rPr>
            </w:pPr>
            <w:r>
              <w:rPr>
                <w:rFonts w:ascii="Arial" w:cs="Arial" w:eastAsia="Arial" w:hAnsi="Arial"/>
                <w:sz w:val="16"/>
                <w:szCs w:val="16"/>
                <w:color w:val="auto"/>
              </w:rPr>
              <w:t>Total property costs</w:t>
            </w:r>
          </w:p>
        </w:tc>
        <w:tc>
          <w:tcPr>
            <w:tcW w:w="2400" w:type="dxa"/>
            <w:vAlign w:val="bottom"/>
          </w:tcPr>
          <w:p>
            <w:pPr>
              <w:spacing w:after="0"/>
              <w:rPr>
                <w:sz w:val="18"/>
                <w:szCs w:val="18"/>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41,314</w:t>
            </w:r>
          </w:p>
        </w:tc>
        <w:tc>
          <w:tcPr>
            <w:tcW w:w="1040" w:type="dxa"/>
            <w:vAlign w:val="bottom"/>
          </w:tcPr>
          <w:p>
            <w:pPr>
              <w:jc w:val="right"/>
              <w:ind w:right="120"/>
              <w:spacing w:after="0"/>
              <w:rPr>
                <w:sz w:val="20"/>
                <w:szCs w:val="20"/>
                <w:color w:val="auto"/>
              </w:rPr>
            </w:pPr>
            <w:r>
              <w:rPr>
                <w:rFonts w:ascii="Arial" w:cs="Arial" w:eastAsia="Arial" w:hAnsi="Arial"/>
                <w:sz w:val="16"/>
                <w:szCs w:val="16"/>
                <w:color w:val="auto"/>
              </w:rPr>
              <w:t>9,503</w:t>
            </w:r>
          </w:p>
        </w:tc>
        <w:tc>
          <w:tcPr>
            <w:tcW w:w="820" w:type="dxa"/>
            <w:vAlign w:val="bottom"/>
          </w:tcPr>
          <w:p>
            <w:pPr>
              <w:jc w:val="right"/>
              <w:spacing w:after="0"/>
              <w:rPr>
                <w:sz w:val="20"/>
                <w:szCs w:val="20"/>
                <w:color w:val="auto"/>
              </w:rPr>
            </w:pPr>
            <w:r>
              <w:rPr>
                <w:rFonts w:ascii="Arial" w:cs="Arial" w:eastAsia="Arial" w:hAnsi="Arial"/>
                <w:sz w:val="16"/>
                <w:szCs w:val="16"/>
                <w:color w:val="auto"/>
              </w:rPr>
              <w:t>88</w:t>
            </w:r>
          </w:p>
        </w:tc>
        <w:tc>
          <w:tcPr>
            <w:tcW w:w="1300" w:type="dxa"/>
            <w:vAlign w:val="bottom"/>
          </w:tcPr>
          <w:p>
            <w:pPr>
              <w:jc w:val="right"/>
              <w:ind w:right="260"/>
              <w:spacing w:after="0"/>
              <w:rPr>
                <w:sz w:val="20"/>
                <w:szCs w:val="20"/>
                <w:color w:val="auto"/>
              </w:rPr>
            </w:pPr>
            <w:r>
              <w:rPr>
                <w:rFonts w:ascii="Arial" w:cs="Arial" w:eastAsia="Arial" w:hAnsi="Arial"/>
                <w:sz w:val="16"/>
                <w:szCs w:val="16"/>
                <w:color w:val="auto"/>
              </w:rPr>
              <w:t>1,545</w:t>
            </w: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3,160</w:t>
            </w:r>
          </w:p>
        </w:tc>
        <w:tc>
          <w:tcPr>
            <w:tcW w:w="1080" w:type="dxa"/>
            <w:vAlign w:val="bottom"/>
          </w:tcPr>
          <w:p>
            <w:pPr>
              <w:jc w:val="right"/>
              <w:ind w:right="160"/>
              <w:spacing w:after="0"/>
              <w:rPr>
                <w:sz w:val="20"/>
                <w:szCs w:val="20"/>
                <w:color w:val="auto"/>
              </w:rPr>
            </w:pPr>
            <w:r>
              <w:rPr>
                <w:rFonts w:ascii="Arial" w:cs="Arial" w:eastAsia="Arial" w:hAnsi="Arial"/>
                <w:sz w:val="16"/>
                <w:szCs w:val="16"/>
                <w:color w:val="auto"/>
              </w:rPr>
              <w:t>3,413</w:t>
            </w:r>
          </w:p>
        </w:tc>
        <w:tc>
          <w:tcPr>
            <w:tcW w:w="820" w:type="dxa"/>
            <w:vAlign w:val="bottom"/>
          </w:tcPr>
          <w:p>
            <w:pPr>
              <w:jc w:val="right"/>
              <w:spacing w:after="0"/>
              <w:rPr>
                <w:sz w:val="20"/>
                <w:szCs w:val="20"/>
                <w:color w:val="auto"/>
              </w:rPr>
            </w:pPr>
            <w:r>
              <w:rPr>
                <w:rFonts w:ascii="Arial" w:cs="Arial" w:eastAsia="Arial" w:hAnsi="Arial"/>
                <w:sz w:val="16"/>
                <w:szCs w:val="16"/>
                <w:color w:val="auto"/>
              </w:rPr>
              <w:t>59,023</w:t>
            </w:r>
          </w:p>
        </w:tc>
        <w:tc>
          <w:tcPr>
            <w:tcW w:w="0" w:type="dxa"/>
            <w:vAlign w:val="bottom"/>
          </w:tcPr>
          <w:p>
            <w:pPr>
              <w:spacing w:after="0"/>
              <w:rPr>
                <w:sz w:val="1"/>
                <w:szCs w:val="1"/>
                <w:color w:val="auto"/>
              </w:rPr>
            </w:pPr>
          </w:p>
        </w:tc>
      </w:tr>
      <w:tr>
        <w:trPr>
          <w:trHeight w:val="216"/>
        </w:trPr>
        <w:tc>
          <w:tcPr>
            <w:tcW w:w="1920" w:type="dxa"/>
            <w:vAlign w:val="bottom"/>
          </w:tcPr>
          <w:p>
            <w:pPr>
              <w:ind w:left="120"/>
              <w:spacing w:after="0"/>
              <w:rPr>
                <w:sz w:val="20"/>
                <w:szCs w:val="20"/>
                <w:color w:val="auto"/>
              </w:rPr>
            </w:pPr>
            <w:r>
              <w:rPr>
                <w:rFonts w:ascii="Arial" w:cs="Arial" w:eastAsia="Arial" w:hAnsi="Arial"/>
                <w:sz w:val="16"/>
                <w:szCs w:val="16"/>
                <w:color w:val="auto"/>
              </w:rPr>
              <w:t>Producing assets</w:t>
            </w:r>
          </w:p>
        </w:tc>
        <w:tc>
          <w:tcPr>
            <w:tcW w:w="2400" w:type="dxa"/>
            <w:vAlign w:val="bottom"/>
          </w:tcPr>
          <w:p>
            <w:pPr>
              <w:spacing w:after="0"/>
              <w:rPr>
                <w:sz w:val="18"/>
                <w:szCs w:val="18"/>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104,650</w:t>
            </w:r>
          </w:p>
        </w:tc>
        <w:tc>
          <w:tcPr>
            <w:tcW w:w="1040" w:type="dxa"/>
            <w:vAlign w:val="bottom"/>
          </w:tcPr>
          <w:p>
            <w:pPr>
              <w:jc w:val="right"/>
              <w:ind w:right="120"/>
              <w:spacing w:after="0"/>
              <w:rPr>
                <w:sz w:val="20"/>
                <w:szCs w:val="20"/>
                <w:color w:val="auto"/>
              </w:rPr>
            </w:pPr>
            <w:r>
              <w:rPr>
                <w:rFonts w:ascii="Arial" w:cs="Arial" w:eastAsia="Arial" w:hAnsi="Arial"/>
                <w:sz w:val="16"/>
                <w:szCs w:val="16"/>
                <w:color w:val="auto"/>
              </w:rPr>
              <w:t>52,552</w:t>
            </w:r>
          </w:p>
        </w:tc>
        <w:tc>
          <w:tcPr>
            <w:tcW w:w="820" w:type="dxa"/>
            <w:vAlign w:val="bottom"/>
          </w:tcPr>
          <w:p>
            <w:pPr>
              <w:jc w:val="right"/>
              <w:spacing w:after="0"/>
              <w:rPr>
                <w:sz w:val="20"/>
                <w:szCs w:val="20"/>
                <w:color w:val="auto"/>
              </w:rPr>
            </w:pPr>
            <w:r>
              <w:rPr>
                <w:rFonts w:ascii="Arial" w:cs="Arial" w:eastAsia="Arial" w:hAnsi="Arial"/>
                <w:sz w:val="16"/>
                <w:szCs w:val="16"/>
                <w:color w:val="auto"/>
              </w:rPr>
              <w:t>20,286</w:t>
            </w:r>
          </w:p>
        </w:tc>
        <w:tc>
          <w:tcPr>
            <w:tcW w:w="1300" w:type="dxa"/>
            <w:vAlign w:val="bottom"/>
          </w:tcPr>
          <w:p>
            <w:pPr>
              <w:jc w:val="right"/>
              <w:ind w:right="260"/>
              <w:spacing w:after="0"/>
              <w:rPr>
                <w:sz w:val="20"/>
                <w:szCs w:val="20"/>
                <w:color w:val="auto"/>
              </w:rPr>
            </w:pPr>
            <w:r>
              <w:rPr>
                <w:rFonts w:ascii="Arial" w:cs="Arial" w:eastAsia="Arial" w:hAnsi="Arial"/>
                <w:sz w:val="16"/>
                <w:szCs w:val="16"/>
                <w:color w:val="auto"/>
              </w:rPr>
              <w:t>55,556</w:t>
            </w: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43,394</w:t>
            </w:r>
          </w:p>
        </w:tc>
        <w:tc>
          <w:tcPr>
            <w:tcW w:w="1080" w:type="dxa"/>
            <w:vAlign w:val="bottom"/>
          </w:tcPr>
          <w:p>
            <w:pPr>
              <w:jc w:val="right"/>
              <w:ind w:right="160"/>
              <w:spacing w:after="0"/>
              <w:rPr>
                <w:sz w:val="20"/>
                <w:szCs w:val="20"/>
                <w:color w:val="auto"/>
              </w:rPr>
            </w:pPr>
            <w:r>
              <w:rPr>
                <w:rFonts w:ascii="Arial" w:cs="Arial" w:eastAsia="Arial" w:hAnsi="Arial"/>
                <w:sz w:val="16"/>
                <w:szCs w:val="16"/>
                <w:color w:val="auto"/>
              </w:rPr>
              <w:t>15,348</w:t>
            </w:r>
          </w:p>
        </w:tc>
        <w:tc>
          <w:tcPr>
            <w:tcW w:w="820" w:type="dxa"/>
            <w:vAlign w:val="bottom"/>
          </w:tcPr>
          <w:p>
            <w:pPr>
              <w:jc w:val="right"/>
              <w:spacing w:after="0"/>
              <w:rPr>
                <w:sz w:val="20"/>
                <w:szCs w:val="20"/>
                <w:color w:val="auto"/>
              </w:rPr>
            </w:pPr>
            <w:r>
              <w:rPr>
                <w:rFonts w:ascii="Arial" w:cs="Arial" w:eastAsia="Arial" w:hAnsi="Arial"/>
                <w:sz w:val="16"/>
                <w:szCs w:val="16"/>
                <w:color w:val="auto"/>
              </w:rPr>
              <w:t>291,786</w:t>
            </w:r>
          </w:p>
        </w:tc>
        <w:tc>
          <w:tcPr>
            <w:tcW w:w="0" w:type="dxa"/>
            <w:vAlign w:val="bottom"/>
          </w:tcPr>
          <w:p>
            <w:pPr>
              <w:spacing w:after="0"/>
              <w:rPr>
                <w:sz w:val="1"/>
                <w:szCs w:val="1"/>
                <w:color w:val="auto"/>
              </w:rPr>
            </w:pPr>
          </w:p>
        </w:tc>
      </w:tr>
      <w:tr>
        <w:trPr>
          <w:trHeight w:val="216"/>
        </w:trPr>
        <w:tc>
          <w:tcPr>
            <w:tcW w:w="1920" w:type="dxa"/>
            <w:vAlign w:val="bottom"/>
          </w:tcPr>
          <w:p>
            <w:pPr>
              <w:ind w:left="120"/>
              <w:spacing w:after="0"/>
              <w:rPr>
                <w:sz w:val="20"/>
                <w:szCs w:val="20"/>
                <w:color w:val="auto"/>
              </w:rPr>
            </w:pPr>
            <w:r>
              <w:rPr>
                <w:rFonts w:ascii="Arial" w:cs="Arial" w:eastAsia="Arial" w:hAnsi="Arial"/>
                <w:sz w:val="16"/>
                <w:szCs w:val="16"/>
                <w:color w:val="auto"/>
              </w:rPr>
              <w:t>Incomplete construction</w:t>
            </w:r>
          </w:p>
        </w:tc>
        <w:tc>
          <w:tcPr>
            <w:tcW w:w="2400" w:type="dxa"/>
            <w:vAlign w:val="bottom"/>
          </w:tcPr>
          <w:p>
            <w:pPr>
              <w:spacing w:after="0"/>
              <w:rPr>
                <w:sz w:val="18"/>
                <w:szCs w:val="18"/>
                <w:color w:val="auto"/>
              </w:rPr>
            </w:pP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5,549</w:t>
            </w:r>
          </w:p>
        </w:tc>
        <w:tc>
          <w:tcPr>
            <w:tcW w:w="10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4,590</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1,446</w:t>
            </w:r>
          </w:p>
        </w:tc>
        <w:tc>
          <w:tcPr>
            <w:tcW w:w="130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auto"/>
              </w:rPr>
              <w:t>1,975</w:t>
            </w:r>
          </w:p>
        </w:tc>
        <w:tc>
          <w:tcPr>
            <w:tcW w:w="8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3,050</w:t>
            </w:r>
          </w:p>
        </w:tc>
        <w:tc>
          <w:tcPr>
            <w:tcW w:w="108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1,972</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18,582</w:t>
            </w:r>
          </w:p>
        </w:tc>
        <w:tc>
          <w:tcPr>
            <w:tcW w:w="0" w:type="dxa"/>
            <w:vAlign w:val="bottom"/>
          </w:tcPr>
          <w:p>
            <w:pPr>
              <w:spacing w:after="0"/>
              <w:rPr>
                <w:sz w:val="1"/>
                <w:szCs w:val="1"/>
                <w:color w:val="auto"/>
              </w:rPr>
            </w:pPr>
          </w:p>
        </w:tc>
      </w:tr>
      <w:tr>
        <w:trPr>
          <w:trHeight w:val="210"/>
        </w:trPr>
        <w:tc>
          <w:tcPr>
            <w:tcW w:w="1920" w:type="dxa"/>
            <w:vAlign w:val="bottom"/>
          </w:tcPr>
          <w:p>
            <w:pPr>
              <w:ind w:left="260"/>
              <w:spacing w:after="0"/>
              <w:rPr>
                <w:sz w:val="20"/>
                <w:szCs w:val="20"/>
                <w:color w:val="auto"/>
              </w:rPr>
            </w:pPr>
            <w:r>
              <w:rPr>
                <w:rFonts w:ascii="Arial" w:cs="Arial" w:eastAsia="Arial" w:hAnsi="Arial"/>
                <w:sz w:val="16"/>
                <w:szCs w:val="16"/>
                <w:color w:val="auto"/>
              </w:rPr>
              <w:t>Total capitalized costs</w:t>
            </w:r>
          </w:p>
        </w:tc>
        <w:tc>
          <w:tcPr>
            <w:tcW w:w="2400" w:type="dxa"/>
            <w:vAlign w:val="bottom"/>
          </w:tcPr>
          <w:p>
            <w:pPr>
              <w:spacing w:after="0"/>
              <w:rPr>
                <w:sz w:val="18"/>
                <w:szCs w:val="18"/>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151,513</w:t>
            </w:r>
          </w:p>
        </w:tc>
        <w:tc>
          <w:tcPr>
            <w:tcW w:w="1040" w:type="dxa"/>
            <w:vAlign w:val="bottom"/>
          </w:tcPr>
          <w:p>
            <w:pPr>
              <w:jc w:val="right"/>
              <w:ind w:right="120"/>
              <w:spacing w:after="0"/>
              <w:rPr>
                <w:sz w:val="20"/>
                <w:szCs w:val="20"/>
                <w:color w:val="auto"/>
              </w:rPr>
            </w:pPr>
            <w:r>
              <w:rPr>
                <w:rFonts w:ascii="Arial" w:cs="Arial" w:eastAsia="Arial" w:hAnsi="Arial"/>
                <w:sz w:val="16"/>
                <w:szCs w:val="16"/>
                <w:color w:val="auto"/>
              </w:rPr>
              <w:t>66,645</w:t>
            </w:r>
          </w:p>
        </w:tc>
        <w:tc>
          <w:tcPr>
            <w:tcW w:w="820" w:type="dxa"/>
            <w:vAlign w:val="bottom"/>
          </w:tcPr>
          <w:p>
            <w:pPr>
              <w:jc w:val="right"/>
              <w:spacing w:after="0"/>
              <w:rPr>
                <w:sz w:val="20"/>
                <w:szCs w:val="20"/>
                <w:color w:val="auto"/>
              </w:rPr>
            </w:pPr>
            <w:r>
              <w:rPr>
                <w:rFonts w:ascii="Arial" w:cs="Arial" w:eastAsia="Arial" w:hAnsi="Arial"/>
                <w:sz w:val="16"/>
                <w:szCs w:val="16"/>
                <w:color w:val="auto"/>
              </w:rPr>
              <w:t>21,820</w:t>
            </w:r>
          </w:p>
        </w:tc>
        <w:tc>
          <w:tcPr>
            <w:tcW w:w="1300" w:type="dxa"/>
            <w:vAlign w:val="bottom"/>
          </w:tcPr>
          <w:p>
            <w:pPr>
              <w:jc w:val="right"/>
              <w:ind w:right="260"/>
              <w:spacing w:after="0"/>
              <w:rPr>
                <w:sz w:val="20"/>
                <w:szCs w:val="20"/>
                <w:color w:val="auto"/>
              </w:rPr>
            </w:pPr>
            <w:r>
              <w:rPr>
                <w:rFonts w:ascii="Arial" w:cs="Arial" w:eastAsia="Arial" w:hAnsi="Arial"/>
                <w:sz w:val="16"/>
                <w:szCs w:val="16"/>
                <w:color w:val="auto"/>
              </w:rPr>
              <w:t>59,076</w:t>
            </w: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49,604</w:t>
            </w:r>
          </w:p>
        </w:tc>
        <w:tc>
          <w:tcPr>
            <w:tcW w:w="1080" w:type="dxa"/>
            <w:vAlign w:val="bottom"/>
          </w:tcPr>
          <w:p>
            <w:pPr>
              <w:jc w:val="right"/>
              <w:ind w:right="160"/>
              <w:spacing w:after="0"/>
              <w:rPr>
                <w:sz w:val="20"/>
                <w:szCs w:val="20"/>
                <w:color w:val="auto"/>
              </w:rPr>
            </w:pPr>
            <w:r>
              <w:rPr>
                <w:rFonts w:ascii="Arial" w:cs="Arial" w:eastAsia="Arial" w:hAnsi="Arial"/>
                <w:sz w:val="16"/>
                <w:szCs w:val="16"/>
                <w:color w:val="auto"/>
              </w:rPr>
              <w:t>20,733</w:t>
            </w:r>
          </w:p>
        </w:tc>
        <w:tc>
          <w:tcPr>
            <w:tcW w:w="820" w:type="dxa"/>
            <w:vAlign w:val="bottom"/>
          </w:tcPr>
          <w:p>
            <w:pPr>
              <w:jc w:val="right"/>
              <w:spacing w:after="0"/>
              <w:rPr>
                <w:sz w:val="20"/>
                <w:szCs w:val="20"/>
                <w:color w:val="auto"/>
              </w:rPr>
            </w:pPr>
            <w:r>
              <w:rPr>
                <w:rFonts w:ascii="Arial" w:cs="Arial" w:eastAsia="Arial" w:hAnsi="Arial"/>
                <w:sz w:val="16"/>
                <w:szCs w:val="16"/>
                <w:color w:val="auto"/>
              </w:rPr>
              <w:t>369,391</w:t>
            </w:r>
          </w:p>
        </w:tc>
        <w:tc>
          <w:tcPr>
            <w:tcW w:w="0" w:type="dxa"/>
            <w:vAlign w:val="bottom"/>
          </w:tcPr>
          <w:p>
            <w:pPr>
              <w:spacing w:after="0"/>
              <w:rPr>
                <w:sz w:val="1"/>
                <w:szCs w:val="1"/>
                <w:color w:val="auto"/>
              </w:rPr>
            </w:pPr>
          </w:p>
        </w:tc>
      </w:tr>
      <w:tr>
        <w:trPr>
          <w:trHeight w:val="216"/>
        </w:trPr>
        <w:tc>
          <w:tcPr>
            <w:tcW w:w="4320" w:type="dxa"/>
            <w:vAlign w:val="bottom"/>
            <w:gridSpan w:val="2"/>
          </w:tcPr>
          <w:p>
            <w:pPr>
              <w:ind w:left="120"/>
              <w:spacing w:after="0"/>
              <w:rPr>
                <w:sz w:val="20"/>
                <w:szCs w:val="20"/>
                <w:color w:val="auto"/>
              </w:rPr>
            </w:pPr>
            <w:r>
              <w:rPr>
                <w:rFonts w:ascii="Arial" w:cs="Arial" w:eastAsia="Arial" w:hAnsi="Arial"/>
                <w:sz w:val="16"/>
                <w:szCs w:val="16"/>
                <w:color w:val="auto"/>
              </w:rPr>
              <w:t>Accumulated depreciation and depletion</w:t>
            </w: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89,401</w:t>
            </w:r>
          </w:p>
        </w:tc>
        <w:tc>
          <w:tcPr>
            <w:tcW w:w="10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26,635</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19,193</w:t>
            </w:r>
          </w:p>
        </w:tc>
        <w:tc>
          <w:tcPr>
            <w:tcW w:w="130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auto"/>
              </w:rPr>
              <w:t>46,567</w:t>
            </w:r>
          </w:p>
        </w:tc>
        <w:tc>
          <w:tcPr>
            <w:tcW w:w="8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24,701</w:t>
            </w:r>
          </w:p>
        </w:tc>
        <w:tc>
          <w:tcPr>
            <w:tcW w:w="108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8,628</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215,125</w:t>
            </w:r>
          </w:p>
        </w:tc>
        <w:tc>
          <w:tcPr>
            <w:tcW w:w="0" w:type="dxa"/>
            <w:vAlign w:val="bottom"/>
          </w:tcPr>
          <w:p>
            <w:pPr>
              <w:spacing w:after="0"/>
              <w:rPr>
                <w:sz w:val="1"/>
                <w:szCs w:val="1"/>
                <w:color w:val="auto"/>
              </w:rPr>
            </w:pPr>
          </w:p>
        </w:tc>
      </w:tr>
      <w:tr>
        <w:trPr>
          <w:trHeight w:val="210"/>
        </w:trPr>
        <w:tc>
          <w:tcPr>
            <w:tcW w:w="4320" w:type="dxa"/>
            <w:vAlign w:val="bottom"/>
            <w:gridSpan w:val="2"/>
          </w:tcPr>
          <w:p>
            <w:pPr>
              <w:ind w:left="120"/>
              <w:spacing w:after="0"/>
              <w:rPr>
                <w:sz w:val="20"/>
                <w:szCs w:val="20"/>
                <w:color w:val="auto"/>
              </w:rPr>
            </w:pPr>
            <w:r>
              <w:rPr>
                <w:rFonts w:ascii="Arial" w:cs="Arial" w:eastAsia="Arial" w:hAnsi="Arial"/>
                <w:sz w:val="16"/>
                <w:szCs w:val="16"/>
                <w:color w:val="auto"/>
              </w:rPr>
              <w:t>Net capitalized costs for consolidated subsidiaries</w:t>
            </w: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62,112</w:t>
            </w:r>
          </w:p>
        </w:tc>
        <w:tc>
          <w:tcPr>
            <w:tcW w:w="10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40,010</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2,627</w:t>
            </w:r>
          </w:p>
        </w:tc>
        <w:tc>
          <w:tcPr>
            <w:tcW w:w="130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auto"/>
              </w:rPr>
              <w:t>12,509</w:t>
            </w:r>
          </w:p>
        </w:tc>
        <w:tc>
          <w:tcPr>
            <w:tcW w:w="8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24,903</w:t>
            </w:r>
          </w:p>
        </w:tc>
        <w:tc>
          <w:tcPr>
            <w:tcW w:w="108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12,105</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154,266</w:t>
            </w:r>
          </w:p>
        </w:tc>
        <w:tc>
          <w:tcPr>
            <w:tcW w:w="0" w:type="dxa"/>
            <w:vAlign w:val="bottom"/>
          </w:tcPr>
          <w:p>
            <w:pPr>
              <w:spacing w:after="0"/>
              <w:rPr>
                <w:sz w:val="1"/>
                <w:szCs w:val="1"/>
                <w:color w:val="auto"/>
              </w:rPr>
            </w:pPr>
          </w:p>
        </w:tc>
      </w:tr>
      <w:tr>
        <w:trPr>
          <w:trHeight w:val="412"/>
        </w:trPr>
        <w:tc>
          <w:tcPr>
            <w:tcW w:w="1920" w:type="dxa"/>
            <w:vAlign w:val="bottom"/>
          </w:tcPr>
          <w:p>
            <w:pPr>
              <w:ind w:left="20"/>
              <w:spacing w:after="0"/>
              <w:rPr>
                <w:sz w:val="20"/>
                <w:szCs w:val="20"/>
                <w:color w:val="auto"/>
              </w:rPr>
            </w:pPr>
            <w:r>
              <w:rPr>
                <w:rFonts w:ascii="Arial" w:cs="Arial" w:eastAsia="Arial" w:hAnsi="Arial"/>
                <w:sz w:val="16"/>
                <w:szCs w:val="16"/>
                <w:b w:val="1"/>
                <w:bCs w:val="1"/>
                <w:color w:val="auto"/>
              </w:rPr>
              <w:t>Equity Companies</w:t>
            </w:r>
          </w:p>
        </w:tc>
        <w:tc>
          <w:tcPr>
            <w:tcW w:w="2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920" w:type="dxa"/>
            <w:vAlign w:val="bottom"/>
          </w:tcPr>
          <w:p>
            <w:pPr>
              <w:ind w:left="20"/>
              <w:spacing w:after="0"/>
              <w:rPr>
                <w:sz w:val="20"/>
                <w:szCs w:val="20"/>
                <w:color w:val="auto"/>
              </w:rPr>
            </w:pPr>
            <w:r>
              <w:rPr>
                <w:rFonts w:ascii="Arial" w:cs="Arial" w:eastAsia="Arial" w:hAnsi="Arial"/>
                <w:sz w:val="16"/>
                <w:szCs w:val="16"/>
                <w:color w:val="auto"/>
              </w:rPr>
              <w:t>As of December 31, 2020</w:t>
            </w:r>
          </w:p>
        </w:tc>
        <w:tc>
          <w:tcPr>
            <w:tcW w:w="2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tcPr>
          <w:p>
            <w:pPr>
              <w:ind w:left="120"/>
              <w:spacing w:after="0"/>
              <w:rPr>
                <w:sz w:val="20"/>
                <w:szCs w:val="20"/>
                <w:color w:val="auto"/>
              </w:rPr>
            </w:pPr>
            <w:r>
              <w:rPr>
                <w:rFonts w:ascii="Arial" w:cs="Arial" w:eastAsia="Arial" w:hAnsi="Arial"/>
                <w:sz w:val="16"/>
                <w:szCs w:val="16"/>
                <w:color w:val="auto"/>
              </w:rPr>
              <w:t>Property (acreage) costs</w:t>
            </w:r>
          </w:p>
        </w:tc>
        <w:tc>
          <w:tcPr>
            <w:tcW w:w="2400" w:type="dxa"/>
            <w:vAlign w:val="bottom"/>
          </w:tcPr>
          <w:p>
            <w:pPr>
              <w:ind w:left="100"/>
              <w:spacing w:after="0"/>
              <w:rPr>
                <w:sz w:val="20"/>
                <w:szCs w:val="20"/>
                <w:color w:val="auto"/>
              </w:rPr>
            </w:pPr>
            <w:r>
              <w:rPr>
                <w:rFonts w:ascii="Arial" w:cs="Arial" w:eastAsia="Arial" w:hAnsi="Arial"/>
                <w:sz w:val="16"/>
                <w:szCs w:val="16"/>
                <w:color w:val="auto"/>
              </w:rPr>
              <w:t>– Proved</w:t>
            </w: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98</w:t>
            </w:r>
          </w:p>
        </w:tc>
        <w:tc>
          <w:tcPr>
            <w:tcW w:w="104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w:t>
            </w:r>
          </w:p>
        </w:tc>
        <w:tc>
          <w:tcPr>
            <w:tcW w:w="1300" w:type="dxa"/>
            <w:vAlign w:val="bottom"/>
          </w:tcPr>
          <w:p>
            <w:pPr>
              <w:jc w:val="right"/>
              <w:ind w:right="260"/>
              <w:spacing w:after="0"/>
              <w:rPr>
                <w:sz w:val="20"/>
                <w:szCs w:val="20"/>
                <w:color w:val="auto"/>
              </w:rPr>
            </w:pPr>
            <w:r>
              <w:rPr>
                <w:rFonts w:ascii="Arial" w:cs="Arial" w:eastAsia="Arial" w:hAnsi="Arial"/>
                <w:sz w:val="16"/>
                <w:szCs w:val="16"/>
                <w:color w:val="auto"/>
              </w:rPr>
              <w:t>286</w:t>
            </w: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388</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2400" w:type="dxa"/>
            <w:vAlign w:val="bottom"/>
          </w:tcPr>
          <w:p>
            <w:pPr>
              <w:ind w:left="100"/>
              <w:spacing w:after="0"/>
              <w:rPr>
                <w:sz w:val="20"/>
                <w:szCs w:val="20"/>
                <w:color w:val="auto"/>
              </w:rPr>
            </w:pPr>
            <w:r>
              <w:rPr>
                <w:rFonts w:ascii="Arial" w:cs="Arial" w:eastAsia="Arial" w:hAnsi="Arial"/>
                <w:sz w:val="16"/>
                <w:szCs w:val="16"/>
                <w:color w:val="auto"/>
              </w:rPr>
              <w:t>– Unproved</w:t>
            </w: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4</w:t>
            </w:r>
          </w:p>
        </w:tc>
        <w:tc>
          <w:tcPr>
            <w:tcW w:w="10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auto"/>
              </w:rPr>
              <w:t>3,134</w:t>
            </w:r>
          </w:p>
        </w:tc>
        <w:tc>
          <w:tcPr>
            <w:tcW w:w="8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3,138</w:t>
            </w:r>
          </w:p>
        </w:tc>
        <w:tc>
          <w:tcPr>
            <w:tcW w:w="0" w:type="dxa"/>
            <w:vAlign w:val="bottom"/>
          </w:tcPr>
          <w:p>
            <w:pPr>
              <w:spacing w:after="0"/>
              <w:rPr>
                <w:sz w:val="1"/>
                <w:szCs w:val="1"/>
                <w:color w:val="auto"/>
              </w:rPr>
            </w:pPr>
          </w:p>
        </w:tc>
      </w:tr>
      <w:tr>
        <w:trPr>
          <w:trHeight w:val="210"/>
        </w:trPr>
        <w:tc>
          <w:tcPr>
            <w:tcW w:w="1920" w:type="dxa"/>
            <w:vAlign w:val="bottom"/>
          </w:tcPr>
          <w:p>
            <w:pPr>
              <w:ind w:left="260"/>
              <w:spacing w:after="0"/>
              <w:rPr>
                <w:sz w:val="20"/>
                <w:szCs w:val="20"/>
                <w:color w:val="auto"/>
              </w:rPr>
            </w:pPr>
            <w:r>
              <w:rPr>
                <w:rFonts w:ascii="Arial" w:cs="Arial" w:eastAsia="Arial" w:hAnsi="Arial"/>
                <w:sz w:val="16"/>
                <w:szCs w:val="16"/>
                <w:color w:val="auto"/>
              </w:rPr>
              <w:t>Total property costs</w:t>
            </w:r>
          </w:p>
        </w:tc>
        <w:tc>
          <w:tcPr>
            <w:tcW w:w="2400" w:type="dxa"/>
            <w:vAlign w:val="bottom"/>
          </w:tcPr>
          <w:p>
            <w:pPr>
              <w:spacing w:after="0"/>
              <w:rPr>
                <w:sz w:val="18"/>
                <w:szCs w:val="18"/>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102</w:t>
            </w:r>
          </w:p>
        </w:tc>
        <w:tc>
          <w:tcPr>
            <w:tcW w:w="104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w:t>
            </w:r>
          </w:p>
        </w:tc>
        <w:tc>
          <w:tcPr>
            <w:tcW w:w="1300" w:type="dxa"/>
            <w:vAlign w:val="bottom"/>
          </w:tcPr>
          <w:p>
            <w:pPr>
              <w:jc w:val="right"/>
              <w:ind w:right="260"/>
              <w:spacing w:after="0"/>
              <w:rPr>
                <w:sz w:val="20"/>
                <w:szCs w:val="20"/>
                <w:color w:val="auto"/>
              </w:rPr>
            </w:pPr>
            <w:r>
              <w:rPr>
                <w:rFonts w:ascii="Arial" w:cs="Arial" w:eastAsia="Arial" w:hAnsi="Arial"/>
                <w:sz w:val="16"/>
                <w:szCs w:val="16"/>
                <w:color w:val="auto"/>
              </w:rPr>
              <w:t>3,420</w:t>
            </w: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3,526</w:t>
            </w:r>
          </w:p>
        </w:tc>
        <w:tc>
          <w:tcPr>
            <w:tcW w:w="0" w:type="dxa"/>
            <w:vAlign w:val="bottom"/>
          </w:tcPr>
          <w:p>
            <w:pPr>
              <w:spacing w:after="0"/>
              <w:rPr>
                <w:sz w:val="1"/>
                <w:szCs w:val="1"/>
                <w:color w:val="auto"/>
              </w:rPr>
            </w:pPr>
          </w:p>
        </w:tc>
      </w:tr>
      <w:tr>
        <w:trPr>
          <w:trHeight w:val="216"/>
        </w:trPr>
        <w:tc>
          <w:tcPr>
            <w:tcW w:w="1920" w:type="dxa"/>
            <w:vAlign w:val="bottom"/>
          </w:tcPr>
          <w:p>
            <w:pPr>
              <w:ind w:left="120"/>
              <w:spacing w:after="0"/>
              <w:rPr>
                <w:sz w:val="20"/>
                <w:szCs w:val="20"/>
                <w:color w:val="auto"/>
              </w:rPr>
            </w:pPr>
            <w:r>
              <w:rPr>
                <w:rFonts w:ascii="Arial" w:cs="Arial" w:eastAsia="Arial" w:hAnsi="Arial"/>
                <w:sz w:val="16"/>
                <w:szCs w:val="16"/>
                <w:color w:val="auto"/>
              </w:rPr>
              <w:t>Producing assets</w:t>
            </w:r>
          </w:p>
        </w:tc>
        <w:tc>
          <w:tcPr>
            <w:tcW w:w="2400" w:type="dxa"/>
            <w:vAlign w:val="bottom"/>
          </w:tcPr>
          <w:p>
            <w:pPr>
              <w:spacing w:after="0"/>
              <w:rPr>
                <w:sz w:val="18"/>
                <w:szCs w:val="18"/>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6,975</w:t>
            </w:r>
          </w:p>
        </w:tc>
        <w:tc>
          <w:tcPr>
            <w:tcW w:w="104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5,932</w:t>
            </w:r>
          </w:p>
        </w:tc>
        <w:tc>
          <w:tcPr>
            <w:tcW w:w="130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8,547</w:t>
            </w:r>
          </w:p>
        </w:tc>
        <w:tc>
          <w:tcPr>
            <w:tcW w:w="108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21,454</w:t>
            </w:r>
          </w:p>
        </w:tc>
        <w:tc>
          <w:tcPr>
            <w:tcW w:w="0" w:type="dxa"/>
            <w:vAlign w:val="bottom"/>
          </w:tcPr>
          <w:p>
            <w:pPr>
              <w:spacing w:after="0"/>
              <w:rPr>
                <w:sz w:val="1"/>
                <w:szCs w:val="1"/>
                <w:color w:val="auto"/>
              </w:rPr>
            </w:pPr>
          </w:p>
        </w:tc>
      </w:tr>
      <w:tr>
        <w:trPr>
          <w:trHeight w:val="216"/>
        </w:trPr>
        <w:tc>
          <w:tcPr>
            <w:tcW w:w="1920" w:type="dxa"/>
            <w:vAlign w:val="bottom"/>
          </w:tcPr>
          <w:p>
            <w:pPr>
              <w:ind w:left="120"/>
              <w:spacing w:after="0"/>
              <w:rPr>
                <w:sz w:val="20"/>
                <w:szCs w:val="20"/>
                <w:color w:val="auto"/>
              </w:rPr>
            </w:pPr>
            <w:r>
              <w:rPr>
                <w:rFonts w:ascii="Arial" w:cs="Arial" w:eastAsia="Arial" w:hAnsi="Arial"/>
                <w:sz w:val="16"/>
                <w:szCs w:val="16"/>
                <w:color w:val="auto"/>
              </w:rPr>
              <w:t>Incomplete construction</w:t>
            </w:r>
          </w:p>
        </w:tc>
        <w:tc>
          <w:tcPr>
            <w:tcW w:w="2400" w:type="dxa"/>
            <w:vAlign w:val="bottom"/>
          </w:tcPr>
          <w:p>
            <w:pPr>
              <w:spacing w:after="0"/>
              <w:rPr>
                <w:sz w:val="18"/>
                <w:szCs w:val="18"/>
                <w:color w:val="auto"/>
              </w:rPr>
            </w:pP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138</w:t>
            </w:r>
          </w:p>
        </w:tc>
        <w:tc>
          <w:tcPr>
            <w:tcW w:w="10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130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auto"/>
              </w:rPr>
              <w:t>721</w:t>
            </w:r>
          </w:p>
        </w:tc>
        <w:tc>
          <w:tcPr>
            <w:tcW w:w="8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10,527</w:t>
            </w:r>
          </w:p>
        </w:tc>
        <w:tc>
          <w:tcPr>
            <w:tcW w:w="108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11,420</w:t>
            </w:r>
          </w:p>
        </w:tc>
        <w:tc>
          <w:tcPr>
            <w:tcW w:w="0" w:type="dxa"/>
            <w:vAlign w:val="bottom"/>
          </w:tcPr>
          <w:p>
            <w:pPr>
              <w:spacing w:after="0"/>
              <w:rPr>
                <w:sz w:val="1"/>
                <w:szCs w:val="1"/>
                <w:color w:val="auto"/>
              </w:rPr>
            </w:pPr>
          </w:p>
        </w:tc>
      </w:tr>
      <w:tr>
        <w:trPr>
          <w:trHeight w:val="210"/>
        </w:trPr>
        <w:tc>
          <w:tcPr>
            <w:tcW w:w="1920" w:type="dxa"/>
            <w:vAlign w:val="bottom"/>
          </w:tcPr>
          <w:p>
            <w:pPr>
              <w:ind w:left="260"/>
              <w:spacing w:after="0"/>
              <w:rPr>
                <w:sz w:val="20"/>
                <w:szCs w:val="20"/>
                <w:color w:val="auto"/>
              </w:rPr>
            </w:pPr>
            <w:r>
              <w:rPr>
                <w:rFonts w:ascii="Arial" w:cs="Arial" w:eastAsia="Arial" w:hAnsi="Arial"/>
                <w:sz w:val="16"/>
                <w:szCs w:val="16"/>
                <w:color w:val="auto"/>
              </w:rPr>
              <w:t>Total capitalized costs</w:t>
            </w:r>
          </w:p>
        </w:tc>
        <w:tc>
          <w:tcPr>
            <w:tcW w:w="2400" w:type="dxa"/>
            <w:vAlign w:val="bottom"/>
          </w:tcPr>
          <w:p>
            <w:pPr>
              <w:spacing w:after="0"/>
              <w:rPr>
                <w:sz w:val="18"/>
                <w:szCs w:val="18"/>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7,215</w:t>
            </w:r>
          </w:p>
        </w:tc>
        <w:tc>
          <w:tcPr>
            <w:tcW w:w="104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5,970</w:t>
            </w:r>
          </w:p>
        </w:tc>
        <w:tc>
          <w:tcPr>
            <w:tcW w:w="1300" w:type="dxa"/>
            <w:vAlign w:val="bottom"/>
          </w:tcPr>
          <w:p>
            <w:pPr>
              <w:jc w:val="right"/>
              <w:ind w:right="260"/>
              <w:spacing w:after="0"/>
              <w:rPr>
                <w:sz w:val="20"/>
                <w:szCs w:val="20"/>
                <w:color w:val="auto"/>
              </w:rPr>
            </w:pPr>
            <w:r>
              <w:rPr>
                <w:rFonts w:ascii="Arial" w:cs="Arial" w:eastAsia="Arial" w:hAnsi="Arial"/>
                <w:sz w:val="16"/>
                <w:szCs w:val="16"/>
                <w:color w:val="auto"/>
              </w:rPr>
              <w:t>4,141</w:t>
            </w: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19,074</w:t>
            </w:r>
          </w:p>
        </w:tc>
        <w:tc>
          <w:tcPr>
            <w:tcW w:w="108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36,400</w:t>
            </w:r>
          </w:p>
        </w:tc>
        <w:tc>
          <w:tcPr>
            <w:tcW w:w="0" w:type="dxa"/>
            <w:vAlign w:val="bottom"/>
          </w:tcPr>
          <w:p>
            <w:pPr>
              <w:spacing w:after="0"/>
              <w:rPr>
                <w:sz w:val="1"/>
                <w:szCs w:val="1"/>
                <w:color w:val="auto"/>
              </w:rPr>
            </w:pPr>
          </w:p>
        </w:tc>
      </w:tr>
      <w:tr>
        <w:trPr>
          <w:trHeight w:val="216"/>
        </w:trPr>
        <w:tc>
          <w:tcPr>
            <w:tcW w:w="4320" w:type="dxa"/>
            <w:vAlign w:val="bottom"/>
            <w:gridSpan w:val="2"/>
          </w:tcPr>
          <w:p>
            <w:pPr>
              <w:ind w:left="120"/>
              <w:spacing w:after="0"/>
              <w:rPr>
                <w:sz w:val="20"/>
                <w:szCs w:val="20"/>
                <w:color w:val="auto"/>
              </w:rPr>
            </w:pPr>
            <w:r>
              <w:rPr>
                <w:rFonts w:ascii="Arial" w:cs="Arial" w:eastAsia="Arial" w:hAnsi="Arial"/>
                <w:sz w:val="16"/>
                <w:szCs w:val="16"/>
                <w:color w:val="auto"/>
              </w:rPr>
              <w:t>Accumulated depreciation and depletion</w:t>
            </w: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3,854</w:t>
            </w:r>
          </w:p>
        </w:tc>
        <w:tc>
          <w:tcPr>
            <w:tcW w:w="10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5,462</w:t>
            </w:r>
          </w:p>
        </w:tc>
        <w:tc>
          <w:tcPr>
            <w:tcW w:w="130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5,911</w:t>
            </w:r>
          </w:p>
        </w:tc>
        <w:tc>
          <w:tcPr>
            <w:tcW w:w="108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15,227</w:t>
            </w:r>
          </w:p>
        </w:tc>
        <w:tc>
          <w:tcPr>
            <w:tcW w:w="0" w:type="dxa"/>
            <w:vAlign w:val="bottom"/>
          </w:tcPr>
          <w:p>
            <w:pPr>
              <w:spacing w:after="0"/>
              <w:rPr>
                <w:sz w:val="1"/>
                <w:szCs w:val="1"/>
                <w:color w:val="auto"/>
              </w:rPr>
            </w:pPr>
          </w:p>
        </w:tc>
      </w:tr>
      <w:tr>
        <w:trPr>
          <w:trHeight w:val="212"/>
        </w:trPr>
        <w:tc>
          <w:tcPr>
            <w:tcW w:w="4320" w:type="dxa"/>
            <w:vAlign w:val="bottom"/>
            <w:gridSpan w:val="2"/>
          </w:tcPr>
          <w:p>
            <w:pPr>
              <w:ind w:left="120"/>
              <w:spacing w:after="0"/>
              <w:rPr>
                <w:sz w:val="20"/>
                <w:szCs w:val="20"/>
                <w:color w:val="auto"/>
              </w:rPr>
            </w:pPr>
            <w:r>
              <w:rPr>
                <w:rFonts w:ascii="Arial" w:cs="Arial" w:eastAsia="Arial" w:hAnsi="Arial"/>
                <w:sz w:val="16"/>
                <w:szCs w:val="16"/>
                <w:color w:val="auto"/>
              </w:rPr>
              <w:t>Net capitalized costs for equity companies</w:t>
            </w: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3,361</w:t>
            </w:r>
          </w:p>
        </w:tc>
        <w:tc>
          <w:tcPr>
            <w:tcW w:w="10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508</w:t>
            </w:r>
          </w:p>
        </w:tc>
        <w:tc>
          <w:tcPr>
            <w:tcW w:w="130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auto"/>
              </w:rPr>
              <w:t>4,141</w:t>
            </w:r>
          </w:p>
        </w:tc>
        <w:tc>
          <w:tcPr>
            <w:tcW w:w="8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13,163</w:t>
            </w:r>
          </w:p>
        </w:tc>
        <w:tc>
          <w:tcPr>
            <w:tcW w:w="108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21,173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b w:val="1"/>
          <w:bCs w:val="1"/>
          <w:color w:val="auto"/>
        </w:rPr>
        <w:t>Oil and Gas Exploration and Production Costs (continued)</w:t>
      </w:r>
    </w:p>
    <w:p>
      <w:pPr>
        <w:spacing w:after="0" w:line="9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amounts reported as costs incurred include both capitalized costs and costs charged to expense during the year. Costs incurred also include new asset retirement obligations established in the current year, as well as increases or decreases to the asset retirement obligation resulting from changes in cost estimates or abandonment date. Total consolidated costs incurred in 2021 were $9,877 million, down $1,377 million from 2020, due primarily to lower development costs, partially offset by higher acquisition costs of unproved properties. In 2020, costs were $11,254 million, down $7,986 million from 2019, due primarily to lower development costs including lower asset retirement obligation cost estimates mainly in Angola. Total equity company costs incurred in 2021 were $1,451 million, down $561 million from 2020, due primarily to lower development costs.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Costs Incurred in Property Acquisitions,</w:t>
            </w:r>
          </w:p>
        </w:tc>
        <w:tc>
          <w:tcPr>
            <w:tcW w:w="1020" w:type="dxa"/>
            <w:vAlign w:val="bottom"/>
            <w:vMerge w:val="restart"/>
          </w:tcPr>
          <w:p>
            <w:pPr>
              <w:jc w:val="right"/>
              <w:ind w:right="280"/>
              <w:spacing w:after="0"/>
              <w:rPr>
                <w:sz w:val="20"/>
                <w:szCs w:val="20"/>
                <w:color w:val="auto"/>
              </w:rPr>
            </w:pPr>
            <w:r>
              <w:rPr>
                <w:rFonts w:ascii="Arial" w:cs="Arial" w:eastAsia="Arial" w:hAnsi="Arial"/>
                <w:sz w:val="14"/>
                <w:szCs w:val="14"/>
                <w:b w:val="1"/>
                <w:bCs w:val="1"/>
                <w:color w:val="auto"/>
              </w:rPr>
              <w:t>United</w:t>
            </w:r>
          </w:p>
        </w:tc>
        <w:tc>
          <w:tcPr>
            <w:tcW w:w="1060" w:type="dxa"/>
            <w:vAlign w:val="bottom"/>
          </w:tcPr>
          <w:p>
            <w:pPr>
              <w:jc w:val="center"/>
              <w:ind w:right="60"/>
              <w:spacing w:after="0"/>
              <w:rPr>
                <w:sz w:val="20"/>
                <w:szCs w:val="20"/>
                <w:color w:val="auto"/>
              </w:rPr>
            </w:pPr>
            <w:r>
              <w:rPr>
                <w:rFonts w:ascii="Arial" w:cs="Arial" w:eastAsia="Arial" w:hAnsi="Arial"/>
                <w:sz w:val="14"/>
                <w:szCs w:val="14"/>
                <w:b w:val="1"/>
                <w:bCs w:val="1"/>
                <w:color w:val="auto"/>
                <w:w w:val="95"/>
              </w:rPr>
              <w:t>Canada/</w:t>
            </w: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20" w:type="dxa"/>
            <w:vAlign w:val="bottom"/>
            <w:vMerge w:val="restart"/>
          </w:tcPr>
          <w:p>
            <w:pPr>
              <w:jc w:val="right"/>
              <w:ind w:right="260"/>
              <w:spacing w:after="0"/>
              <w:rPr>
                <w:sz w:val="20"/>
                <w:szCs w:val="20"/>
                <w:color w:val="auto"/>
              </w:rPr>
            </w:pPr>
            <w:r>
              <w:rPr>
                <w:rFonts w:ascii="Arial" w:cs="Arial" w:eastAsia="Arial" w:hAnsi="Arial"/>
                <w:sz w:val="14"/>
                <w:szCs w:val="14"/>
                <w:b w:val="1"/>
                <w:bCs w:val="1"/>
                <w:color w:val="auto"/>
              </w:rPr>
              <w:t>Australia/</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120" w:type="dxa"/>
            <w:vAlign w:val="bottom"/>
            <w:gridSpan w:val="2"/>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1060" w:type="dxa"/>
            <w:vAlign w:val="bottom"/>
          </w:tcPr>
          <w:p>
            <w:pPr>
              <w:jc w:val="center"/>
              <w:ind w:right="60"/>
              <w:spacing w:after="0" w:line="135" w:lineRule="exact"/>
              <w:rPr>
                <w:sz w:val="20"/>
                <w:szCs w:val="20"/>
                <w:color w:val="auto"/>
              </w:rPr>
            </w:pPr>
            <w:r>
              <w:rPr>
                <w:rFonts w:ascii="Arial" w:cs="Arial" w:eastAsia="Arial" w:hAnsi="Arial"/>
                <w:sz w:val="14"/>
                <w:szCs w:val="14"/>
                <w:b w:val="1"/>
                <w:bCs w:val="1"/>
                <w:color w:val="auto"/>
                <w:w w:val="96"/>
              </w:rPr>
              <w:t>Other</w:t>
            </w:r>
          </w:p>
        </w:tc>
        <w:tc>
          <w:tcPr>
            <w:tcW w:w="84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rPr>
              <w:t>Europe</w:t>
            </w:r>
          </w:p>
        </w:tc>
        <w:tc>
          <w:tcPr>
            <w:tcW w:w="1340" w:type="dxa"/>
            <w:vAlign w:val="bottom"/>
            <w:vMerge w:val="restart"/>
          </w:tcPr>
          <w:p>
            <w:pPr>
              <w:jc w:val="right"/>
              <w:ind w:right="460"/>
              <w:spacing w:after="0"/>
              <w:rPr>
                <w:sz w:val="20"/>
                <w:szCs w:val="20"/>
                <w:color w:val="auto"/>
              </w:rPr>
            </w:pPr>
            <w:r>
              <w:rPr>
                <w:rFonts w:ascii="Arial" w:cs="Arial" w:eastAsia="Arial" w:hAnsi="Arial"/>
                <w:sz w:val="14"/>
                <w:szCs w:val="14"/>
                <w:b w:val="1"/>
                <w:bCs w:val="1"/>
                <w:color w:val="auto"/>
              </w:rPr>
              <w:t>Africa</w:t>
            </w:r>
          </w:p>
        </w:tc>
        <w:tc>
          <w:tcPr>
            <w:tcW w:w="840" w:type="dxa"/>
            <w:vAlign w:val="bottom"/>
            <w:vMerge w:val="restart"/>
          </w:tcPr>
          <w:p>
            <w:pPr>
              <w:jc w:val="right"/>
              <w:ind w:right="339"/>
              <w:spacing w:after="0"/>
              <w:rPr>
                <w:sz w:val="20"/>
                <w:szCs w:val="20"/>
                <w:color w:val="auto"/>
              </w:rPr>
            </w:pPr>
            <w:r>
              <w:rPr>
                <w:rFonts w:ascii="Arial" w:cs="Arial" w:eastAsia="Arial" w:hAnsi="Arial"/>
                <w:sz w:val="14"/>
                <w:szCs w:val="14"/>
                <w:b w:val="1"/>
                <w:bCs w:val="1"/>
                <w:color w:val="auto"/>
              </w:rPr>
              <w:t>Asia</w:t>
            </w:r>
          </w:p>
        </w:tc>
        <w:tc>
          <w:tcPr>
            <w:tcW w:w="1120" w:type="dxa"/>
            <w:vAlign w:val="bottom"/>
            <w:vMerge w:val="continue"/>
          </w:tcPr>
          <w:p>
            <w:pPr>
              <w:spacing w:after="0"/>
              <w:rPr>
                <w:sz w:val="11"/>
                <w:szCs w:val="11"/>
                <w:color w:val="auto"/>
              </w:rPr>
            </w:pPr>
          </w:p>
        </w:tc>
        <w:tc>
          <w:tcPr>
            <w:tcW w:w="840" w:type="dxa"/>
            <w:vAlign w:val="bottom"/>
            <w:vMerge w:val="restart"/>
          </w:tcPr>
          <w:p>
            <w:pPr>
              <w:jc w:val="right"/>
              <w:ind w:right="21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412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Exploration and Development Activities</w:t>
            </w:r>
          </w:p>
        </w:tc>
        <w:tc>
          <w:tcPr>
            <w:tcW w:w="102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States</w:t>
            </w:r>
          </w:p>
        </w:tc>
        <w:tc>
          <w:tcPr>
            <w:tcW w:w="106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91"/>
              </w:rPr>
              <w:t>Americas</w:t>
            </w:r>
          </w:p>
        </w:tc>
        <w:tc>
          <w:tcPr>
            <w:tcW w:w="840" w:type="dxa"/>
            <w:vAlign w:val="bottom"/>
            <w:tcBorders>
              <w:bottom w:val="single" w:sz="8" w:color="auto"/>
            </w:tcBorders>
            <w:vMerge w:val="continue"/>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12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Oceania</w:t>
            </w: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40" w:type="dxa"/>
            <w:vAlign w:val="bottom"/>
          </w:tcPr>
          <w:p>
            <w:pPr>
              <w:jc w:val="right"/>
              <w:ind w:right="60"/>
              <w:spacing w:after="0"/>
              <w:rPr>
                <w:sz w:val="20"/>
                <w:szCs w:val="20"/>
                <w:color w:val="auto"/>
              </w:rPr>
            </w:pPr>
            <w:r>
              <w:rPr>
                <w:rFonts w:ascii="Arial" w:cs="Arial" w:eastAsia="Arial" w:hAnsi="Arial"/>
                <w:sz w:val="14"/>
                <w:szCs w:val="14"/>
                <w:i w:val="1"/>
                <w:iCs w:val="1"/>
                <w:color w:val="auto"/>
              </w:rPr>
              <w:t>(millions of dollars)</w:t>
            </w:r>
          </w:p>
        </w:tc>
        <w:tc>
          <w:tcPr>
            <w:tcW w:w="8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080" w:type="dxa"/>
            <w:vAlign w:val="bottom"/>
          </w:tcPr>
          <w:p>
            <w:pPr>
              <w:ind w:left="20"/>
              <w:spacing w:after="0"/>
              <w:rPr>
                <w:sz w:val="20"/>
                <w:szCs w:val="20"/>
                <w:color w:val="auto"/>
              </w:rPr>
            </w:pPr>
            <w:r>
              <w:rPr>
                <w:rFonts w:ascii="Arial" w:cs="Arial" w:eastAsia="Arial" w:hAnsi="Arial"/>
                <w:sz w:val="16"/>
                <w:szCs w:val="16"/>
                <w:b w:val="1"/>
                <w:bCs w:val="1"/>
                <w:color w:val="auto"/>
              </w:rPr>
              <w:t>During 2021</w:t>
            </w:r>
          </w:p>
        </w:tc>
        <w:tc>
          <w:tcPr>
            <w:tcW w:w="20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80" w:type="dxa"/>
            <w:vAlign w:val="bottom"/>
          </w:tcPr>
          <w:p>
            <w:pPr>
              <w:ind w:left="140"/>
              <w:spacing w:after="0"/>
              <w:rPr>
                <w:sz w:val="20"/>
                <w:szCs w:val="20"/>
                <w:color w:val="auto"/>
              </w:rPr>
            </w:pPr>
            <w:r>
              <w:rPr>
                <w:rFonts w:ascii="Arial" w:cs="Arial" w:eastAsia="Arial" w:hAnsi="Arial"/>
                <w:sz w:val="16"/>
                <w:szCs w:val="16"/>
                <w:b w:val="1"/>
                <w:bCs w:val="1"/>
                <w:color w:val="auto"/>
                <w:w w:val="95"/>
              </w:rPr>
              <w:t>Consolidated Subsidiaries</w:t>
            </w:r>
          </w:p>
        </w:tc>
        <w:tc>
          <w:tcPr>
            <w:tcW w:w="2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ind w:left="260"/>
              <w:spacing w:after="0"/>
              <w:rPr>
                <w:sz w:val="20"/>
                <w:szCs w:val="20"/>
                <w:color w:val="auto"/>
              </w:rPr>
            </w:pPr>
            <w:r>
              <w:rPr>
                <w:rFonts w:ascii="Arial" w:cs="Arial" w:eastAsia="Arial" w:hAnsi="Arial"/>
                <w:sz w:val="16"/>
                <w:szCs w:val="16"/>
                <w:color w:val="auto"/>
                <w:w w:val="98"/>
              </w:rPr>
              <w:t>Property acquisition costs</w:t>
            </w:r>
          </w:p>
        </w:tc>
        <w:tc>
          <w:tcPr>
            <w:tcW w:w="2040" w:type="dxa"/>
            <w:vAlign w:val="bottom"/>
          </w:tcPr>
          <w:p>
            <w:pPr>
              <w:ind w:left="140"/>
              <w:spacing w:after="0"/>
              <w:rPr>
                <w:sz w:val="20"/>
                <w:szCs w:val="20"/>
                <w:color w:val="auto"/>
              </w:rPr>
            </w:pPr>
            <w:r>
              <w:rPr>
                <w:rFonts w:ascii="Arial" w:cs="Arial" w:eastAsia="Arial" w:hAnsi="Arial"/>
                <w:sz w:val="16"/>
                <w:szCs w:val="16"/>
                <w:color w:val="auto"/>
              </w:rPr>
              <w:t>– Proved</w:t>
            </w:r>
          </w:p>
        </w:tc>
        <w:tc>
          <w:tcPr>
            <w:tcW w:w="1020" w:type="dxa"/>
            <w:vAlign w:val="bottom"/>
          </w:tcPr>
          <w:p>
            <w:pPr>
              <w:jc w:val="right"/>
              <w:ind w:right="100"/>
              <w:spacing w:after="0"/>
              <w:rPr>
                <w:sz w:val="20"/>
                <w:szCs w:val="20"/>
                <w:color w:val="auto"/>
              </w:rPr>
            </w:pPr>
            <w:r>
              <w:rPr>
                <w:rFonts w:ascii="Arial" w:cs="Arial" w:eastAsia="Arial" w:hAnsi="Arial"/>
                <w:sz w:val="16"/>
                <w:szCs w:val="16"/>
                <w:color w:val="auto"/>
              </w:rPr>
              <w:t>37</w:t>
            </w:r>
          </w:p>
        </w:tc>
        <w:tc>
          <w:tcPr>
            <w:tcW w:w="106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280"/>
              <w:spacing w:after="0"/>
              <w:rPr>
                <w:sz w:val="20"/>
                <w:szCs w:val="20"/>
                <w:color w:val="auto"/>
              </w:rPr>
            </w:pPr>
            <w:r>
              <w:rPr>
                <w:rFonts w:ascii="Arial" w:cs="Arial" w:eastAsia="Arial" w:hAnsi="Arial"/>
                <w:sz w:val="16"/>
                <w:szCs w:val="16"/>
                <w:color w:val="auto"/>
              </w:rPr>
              <w:t>90</w:t>
            </w: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15</w:t>
            </w:r>
          </w:p>
        </w:tc>
        <w:tc>
          <w:tcPr>
            <w:tcW w:w="112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142</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040" w:type="dxa"/>
            <w:vAlign w:val="bottom"/>
          </w:tcPr>
          <w:p>
            <w:pPr>
              <w:ind w:left="140"/>
              <w:spacing w:after="0"/>
              <w:rPr>
                <w:sz w:val="20"/>
                <w:szCs w:val="20"/>
                <w:color w:val="auto"/>
              </w:rPr>
            </w:pPr>
            <w:r>
              <w:rPr>
                <w:rFonts w:ascii="Arial" w:cs="Arial" w:eastAsia="Arial" w:hAnsi="Arial"/>
                <w:sz w:val="16"/>
                <w:szCs w:val="16"/>
                <w:color w:val="auto"/>
              </w:rPr>
              <w:t>– Unproved</w:t>
            </w:r>
          </w:p>
        </w:tc>
        <w:tc>
          <w:tcPr>
            <w:tcW w:w="1020" w:type="dxa"/>
            <w:vAlign w:val="bottom"/>
          </w:tcPr>
          <w:p>
            <w:pPr>
              <w:jc w:val="right"/>
              <w:ind w:right="100"/>
              <w:spacing w:after="0"/>
              <w:rPr>
                <w:sz w:val="20"/>
                <w:szCs w:val="20"/>
                <w:color w:val="auto"/>
              </w:rPr>
            </w:pPr>
            <w:r>
              <w:rPr>
                <w:rFonts w:ascii="Arial" w:cs="Arial" w:eastAsia="Arial" w:hAnsi="Arial"/>
                <w:sz w:val="16"/>
                <w:szCs w:val="16"/>
                <w:color w:val="auto"/>
              </w:rPr>
              <w:t>78</w:t>
            </w:r>
          </w:p>
        </w:tc>
        <w:tc>
          <w:tcPr>
            <w:tcW w:w="1060" w:type="dxa"/>
            <w:vAlign w:val="bottom"/>
          </w:tcPr>
          <w:p>
            <w:pPr>
              <w:jc w:val="right"/>
              <w:ind w:right="140"/>
              <w:spacing w:after="0"/>
              <w:rPr>
                <w:sz w:val="20"/>
                <w:szCs w:val="20"/>
                <w:color w:val="auto"/>
              </w:rPr>
            </w:pPr>
            <w:r>
              <w:rPr>
                <w:rFonts w:ascii="Arial" w:cs="Arial" w:eastAsia="Arial" w:hAnsi="Arial"/>
                <w:sz w:val="16"/>
                <w:szCs w:val="16"/>
                <w:color w:val="auto"/>
              </w:rPr>
              <w:t>575</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28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60"/>
              <w:spacing w:after="0"/>
              <w:rPr>
                <w:sz w:val="20"/>
                <w:szCs w:val="20"/>
                <w:color w:val="auto"/>
              </w:rPr>
            </w:pPr>
            <w:r>
              <w:rPr>
                <w:rFonts w:ascii="Arial" w:cs="Arial" w:eastAsia="Arial" w:hAnsi="Arial"/>
                <w:sz w:val="16"/>
                <w:szCs w:val="16"/>
                <w:color w:val="auto"/>
              </w:rPr>
              <w:t>35</w:t>
            </w:r>
          </w:p>
        </w:tc>
        <w:tc>
          <w:tcPr>
            <w:tcW w:w="840" w:type="dxa"/>
            <w:vAlign w:val="bottom"/>
          </w:tcPr>
          <w:p>
            <w:pPr>
              <w:jc w:val="right"/>
              <w:spacing w:after="0"/>
              <w:rPr>
                <w:sz w:val="20"/>
                <w:szCs w:val="20"/>
                <w:color w:val="auto"/>
              </w:rPr>
            </w:pPr>
            <w:r>
              <w:rPr>
                <w:rFonts w:ascii="Arial" w:cs="Arial" w:eastAsia="Arial" w:hAnsi="Arial"/>
                <w:sz w:val="16"/>
                <w:szCs w:val="16"/>
                <w:color w:val="auto"/>
              </w:rPr>
              <w:t>688</w:t>
            </w:r>
          </w:p>
        </w:tc>
        <w:tc>
          <w:tcPr>
            <w:tcW w:w="0" w:type="dxa"/>
            <w:vAlign w:val="bottom"/>
          </w:tcPr>
          <w:p>
            <w:pPr>
              <w:spacing w:after="0"/>
              <w:rPr>
                <w:sz w:val="1"/>
                <w:szCs w:val="1"/>
                <w:color w:val="auto"/>
              </w:rPr>
            </w:pPr>
          </w:p>
        </w:tc>
      </w:tr>
      <w:tr>
        <w:trPr>
          <w:trHeight w:val="216"/>
        </w:trPr>
        <w:tc>
          <w:tcPr>
            <w:tcW w:w="2080" w:type="dxa"/>
            <w:vAlign w:val="bottom"/>
          </w:tcPr>
          <w:p>
            <w:pPr>
              <w:ind w:left="260"/>
              <w:spacing w:after="0"/>
              <w:rPr>
                <w:sz w:val="20"/>
                <w:szCs w:val="20"/>
                <w:color w:val="auto"/>
              </w:rPr>
            </w:pPr>
            <w:r>
              <w:rPr>
                <w:rFonts w:ascii="Arial" w:cs="Arial" w:eastAsia="Arial" w:hAnsi="Arial"/>
                <w:sz w:val="16"/>
                <w:szCs w:val="16"/>
                <w:color w:val="auto"/>
              </w:rPr>
              <w:t>Exploration costs</w:t>
            </w:r>
          </w:p>
        </w:tc>
        <w:tc>
          <w:tcPr>
            <w:tcW w:w="2040" w:type="dxa"/>
            <w:vAlign w:val="bottom"/>
          </w:tcPr>
          <w:p>
            <w:pPr>
              <w:spacing w:after="0"/>
              <w:rPr>
                <w:sz w:val="18"/>
                <w:szCs w:val="18"/>
                <w:color w:val="auto"/>
              </w:rPr>
            </w:pPr>
          </w:p>
        </w:tc>
        <w:tc>
          <w:tcPr>
            <w:tcW w:w="1020" w:type="dxa"/>
            <w:vAlign w:val="bottom"/>
          </w:tcPr>
          <w:p>
            <w:pPr>
              <w:jc w:val="right"/>
              <w:ind w:right="100"/>
              <w:spacing w:after="0"/>
              <w:rPr>
                <w:sz w:val="20"/>
                <w:szCs w:val="20"/>
                <w:color w:val="auto"/>
              </w:rPr>
            </w:pPr>
            <w:r>
              <w:rPr>
                <w:rFonts w:ascii="Arial" w:cs="Arial" w:eastAsia="Arial" w:hAnsi="Arial"/>
                <w:sz w:val="16"/>
                <w:szCs w:val="16"/>
                <w:color w:val="auto"/>
              </w:rPr>
              <w:t>19</w:t>
            </w:r>
          </w:p>
        </w:tc>
        <w:tc>
          <w:tcPr>
            <w:tcW w:w="1060" w:type="dxa"/>
            <w:vAlign w:val="bottom"/>
          </w:tcPr>
          <w:p>
            <w:pPr>
              <w:jc w:val="right"/>
              <w:ind w:right="140"/>
              <w:spacing w:after="0"/>
              <w:rPr>
                <w:sz w:val="20"/>
                <w:szCs w:val="20"/>
                <w:color w:val="auto"/>
              </w:rPr>
            </w:pPr>
            <w:r>
              <w:rPr>
                <w:rFonts w:ascii="Arial" w:cs="Arial" w:eastAsia="Arial" w:hAnsi="Arial"/>
                <w:sz w:val="16"/>
                <w:szCs w:val="16"/>
                <w:color w:val="auto"/>
              </w:rPr>
              <w:t>903</w:t>
            </w:r>
          </w:p>
        </w:tc>
        <w:tc>
          <w:tcPr>
            <w:tcW w:w="840" w:type="dxa"/>
            <w:vAlign w:val="bottom"/>
          </w:tcPr>
          <w:p>
            <w:pPr>
              <w:jc w:val="right"/>
              <w:spacing w:after="0"/>
              <w:rPr>
                <w:sz w:val="20"/>
                <w:szCs w:val="20"/>
                <w:color w:val="auto"/>
              </w:rPr>
            </w:pPr>
            <w:r>
              <w:rPr>
                <w:rFonts w:ascii="Arial" w:cs="Arial" w:eastAsia="Arial" w:hAnsi="Arial"/>
                <w:sz w:val="16"/>
                <w:szCs w:val="16"/>
                <w:color w:val="auto"/>
              </w:rPr>
              <w:t>46</w:t>
            </w:r>
          </w:p>
        </w:tc>
        <w:tc>
          <w:tcPr>
            <w:tcW w:w="1340" w:type="dxa"/>
            <w:vAlign w:val="bottom"/>
          </w:tcPr>
          <w:p>
            <w:pPr>
              <w:jc w:val="right"/>
              <w:ind w:right="280"/>
              <w:spacing w:after="0"/>
              <w:rPr>
                <w:sz w:val="20"/>
                <w:szCs w:val="20"/>
                <w:color w:val="auto"/>
              </w:rPr>
            </w:pPr>
            <w:r>
              <w:rPr>
                <w:rFonts w:ascii="Arial" w:cs="Arial" w:eastAsia="Arial" w:hAnsi="Arial"/>
                <w:sz w:val="16"/>
                <w:szCs w:val="16"/>
                <w:color w:val="auto"/>
              </w:rPr>
              <w:t>185</w:t>
            </w: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47</w:t>
            </w:r>
          </w:p>
        </w:tc>
        <w:tc>
          <w:tcPr>
            <w:tcW w:w="1120" w:type="dxa"/>
            <w:vAlign w:val="bottom"/>
          </w:tcPr>
          <w:p>
            <w:pPr>
              <w:jc w:val="right"/>
              <w:ind w:right="160"/>
              <w:spacing w:after="0"/>
              <w:rPr>
                <w:sz w:val="20"/>
                <w:szCs w:val="20"/>
                <w:color w:val="auto"/>
              </w:rPr>
            </w:pPr>
            <w:r>
              <w:rPr>
                <w:rFonts w:ascii="Arial" w:cs="Arial" w:eastAsia="Arial" w:hAnsi="Arial"/>
                <w:sz w:val="16"/>
                <w:szCs w:val="16"/>
                <w:color w:val="auto"/>
              </w:rPr>
              <w:t>40</w:t>
            </w:r>
          </w:p>
        </w:tc>
        <w:tc>
          <w:tcPr>
            <w:tcW w:w="840" w:type="dxa"/>
            <w:vAlign w:val="bottom"/>
          </w:tcPr>
          <w:p>
            <w:pPr>
              <w:jc w:val="right"/>
              <w:spacing w:after="0"/>
              <w:rPr>
                <w:sz w:val="20"/>
                <w:szCs w:val="20"/>
                <w:color w:val="auto"/>
              </w:rPr>
            </w:pPr>
            <w:r>
              <w:rPr>
                <w:rFonts w:ascii="Arial" w:cs="Arial" w:eastAsia="Arial" w:hAnsi="Arial"/>
                <w:sz w:val="16"/>
                <w:szCs w:val="16"/>
                <w:color w:val="auto"/>
              </w:rPr>
              <w:t>1,240</w:t>
            </w:r>
          </w:p>
        </w:tc>
        <w:tc>
          <w:tcPr>
            <w:tcW w:w="0" w:type="dxa"/>
            <w:vAlign w:val="bottom"/>
          </w:tcPr>
          <w:p>
            <w:pPr>
              <w:spacing w:after="0"/>
              <w:rPr>
                <w:sz w:val="1"/>
                <w:szCs w:val="1"/>
                <w:color w:val="auto"/>
              </w:rPr>
            </w:pPr>
          </w:p>
        </w:tc>
      </w:tr>
      <w:tr>
        <w:trPr>
          <w:trHeight w:val="216"/>
        </w:trPr>
        <w:tc>
          <w:tcPr>
            <w:tcW w:w="2080" w:type="dxa"/>
            <w:vAlign w:val="bottom"/>
          </w:tcPr>
          <w:p>
            <w:pPr>
              <w:ind w:left="260"/>
              <w:spacing w:after="0"/>
              <w:rPr>
                <w:sz w:val="20"/>
                <w:szCs w:val="20"/>
                <w:color w:val="auto"/>
              </w:rPr>
            </w:pPr>
            <w:r>
              <w:rPr>
                <w:rFonts w:ascii="Arial" w:cs="Arial" w:eastAsia="Arial" w:hAnsi="Arial"/>
                <w:sz w:val="16"/>
                <w:szCs w:val="16"/>
                <w:color w:val="auto"/>
              </w:rPr>
              <w:t>Development costs</w:t>
            </w:r>
          </w:p>
        </w:tc>
        <w:tc>
          <w:tcPr>
            <w:tcW w:w="2040" w:type="dxa"/>
            <w:vAlign w:val="bottom"/>
          </w:tcPr>
          <w:p>
            <w:pPr>
              <w:spacing w:after="0"/>
              <w:rPr>
                <w:sz w:val="18"/>
                <w:szCs w:val="18"/>
                <w:color w:val="auto"/>
              </w:rPr>
            </w:pPr>
          </w:p>
        </w:tc>
        <w:tc>
          <w:tcPr>
            <w:tcW w:w="10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3,352</w:t>
            </w:r>
          </w:p>
        </w:tc>
        <w:tc>
          <w:tcPr>
            <w:tcW w:w="106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2,619</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w:t>
            </w:r>
          </w:p>
        </w:tc>
        <w:tc>
          <w:tcPr>
            <w:tcW w:w="134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color w:val="auto"/>
              </w:rPr>
              <w:t>389</w:t>
            </w: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805</w:t>
            </w:r>
          </w:p>
        </w:tc>
        <w:tc>
          <w:tcPr>
            <w:tcW w:w="112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435</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7,807</w:t>
            </w:r>
          </w:p>
        </w:tc>
        <w:tc>
          <w:tcPr>
            <w:tcW w:w="0" w:type="dxa"/>
            <w:vAlign w:val="bottom"/>
          </w:tcPr>
          <w:p>
            <w:pPr>
              <w:spacing w:after="0"/>
              <w:rPr>
                <w:sz w:val="1"/>
                <w:szCs w:val="1"/>
                <w:color w:val="auto"/>
              </w:rPr>
            </w:pPr>
          </w:p>
        </w:tc>
      </w:tr>
      <w:tr>
        <w:trPr>
          <w:trHeight w:val="210"/>
        </w:trPr>
        <w:tc>
          <w:tcPr>
            <w:tcW w:w="4120" w:type="dxa"/>
            <w:vAlign w:val="bottom"/>
            <w:gridSpan w:val="2"/>
          </w:tcPr>
          <w:p>
            <w:pPr>
              <w:ind w:left="260"/>
              <w:spacing w:after="0"/>
              <w:rPr>
                <w:sz w:val="20"/>
                <w:szCs w:val="20"/>
                <w:color w:val="auto"/>
              </w:rPr>
            </w:pPr>
            <w:r>
              <w:rPr>
                <w:rFonts w:ascii="Arial" w:cs="Arial" w:eastAsia="Arial" w:hAnsi="Arial"/>
                <w:sz w:val="16"/>
                <w:szCs w:val="16"/>
                <w:color w:val="auto"/>
              </w:rPr>
              <w:t>Total costs incurred for consolidated subsidiaries</w:t>
            </w:r>
          </w:p>
        </w:tc>
        <w:tc>
          <w:tcPr>
            <w:tcW w:w="10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3,486</w:t>
            </w:r>
          </w:p>
        </w:tc>
        <w:tc>
          <w:tcPr>
            <w:tcW w:w="106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4,097</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w:t>
            </w:r>
          </w:p>
        </w:tc>
        <w:tc>
          <w:tcPr>
            <w:tcW w:w="134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color w:val="auto"/>
              </w:rPr>
              <w:t>664</w:t>
            </w: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867</w:t>
            </w:r>
          </w:p>
        </w:tc>
        <w:tc>
          <w:tcPr>
            <w:tcW w:w="112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510</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9,877</w:t>
            </w:r>
          </w:p>
        </w:tc>
        <w:tc>
          <w:tcPr>
            <w:tcW w:w="0" w:type="dxa"/>
            <w:vAlign w:val="bottom"/>
          </w:tcPr>
          <w:p>
            <w:pPr>
              <w:spacing w:after="0"/>
              <w:rPr>
                <w:sz w:val="1"/>
                <w:szCs w:val="1"/>
                <w:color w:val="auto"/>
              </w:rPr>
            </w:pPr>
          </w:p>
        </w:tc>
      </w:tr>
      <w:tr>
        <w:trPr>
          <w:trHeight w:val="358"/>
        </w:trPr>
        <w:tc>
          <w:tcPr>
            <w:tcW w:w="2080" w:type="dxa"/>
            <w:vAlign w:val="bottom"/>
          </w:tcPr>
          <w:p>
            <w:pPr>
              <w:ind w:left="140"/>
              <w:spacing w:after="0"/>
              <w:rPr>
                <w:sz w:val="20"/>
                <w:szCs w:val="20"/>
                <w:color w:val="auto"/>
              </w:rPr>
            </w:pPr>
            <w:r>
              <w:rPr>
                <w:rFonts w:ascii="Arial" w:cs="Arial" w:eastAsia="Arial" w:hAnsi="Arial"/>
                <w:sz w:val="16"/>
                <w:szCs w:val="16"/>
                <w:b w:val="1"/>
                <w:bCs w:val="1"/>
                <w:color w:val="auto"/>
              </w:rPr>
              <w:t>Equity Companies</w:t>
            </w:r>
          </w:p>
        </w:tc>
        <w:tc>
          <w:tcPr>
            <w:tcW w:w="2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80" w:type="dxa"/>
            <w:vAlign w:val="bottom"/>
          </w:tcPr>
          <w:p>
            <w:pPr>
              <w:ind w:left="260"/>
              <w:spacing w:after="0"/>
              <w:rPr>
                <w:sz w:val="20"/>
                <w:szCs w:val="20"/>
                <w:color w:val="auto"/>
              </w:rPr>
            </w:pPr>
            <w:r>
              <w:rPr>
                <w:rFonts w:ascii="Arial" w:cs="Arial" w:eastAsia="Arial" w:hAnsi="Arial"/>
                <w:sz w:val="16"/>
                <w:szCs w:val="16"/>
                <w:color w:val="auto"/>
                <w:w w:val="98"/>
              </w:rPr>
              <w:t>Property acquisition costs</w:t>
            </w:r>
          </w:p>
        </w:tc>
        <w:tc>
          <w:tcPr>
            <w:tcW w:w="2040" w:type="dxa"/>
            <w:vAlign w:val="bottom"/>
          </w:tcPr>
          <w:p>
            <w:pPr>
              <w:ind w:left="140"/>
              <w:spacing w:after="0"/>
              <w:rPr>
                <w:sz w:val="20"/>
                <w:szCs w:val="20"/>
                <w:color w:val="auto"/>
              </w:rPr>
            </w:pPr>
            <w:r>
              <w:rPr>
                <w:rFonts w:ascii="Arial" w:cs="Arial" w:eastAsia="Arial" w:hAnsi="Arial"/>
                <w:sz w:val="16"/>
                <w:szCs w:val="16"/>
                <w:color w:val="auto"/>
              </w:rPr>
              <w:t>– Proved</w:t>
            </w:r>
          </w:p>
        </w:tc>
        <w:tc>
          <w:tcPr>
            <w:tcW w:w="102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28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040" w:type="dxa"/>
            <w:vAlign w:val="bottom"/>
          </w:tcPr>
          <w:p>
            <w:pPr>
              <w:ind w:left="140"/>
              <w:spacing w:after="0"/>
              <w:rPr>
                <w:sz w:val="20"/>
                <w:szCs w:val="20"/>
                <w:color w:val="auto"/>
              </w:rPr>
            </w:pPr>
            <w:r>
              <w:rPr>
                <w:rFonts w:ascii="Arial" w:cs="Arial" w:eastAsia="Arial" w:hAnsi="Arial"/>
                <w:sz w:val="16"/>
                <w:szCs w:val="16"/>
                <w:color w:val="auto"/>
              </w:rPr>
              <w:t>– Unproved</w:t>
            </w:r>
          </w:p>
        </w:tc>
        <w:tc>
          <w:tcPr>
            <w:tcW w:w="102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28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080" w:type="dxa"/>
            <w:vAlign w:val="bottom"/>
          </w:tcPr>
          <w:p>
            <w:pPr>
              <w:ind w:left="260"/>
              <w:spacing w:after="0"/>
              <w:rPr>
                <w:sz w:val="20"/>
                <w:szCs w:val="20"/>
                <w:color w:val="auto"/>
              </w:rPr>
            </w:pPr>
            <w:r>
              <w:rPr>
                <w:rFonts w:ascii="Arial" w:cs="Arial" w:eastAsia="Arial" w:hAnsi="Arial"/>
                <w:sz w:val="16"/>
                <w:szCs w:val="16"/>
                <w:color w:val="auto"/>
              </w:rPr>
              <w:t>Exploration costs</w:t>
            </w:r>
          </w:p>
        </w:tc>
        <w:tc>
          <w:tcPr>
            <w:tcW w:w="2040" w:type="dxa"/>
            <w:vAlign w:val="bottom"/>
          </w:tcPr>
          <w:p>
            <w:pPr>
              <w:spacing w:after="0"/>
              <w:rPr>
                <w:sz w:val="18"/>
                <w:szCs w:val="18"/>
                <w:color w:val="auto"/>
              </w:rPr>
            </w:pPr>
          </w:p>
        </w:tc>
        <w:tc>
          <w:tcPr>
            <w:tcW w:w="102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w:t>
            </w:r>
          </w:p>
        </w:tc>
        <w:tc>
          <w:tcPr>
            <w:tcW w:w="1340" w:type="dxa"/>
            <w:vAlign w:val="bottom"/>
          </w:tcPr>
          <w:p>
            <w:pPr>
              <w:jc w:val="right"/>
              <w:ind w:right="28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6"/>
        </w:trPr>
        <w:tc>
          <w:tcPr>
            <w:tcW w:w="2080" w:type="dxa"/>
            <w:vAlign w:val="bottom"/>
          </w:tcPr>
          <w:p>
            <w:pPr>
              <w:ind w:left="260"/>
              <w:spacing w:after="0"/>
              <w:rPr>
                <w:sz w:val="20"/>
                <w:szCs w:val="20"/>
                <w:color w:val="auto"/>
              </w:rPr>
            </w:pPr>
            <w:r>
              <w:rPr>
                <w:rFonts w:ascii="Arial" w:cs="Arial" w:eastAsia="Arial" w:hAnsi="Arial"/>
                <w:sz w:val="16"/>
                <w:szCs w:val="16"/>
                <w:color w:val="auto"/>
              </w:rPr>
              <w:t>Development costs</w:t>
            </w:r>
          </w:p>
        </w:tc>
        <w:tc>
          <w:tcPr>
            <w:tcW w:w="2040" w:type="dxa"/>
            <w:vAlign w:val="bottom"/>
          </w:tcPr>
          <w:p>
            <w:pPr>
              <w:spacing w:after="0"/>
              <w:rPr>
                <w:sz w:val="18"/>
                <w:szCs w:val="18"/>
                <w:color w:val="auto"/>
              </w:rPr>
            </w:pPr>
          </w:p>
        </w:tc>
        <w:tc>
          <w:tcPr>
            <w:tcW w:w="10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8</w:t>
            </w:r>
          </w:p>
        </w:tc>
        <w:tc>
          <w:tcPr>
            <w:tcW w:w="106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34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color w:val="auto"/>
              </w:rPr>
              <w:t>88</w:t>
            </w: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1,334</w:t>
            </w:r>
          </w:p>
        </w:tc>
        <w:tc>
          <w:tcPr>
            <w:tcW w:w="112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1,450</w:t>
            </w:r>
          </w:p>
        </w:tc>
        <w:tc>
          <w:tcPr>
            <w:tcW w:w="0" w:type="dxa"/>
            <w:vAlign w:val="bottom"/>
          </w:tcPr>
          <w:p>
            <w:pPr>
              <w:spacing w:after="0"/>
              <w:rPr>
                <w:sz w:val="1"/>
                <w:szCs w:val="1"/>
                <w:color w:val="auto"/>
              </w:rPr>
            </w:pPr>
          </w:p>
        </w:tc>
      </w:tr>
      <w:tr>
        <w:trPr>
          <w:trHeight w:val="209"/>
        </w:trPr>
        <w:tc>
          <w:tcPr>
            <w:tcW w:w="4120" w:type="dxa"/>
            <w:vAlign w:val="bottom"/>
            <w:gridSpan w:val="2"/>
          </w:tcPr>
          <w:p>
            <w:pPr>
              <w:ind w:left="260"/>
              <w:spacing w:after="0"/>
              <w:rPr>
                <w:sz w:val="20"/>
                <w:szCs w:val="20"/>
                <w:color w:val="auto"/>
              </w:rPr>
            </w:pPr>
            <w:r>
              <w:rPr>
                <w:rFonts w:ascii="Arial" w:cs="Arial" w:eastAsia="Arial" w:hAnsi="Arial"/>
                <w:sz w:val="16"/>
                <w:szCs w:val="16"/>
                <w:color w:val="auto"/>
              </w:rPr>
              <w:t>Total costs incurred for equity companies</w:t>
            </w:r>
          </w:p>
        </w:tc>
        <w:tc>
          <w:tcPr>
            <w:tcW w:w="10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8</w:t>
            </w:r>
          </w:p>
        </w:tc>
        <w:tc>
          <w:tcPr>
            <w:tcW w:w="106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134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color w:val="auto"/>
              </w:rPr>
              <w:t>88</w:t>
            </w: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1,334</w:t>
            </w:r>
          </w:p>
        </w:tc>
        <w:tc>
          <w:tcPr>
            <w:tcW w:w="112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1,451</w:t>
            </w:r>
          </w:p>
        </w:tc>
        <w:tc>
          <w:tcPr>
            <w:tcW w:w="0" w:type="dxa"/>
            <w:vAlign w:val="bottom"/>
          </w:tcPr>
          <w:p>
            <w:pPr>
              <w:spacing w:after="0"/>
              <w:rPr>
                <w:sz w:val="1"/>
                <w:szCs w:val="1"/>
                <w:color w:val="auto"/>
              </w:rPr>
            </w:pPr>
          </w:p>
        </w:tc>
      </w:tr>
      <w:tr>
        <w:trPr>
          <w:trHeight w:val="358"/>
        </w:trPr>
        <w:tc>
          <w:tcPr>
            <w:tcW w:w="2080" w:type="dxa"/>
            <w:vAlign w:val="bottom"/>
          </w:tcPr>
          <w:p>
            <w:pPr>
              <w:ind w:left="20"/>
              <w:spacing w:after="0"/>
              <w:rPr>
                <w:sz w:val="20"/>
                <w:szCs w:val="20"/>
                <w:color w:val="auto"/>
              </w:rPr>
            </w:pPr>
            <w:r>
              <w:rPr>
                <w:rFonts w:ascii="Arial" w:cs="Arial" w:eastAsia="Arial" w:hAnsi="Arial"/>
                <w:sz w:val="16"/>
                <w:szCs w:val="16"/>
                <w:b w:val="1"/>
                <w:bCs w:val="1"/>
                <w:color w:val="auto"/>
              </w:rPr>
              <w:t>During 2020</w:t>
            </w:r>
          </w:p>
        </w:tc>
        <w:tc>
          <w:tcPr>
            <w:tcW w:w="2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80" w:type="dxa"/>
            <w:vAlign w:val="bottom"/>
          </w:tcPr>
          <w:p>
            <w:pPr>
              <w:ind w:left="140"/>
              <w:spacing w:after="0"/>
              <w:rPr>
                <w:sz w:val="20"/>
                <w:szCs w:val="20"/>
                <w:color w:val="auto"/>
              </w:rPr>
            </w:pPr>
            <w:r>
              <w:rPr>
                <w:rFonts w:ascii="Arial" w:cs="Arial" w:eastAsia="Arial" w:hAnsi="Arial"/>
                <w:sz w:val="16"/>
                <w:szCs w:val="16"/>
                <w:b w:val="1"/>
                <w:bCs w:val="1"/>
                <w:color w:val="auto"/>
                <w:w w:val="95"/>
              </w:rPr>
              <w:t>Consolidated Subsidiaries</w:t>
            </w:r>
          </w:p>
        </w:tc>
        <w:tc>
          <w:tcPr>
            <w:tcW w:w="2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ind w:left="260"/>
              <w:spacing w:after="0"/>
              <w:rPr>
                <w:sz w:val="20"/>
                <w:szCs w:val="20"/>
                <w:color w:val="auto"/>
              </w:rPr>
            </w:pPr>
            <w:r>
              <w:rPr>
                <w:rFonts w:ascii="Arial" w:cs="Arial" w:eastAsia="Arial" w:hAnsi="Arial"/>
                <w:sz w:val="16"/>
                <w:szCs w:val="16"/>
                <w:color w:val="auto"/>
                <w:w w:val="98"/>
              </w:rPr>
              <w:t>Property acquisition costs</w:t>
            </w:r>
          </w:p>
        </w:tc>
        <w:tc>
          <w:tcPr>
            <w:tcW w:w="2040" w:type="dxa"/>
            <w:vAlign w:val="bottom"/>
          </w:tcPr>
          <w:p>
            <w:pPr>
              <w:ind w:left="140"/>
              <w:spacing w:after="0"/>
              <w:rPr>
                <w:sz w:val="20"/>
                <w:szCs w:val="20"/>
                <w:color w:val="auto"/>
              </w:rPr>
            </w:pPr>
            <w:r>
              <w:rPr>
                <w:rFonts w:ascii="Arial" w:cs="Arial" w:eastAsia="Arial" w:hAnsi="Arial"/>
                <w:sz w:val="16"/>
                <w:szCs w:val="16"/>
                <w:color w:val="auto"/>
              </w:rPr>
              <w:t>– Proved</w:t>
            </w:r>
          </w:p>
        </w:tc>
        <w:tc>
          <w:tcPr>
            <w:tcW w:w="1020" w:type="dxa"/>
            <w:vAlign w:val="bottom"/>
          </w:tcPr>
          <w:p>
            <w:pPr>
              <w:jc w:val="right"/>
              <w:ind w:right="100"/>
              <w:spacing w:after="0"/>
              <w:rPr>
                <w:sz w:val="20"/>
                <w:szCs w:val="20"/>
                <w:color w:val="auto"/>
              </w:rPr>
            </w:pPr>
            <w:r>
              <w:rPr>
                <w:rFonts w:ascii="Arial" w:cs="Arial" w:eastAsia="Arial" w:hAnsi="Arial"/>
                <w:sz w:val="16"/>
                <w:szCs w:val="16"/>
                <w:color w:val="auto"/>
              </w:rPr>
              <w:t>1</w:t>
            </w:r>
          </w:p>
        </w:tc>
        <w:tc>
          <w:tcPr>
            <w:tcW w:w="1060" w:type="dxa"/>
            <w:vAlign w:val="bottom"/>
          </w:tcPr>
          <w:p>
            <w:pPr>
              <w:jc w:val="right"/>
              <w:ind w:right="140"/>
              <w:spacing w:after="0"/>
              <w:rPr>
                <w:sz w:val="20"/>
                <w:szCs w:val="20"/>
                <w:color w:val="auto"/>
              </w:rPr>
            </w:pPr>
            <w:r>
              <w:rPr>
                <w:rFonts w:ascii="Arial" w:cs="Arial" w:eastAsia="Arial" w:hAnsi="Arial"/>
                <w:sz w:val="16"/>
                <w:szCs w:val="16"/>
                <w:color w:val="auto"/>
              </w:rPr>
              <w:t>30</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280"/>
              <w:spacing w:after="0"/>
              <w:rPr>
                <w:sz w:val="20"/>
                <w:szCs w:val="20"/>
                <w:color w:val="auto"/>
              </w:rPr>
            </w:pPr>
            <w:r>
              <w:rPr>
                <w:rFonts w:ascii="Arial" w:cs="Arial" w:eastAsia="Arial" w:hAnsi="Arial"/>
                <w:sz w:val="16"/>
                <w:szCs w:val="16"/>
                <w:color w:val="auto"/>
              </w:rPr>
              <w:t>344</w:t>
            </w: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7</w:t>
            </w:r>
          </w:p>
        </w:tc>
        <w:tc>
          <w:tcPr>
            <w:tcW w:w="112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382</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040" w:type="dxa"/>
            <w:vAlign w:val="bottom"/>
          </w:tcPr>
          <w:p>
            <w:pPr>
              <w:ind w:left="140"/>
              <w:spacing w:after="0"/>
              <w:rPr>
                <w:sz w:val="20"/>
                <w:szCs w:val="20"/>
                <w:color w:val="auto"/>
              </w:rPr>
            </w:pPr>
            <w:r>
              <w:rPr>
                <w:rFonts w:ascii="Arial" w:cs="Arial" w:eastAsia="Arial" w:hAnsi="Arial"/>
                <w:sz w:val="16"/>
                <w:szCs w:val="16"/>
                <w:color w:val="auto"/>
              </w:rPr>
              <w:t>– Unproved</w:t>
            </w:r>
          </w:p>
        </w:tc>
        <w:tc>
          <w:tcPr>
            <w:tcW w:w="1020" w:type="dxa"/>
            <w:vAlign w:val="bottom"/>
          </w:tcPr>
          <w:p>
            <w:pPr>
              <w:jc w:val="right"/>
              <w:ind w:right="100"/>
              <w:spacing w:after="0"/>
              <w:rPr>
                <w:sz w:val="20"/>
                <w:szCs w:val="20"/>
                <w:color w:val="auto"/>
              </w:rPr>
            </w:pPr>
            <w:r>
              <w:rPr>
                <w:rFonts w:ascii="Arial" w:cs="Arial" w:eastAsia="Arial" w:hAnsi="Arial"/>
                <w:sz w:val="16"/>
                <w:szCs w:val="16"/>
                <w:color w:val="auto"/>
              </w:rPr>
              <w:t>80</w:t>
            </w:r>
          </w:p>
        </w:tc>
        <w:tc>
          <w:tcPr>
            <w:tcW w:w="1060" w:type="dxa"/>
            <w:vAlign w:val="bottom"/>
          </w:tcPr>
          <w:p>
            <w:pPr>
              <w:jc w:val="right"/>
              <w:ind w:right="140"/>
              <w:spacing w:after="0"/>
              <w:rPr>
                <w:sz w:val="20"/>
                <w:szCs w:val="20"/>
                <w:color w:val="auto"/>
              </w:rPr>
            </w:pPr>
            <w:r>
              <w:rPr>
                <w:rFonts w:ascii="Arial" w:cs="Arial" w:eastAsia="Arial" w:hAnsi="Arial"/>
                <w:sz w:val="16"/>
                <w:szCs w:val="16"/>
                <w:color w:val="auto"/>
              </w:rPr>
              <w:t>3</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280"/>
              <w:spacing w:after="0"/>
              <w:rPr>
                <w:sz w:val="20"/>
                <w:szCs w:val="20"/>
                <w:color w:val="auto"/>
              </w:rPr>
            </w:pPr>
            <w:r>
              <w:rPr>
                <w:rFonts w:ascii="Arial" w:cs="Arial" w:eastAsia="Arial" w:hAnsi="Arial"/>
                <w:sz w:val="16"/>
                <w:szCs w:val="16"/>
                <w:color w:val="auto"/>
              </w:rPr>
              <w:t>47</w:t>
            </w: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216"/>
        </w:trPr>
        <w:tc>
          <w:tcPr>
            <w:tcW w:w="2080" w:type="dxa"/>
            <w:vAlign w:val="bottom"/>
          </w:tcPr>
          <w:p>
            <w:pPr>
              <w:ind w:left="260"/>
              <w:spacing w:after="0"/>
              <w:rPr>
                <w:sz w:val="20"/>
                <w:szCs w:val="20"/>
                <w:color w:val="auto"/>
              </w:rPr>
            </w:pPr>
            <w:r>
              <w:rPr>
                <w:rFonts w:ascii="Arial" w:cs="Arial" w:eastAsia="Arial" w:hAnsi="Arial"/>
                <w:sz w:val="16"/>
                <w:szCs w:val="16"/>
                <w:color w:val="auto"/>
              </w:rPr>
              <w:t>Exploration costs</w:t>
            </w:r>
          </w:p>
        </w:tc>
        <w:tc>
          <w:tcPr>
            <w:tcW w:w="2040" w:type="dxa"/>
            <w:vAlign w:val="bottom"/>
          </w:tcPr>
          <w:p>
            <w:pPr>
              <w:spacing w:after="0"/>
              <w:rPr>
                <w:sz w:val="18"/>
                <w:szCs w:val="18"/>
                <w:color w:val="auto"/>
              </w:rPr>
            </w:pPr>
          </w:p>
        </w:tc>
        <w:tc>
          <w:tcPr>
            <w:tcW w:w="1020" w:type="dxa"/>
            <w:vAlign w:val="bottom"/>
          </w:tcPr>
          <w:p>
            <w:pPr>
              <w:jc w:val="right"/>
              <w:ind w:right="100"/>
              <w:spacing w:after="0"/>
              <w:rPr>
                <w:sz w:val="20"/>
                <w:szCs w:val="20"/>
                <w:color w:val="auto"/>
              </w:rPr>
            </w:pPr>
            <w:r>
              <w:rPr>
                <w:rFonts w:ascii="Arial" w:cs="Arial" w:eastAsia="Arial" w:hAnsi="Arial"/>
                <w:sz w:val="16"/>
                <w:szCs w:val="16"/>
                <w:color w:val="auto"/>
              </w:rPr>
              <w:t>60</w:t>
            </w:r>
          </w:p>
        </w:tc>
        <w:tc>
          <w:tcPr>
            <w:tcW w:w="1060" w:type="dxa"/>
            <w:vAlign w:val="bottom"/>
          </w:tcPr>
          <w:p>
            <w:pPr>
              <w:jc w:val="right"/>
              <w:ind w:right="140"/>
              <w:spacing w:after="0"/>
              <w:rPr>
                <w:sz w:val="20"/>
                <w:szCs w:val="20"/>
                <w:color w:val="auto"/>
              </w:rPr>
            </w:pPr>
            <w:r>
              <w:rPr>
                <w:rFonts w:ascii="Arial" w:cs="Arial" w:eastAsia="Arial" w:hAnsi="Arial"/>
                <w:sz w:val="16"/>
                <w:szCs w:val="16"/>
                <w:color w:val="auto"/>
              </w:rPr>
              <w:t>702</w:t>
            </w:r>
          </w:p>
        </w:tc>
        <w:tc>
          <w:tcPr>
            <w:tcW w:w="840" w:type="dxa"/>
            <w:vAlign w:val="bottom"/>
          </w:tcPr>
          <w:p>
            <w:pPr>
              <w:jc w:val="right"/>
              <w:spacing w:after="0"/>
              <w:rPr>
                <w:sz w:val="20"/>
                <w:szCs w:val="20"/>
                <w:color w:val="auto"/>
              </w:rPr>
            </w:pPr>
            <w:r>
              <w:rPr>
                <w:rFonts w:ascii="Arial" w:cs="Arial" w:eastAsia="Arial" w:hAnsi="Arial"/>
                <w:sz w:val="16"/>
                <w:szCs w:val="16"/>
                <w:color w:val="auto"/>
              </w:rPr>
              <w:t>40</w:t>
            </w:r>
          </w:p>
        </w:tc>
        <w:tc>
          <w:tcPr>
            <w:tcW w:w="1340" w:type="dxa"/>
            <w:vAlign w:val="bottom"/>
          </w:tcPr>
          <w:p>
            <w:pPr>
              <w:jc w:val="right"/>
              <w:ind w:right="280"/>
              <w:spacing w:after="0"/>
              <w:rPr>
                <w:sz w:val="20"/>
                <w:szCs w:val="20"/>
                <w:color w:val="auto"/>
              </w:rPr>
            </w:pPr>
            <w:r>
              <w:rPr>
                <w:rFonts w:ascii="Arial" w:cs="Arial" w:eastAsia="Arial" w:hAnsi="Arial"/>
                <w:sz w:val="16"/>
                <w:szCs w:val="16"/>
                <w:color w:val="auto"/>
              </w:rPr>
              <w:t>232</w:t>
            </w: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110</w:t>
            </w:r>
          </w:p>
        </w:tc>
        <w:tc>
          <w:tcPr>
            <w:tcW w:w="1120" w:type="dxa"/>
            <w:vAlign w:val="bottom"/>
          </w:tcPr>
          <w:p>
            <w:pPr>
              <w:jc w:val="right"/>
              <w:ind w:right="160"/>
              <w:spacing w:after="0"/>
              <w:rPr>
                <w:sz w:val="20"/>
                <w:szCs w:val="20"/>
                <w:color w:val="auto"/>
              </w:rPr>
            </w:pPr>
            <w:r>
              <w:rPr>
                <w:rFonts w:ascii="Arial" w:cs="Arial" w:eastAsia="Arial" w:hAnsi="Arial"/>
                <w:sz w:val="16"/>
                <w:szCs w:val="16"/>
                <w:color w:val="auto"/>
              </w:rPr>
              <w:t>83</w:t>
            </w:r>
          </w:p>
        </w:tc>
        <w:tc>
          <w:tcPr>
            <w:tcW w:w="840" w:type="dxa"/>
            <w:vAlign w:val="bottom"/>
          </w:tcPr>
          <w:p>
            <w:pPr>
              <w:jc w:val="right"/>
              <w:spacing w:after="0"/>
              <w:rPr>
                <w:sz w:val="20"/>
                <w:szCs w:val="20"/>
                <w:color w:val="auto"/>
              </w:rPr>
            </w:pPr>
            <w:r>
              <w:rPr>
                <w:rFonts w:ascii="Arial" w:cs="Arial" w:eastAsia="Arial" w:hAnsi="Arial"/>
                <w:sz w:val="16"/>
                <w:szCs w:val="16"/>
                <w:color w:val="auto"/>
              </w:rPr>
              <w:t>1,227</w:t>
            </w:r>
          </w:p>
        </w:tc>
        <w:tc>
          <w:tcPr>
            <w:tcW w:w="0" w:type="dxa"/>
            <w:vAlign w:val="bottom"/>
          </w:tcPr>
          <w:p>
            <w:pPr>
              <w:spacing w:after="0"/>
              <w:rPr>
                <w:sz w:val="1"/>
                <w:szCs w:val="1"/>
                <w:color w:val="auto"/>
              </w:rPr>
            </w:pPr>
          </w:p>
        </w:tc>
      </w:tr>
      <w:tr>
        <w:trPr>
          <w:trHeight w:val="216"/>
        </w:trPr>
        <w:tc>
          <w:tcPr>
            <w:tcW w:w="2080" w:type="dxa"/>
            <w:vAlign w:val="bottom"/>
          </w:tcPr>
          <w:p>
            <w:pPr>
              <w:ind w:left="260"/>
              <w:spacing w:after="0"/>
              <w:rPr>
                <w:sz w:val="20"/>
                <w:szCs w:val="20"/>
                <w:color w:val="auto"/>
              </w:rPr>
            </w:pPr>
            <w:r>
              <w:rPr>
                <w:rFonts w:ascii="Arial" w:cs="Arial" w:eastAsia="Arial" w:hAnsi="Arial"/>
                <w:sz w:val="16"/>
                <w:szCs w:val="16"/>
                <w:color w:val="auto"/>
              </w:rPr>
              <w:t>Development costs</w:t>
            </w:r>
          </w:p>
        </w:tc>
        <w:tc>
          <w:tcPr>
            <w:tcW w:w="2040" w:type="dxa"/>
            <w:vAlign w:val="bottom"/>
          </w:tcPr>
          <w:p>
            <w:pPr>
              <w:spacing w:after="0"/>
              <w:rPr>
                <w:sz w:val="18"/>
                <w:szCs w:val="18"/>
                <w:color w:val="auto"/>
              </w:rPr>
            </w:pPr>
          </w:p>
        </w:tc>
        <w:tc>
          <w:tcPr>
            <w:tcW w:w="10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5,675</w:t>
            </w:r>
          </w:p>
        </w:tc>
        <w:tc>
          <w:tcPr>
            <w:tcW w:w="106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2,059</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316</w:t>
            </w:r>
          </w:p>
        </w:tc>
        <w:tc>
          <w:tcPr>
            <w:tcW w:w="134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rPr>
              <w:t>(239)</w:t>
            </w: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974</w:t>
            </w:r>
          </w:p>
        </w:tc>
        <w:tc>
          <w:tcPr>
            <w:tcW w:w="112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730</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9,515</w:t>
            </w:r>
          </w:p>
        </w:tc>
        <w:tc>
          <w:tcPr>
            <w:tcW w:w="0" w:type="dxa"/>
            <w:vAlign w:val="bottom"/>
          </w:tcPr>
          <w:p>
            <w:pPr>
              <w:spacing w:after="0"/>
              <w:rPr>
                <w:sz w:val="1"/>
                <w:szCs w:val="1"/>
                <w:color w:val="auto"/>
              </w:rPr>
            </w:pPr>
          </w:p>
        </w:tc>
      </w:tr>
      <w:tr>
        <w:trPr>
          <w:trHeight w:val="209"/>
        </w:trPr>
        <w:tc>
          <w:tcPr>
            <w:tcW w:w="4120" w:type="dxa"/>
            <w:vAlign w:val="bottom"/>
            <w:gridSpan w:val="2"/>
          </w:tcPr>
          <w:p>
            <w:pPr>
              <w:ind w:left="260"/>
              <w:spacing w:after="0"/>
              <w:rPr>
                <w:sz w:val="20"/>
                <w:szCs w:val="20"/>
                <w:color w:val="auto"/>
              </w:rPr>
            </w:pPr>
            <w:r>
              <w:rPr>
                <w:rFonts w:ascii="Arial" w:cs="Arial" w:eastAsia="Arial" w:hAnsi="Arial"/>
                <w:sz w:val="16"/>
                <w:szCs w:val="16"/>
                <w:color w:val="auto"/>
              </w:rPr>
              <w:t>Total costs incurred for consolidated subsidiaries</w:t>
            </w:r>
          </w:p>
        </w:tc>
        <w:tc>
          <w:tcPr>
            <w:tcW w:w="10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5,816</w:t>
            </w:r>
          </w:p>
        </w:tc>
        <w:tc>
          <w:tcPr>
            <w:tcW w:w="106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2,794</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356</w:t>
            </w:r>
          </w:p>
        </w:tc>
        <w:tc>
          <w:tcPr>
            <w:tcW w:w="134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color w:val="auto"/>
              </w:rPr>
              <w:t>384</w:t>
            </w: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1,091</w:t>
            </w:r>
          </w:p>
        </w:tc>
        <w:tc>
          <w:tcPr>
            <w:tcW w:w="112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813</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11,254</w:t>
            </w:r>
          </w:p>
        </w:tc>
        <w:tc>
          <w:tcPr>
            <w:tcW w:w="0" w:type="dxa"/>
            <w:vAlign w:val="bottom"/>
          </w:tcPr>
          <w:p>
            <w:pPr>
              <w:spacing w:after="0"/>
              <w:rPr>
                <w:sz w:val="1"/>
                <w:szCs w:val="1"/>
                <w:color w:val="auto"/>
              </w:rPr>
            </w:pPr>
          </w:p>
        </w:tc>
      </w:tr>
      <w:tr>
        <w:trPr>
          <w:trHeight w:val="358"/>
        </w:trPr>
        <w:tc>
          <w:tcPr>
            <w:tcW w:w="2080" w:type="dxa"/>
            <w:vAlign w:val="bottom"/>
          </w:tcPr>
          <w:p>
            <w:pPr>
              <w:ind w:left="140"/>
              <w:spacing w:after="0"/>
              <w:rPr>
                <w:sz w:val="20"/>
                <w:szCs w:val="20"/>
                <w:color w:val="auto"/>
              </w:rPr>
            </w:pPr>
            <w:r>
              <w:rPr>
                <w:rFonts w:ascii="Arial" w:cs="Arial" w:eastAsia="Arial" w:hAnsi="Arial"/>
                <w:sz w:val="16"/>
                <w:szCs w:val="16"/>
                <w:b w:val="1"/>
                <w:bCs w:val="1"/>
                <w:color w:val="auto"/>
              </w:rPr>
              <w:t>Equity Companies</w:t>
            </w:r>
          </w:p>
        </w:tc>
        <w:tc>
          <w:tcPr>
            <w:tcW w:w="2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80" w:type="dxa"/>
            <w:vAlign w:val="bottom"/>
          </w:tcPr>
          <w:p>
            <w:pPr>
              <w:ind w:left="260"/>
              <w:spacing w:after="0"/>
              <w:rPr>
                <w:sz w:val="20"/>
                <w:szCs w:val="20"/>
                <w:color w:val="auto"/>
              </w:rPr>
            </w:pPr>
            <w:r>
              <w:rPr>
                <w:rFonts w:ascii="Arial" w:cs="Arial" w:eastAsia="Arial" w:hAnsi="Arial"/>
                <w:sz w:val="16"/>
                <w:szCs w:val="16"/>
                <w:color w:val="auto"/>
                <w:w w:val="98"/>
              </w:rPr>
              <w:t>Property acquisition costs</w:t>
            </w:r>
          </w:p>
        </w:tc>
        <w:tc>
          <w:tcPr>
            <w:tcW w:w="2040" w:type="dxa"/>
            <w:vAlign w:val="bottom"/>
          </w:tcPr>
          <w:p>
            <w:pPr>
              <w:ind w:left="140"/>
              <w:spacing w:after="0"/>
              <w:rPr>
                <w:sz w:val="20"/>
                <w:szCs w:val="20"/>
                <w:color w:val="auto"/>
              </w:rPr>
            </w:pPr>
            <w:r>
              <w:rPr>
                <w:rFonts w:ascii="Arial" w:cs="Arial" w:eastAsia="Arial" w:hAnsi="Arial"/>
                <w:sz w:val="16"/>
                <w:szCs w:val="16"/>
                <w:color w:val="auto"/>
              </w:rPr>
              <w:t>– Proved</w:t>
            </w:r>
          </w:p>
        </w:tc>
        <w:tc>
          <w:tcPr>
            <w:tcW w:w="102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28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040" w:type="dxa"/>
            <w:vAlign w:val="bottom"/>
          </w:tcPr>
          <w:p>
            <w:pPr>
              <w:ind w:left="140"/>
              <w:spacing w:after="0"/>
              <w:rPr>
                <w:sz w:val="20"/>
                <w:szCs w:val="20"/>
                <w:color w:val="auto"/>
              </w:rPr>
            </w:pPr>
            <w:r>
              <w:rPr>
                <w:rFonts w:ascii="Arial" w:cs="Arial" w:eastAsia="Arial" w:hAnsi="Arial"/>
                <w:sz w:val="16"/>
                <w:szCs w:val="16"/>
                <w:color w:val="auto"/>
              </w:rPr>
              <w:t>– Unproved</w:t>
            </w:r>
          </w:p>
        </w:tc>
        <w:tc>
          <w:tcPr>
            <w:tcW w:w="102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28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080" w:type="dxa"/>
            <w:vAlign w:val="bottom"/>
          </w:tcPr>
          <w:p>
            <w:pPr>
              <w:ind w:left="260"/>
              <w:spacing w:after="0"/>
              <w:rPr>
                <w:sz w:val="20"/>
                <w:szCs w:val="20"/>
                <w:color w:val="auto"/>
              </w:rPr>
            </w:pPr>
            <w:r>
              <w:rPr>
                <w:rFonts w:ascii="Arial" w:cs="Arial" w:eastAsia="Arial" w:hAnsi="Arial"/>
                <w:sz w:val="16"/>
                <w:szCs w:val="16"/>
                <w:color w:val="auto"/>
              </w:rPr>
              <w:t>Exploration costs</w:t>
            </w:r>
          </w:p>
        </w:tc>
        <w:tc>
          <w:tcPr>
            <w:tcW w:w="2040" w:type="dxa"/>
            <w:vAlign w:val="bottom"/>
          </w:tcPr>
          <w:p>
            <w:pPr>
              <w:spacing w:after="0"/>
              <w:rPr>
                <w:sz w:val="18"/>
                <w:szCs w:val="18"/>
                <w:color w:val="auto"/>
              </w:rPr>
            </w:pPr>
          </w:p>
        </w:tc>
        <w:tc>
          <w:tcPr>
            <w:tcW w:w="102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w:t>
            </w:r>
          </w:p>
        </w:tc>
        <w:tc>
          <w:tcPr>
            <w:tcW w:w="1340" w:type="dxa"/>
            <w:vAlign w:val="bottom"/>
          </w:tcPr>
          <w:p>
            <w:pPr>
              <w:jc w:val="right"/>
              <w:ind w:right="28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6"/>
        </w:trPr>
        <w:tc>
          <w:tcPr>
            <w:tcW w:w="2080" w:type="dxa"/>
            <w:vAlign w:val="bottom"/>
          </w:tcPr>
          <w:p>
            <w:pPr>
              <w:ind w:left="260"/>
              <w:spacing w:after="0"/>
              <w:rPr>
                <w:sz w:val="20"/>
                <w:szCs w:val="20"/>
                <w:color w:val="auto"/>
              </w:rPr>
            </w:pPr>
            <w:r>
              <w:rPr>
                <w:rFonts w:ascii="Arial" w:cs="Arial" w:eastAsia="Arial" w:hAnsi="Arial"/>
                <w:sz w:val="16"/>
                <w:szCs w:val="16"/>
                <w:color w:val="auto"/>
              </w:rPr>
              <w:t>Development costs</w:t>
            </w:r>
          </w:p>
        </w:tc>
        <w:tc>
          <w:tcPr>
            <w:tcW w:w="2040" w:type="dxa"/>
            <w:vAlign w:val="bottom"/>
          </w:tcPr>
          <w:p>
            <w:pPr>
              <w:spacing w:after="0"/>
              <w:rPr>
                <w:sz w:val="18"/>
                <w:szCs w:val="18"/>
                <w:color w:val="auto"/>
              </w:rPr>
            </w:pPr>
          </w:p>
        </w:tc>
        <w:tc>
          <w:tcPr>
            <w:tcW w:w="10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135</w:t>
            </w:r>
          </w:p>
        </w:tc>
        <w:tc>
          <w:tcPr>
            <w:tcW w:w="106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34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color w:val="auto"/>
              </w:rPr>
              <w:t>71</w:t>
            </w: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1,784</w:t>
            </w:r>
          </w:p>
        </w:tc>
        <w:tc>
          <w:tcPr>
            <w:tcW w:w="112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2,010</w:t>
            </w:r>
          </w:p>
        </w:tc>
        <w:tc>
          <w:tcPr>
            <w:tcW w:w="0" w:type="dxa"/>
            <w:vAlign w:val="bottom"/>
          </w:tcPr>
          <w:p>
            <w:pPr>
              <w:spacing w:after="0"/>
              <w:rPr>
                <w:sz w:val="1"/>
                <w:szCs w:val="1"/>
                <w:color w:val="auto"/>
              </w:rPr>
            </w:pPr>
          </w:p>
        </w:tc>
      </w:tr>
      <w:tr>
        <w:trPr>
          <w:trHeight w:val="210"/>
        </w:trPr>
        <w:tc>
          <w:tcPr>
            <w:tcW w:w="4120" w:type="dxa"/>
            <w:vAlign w:val="bottom"/>
            <w:gridSpan w:val="2"/>
          </w:tcPr>
          <w:p>
            <w:pPr>
              <w:ind w:left="260"/>
              <w:spacing w:after="0"/>
              <w:rPr>
                <w:sz w:val="20"/>
                <w:szCs w:val="20"/>
                <w:color w:val="auto"/>
              </w:rPr>
            </w:pPr>
            <w:r>
              <w:rPr>
                <w:rFonts w:ascii="Arial" w:cs="Arial" w:eastAsia="Arial" w:hAnsi="Arial"/>
                <w:sz w:val="16"/>
                <w:szCs w:val="16"/>
                <w:color w:val="auto"/>
              </w:rPr>
              <w:t>Total costs incurred for equity companies</w:t>
            </w:r>
          </w:p>
        </w:tc>
        <w:tc>
          <w:tcPr>
            <w:tcW w:w="10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135</w:t>
            </w:r>
          </w:p>
        </w:tc>
        <w:tc>
          <w:tcPr>
            <w:tcW w:w="106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34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color w:val="auto"/>
              </w:rPr>
              <w:t>71</w:t>
            </w: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1,784</w:t>
            </w:r>
          </w:p>
        </w:tc>
        <w:tc>
          <w:tcPr>
            <w:tcW w:w="112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2,012</w:t>
            </w:r>
          </w:p>
        </w:tc>
        <w:tc>
          <w:tcPr>
            <w:tcW w:w="0" w:type="dxa"/>
            <w:vAlign w:val="bottom"/>
          </w:tcPr>
          <w:p>
            <w:pPr>
              <w:spacing w:after="0"/>
              <w:rPr>
                <w:sz w:val="1"/>
                <w:szCs w:val="1"/>
                <w:color w:val="auto"/>
              </w:rPr>
            </w:pPr>
          </w:p>
        </w:tc>
      </w:tr>
      <w:tr>
        <w:trPr>
          <w:trHeight w:val="358"/>
        </w:trPr>
        <w:tc>
          <w:tcPr>
            <w:tcW w:w="2080" w:type="dxa"/>
            <w:vAlign w:val="bottom"/>
          </w:tcPr>
          <w:p>
            <w:pPr>
              <w:ind w:left="20"/>
              <w:spacing w:after="0"/>
              <w:rPr>
                <w:sz w:val="20"/>
                <w:szCs w:val="20"/>
                <w:color w:val="auto"/>
              </w:rPr>
            </w:pPr>
            <w:r>
              <w:rPr>
                <w:rFonts w:ascii="Arial" w:cs="Arial" w:eastAsia="Arial" w:hAnsi="Arial"/>
                <w:sz w:val="16"/>
                <w:szCs w:val="16"/>
                <w:b w:val="1"/>
                <w:bCs w:val="1"/>
                <w:color w:val="auto"/>
              </w:rPr>
              <w:t>During 2019</w:t>
            </w:r>
          </w:p>
        </w:tc>
        <w:tc>
          <w:tcPr>
            <w:tcW w:w="2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80" w:type="dxa"/>
            <w:vAlign w:val="bottom"/>
          </w:tcPr>
          <w:p>
            <w:pPr>
              <w:ind w:left="140"/>
              <w:spacing w:after="0"/>
              <w:rPr>
                <w:sz w:val="20"/>
                <w:szCs w:val="20"/>
                <w:color w:val="auto"/>
              </w:rPr>
            </w:pPr>
            <w:r>
              <w:rPr>
                <w:rFonts w:ascii="Arial" w:cs="Arial" w:eastAsia="Arial" w:hAnsi="Arial"/>
                <w:sz w:val="16"/>
                <w:szCs w:val="16"/>
                <w:b w:val="1"/>
                <w:bCs w:val="1"/>
                <w:color w:val="auto"/>
                <w:w w:val="95"/>
              </w:rPr>
              <w:t>Consolidated Subsidiaries</w:t>
            </w:r>
          </w:p>
        </w:tc>
        <w:tc>
          <w:tcPr>
            <w:tcW w:w="2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ind w:left="260"/>
              <w:spacing w:after="0"/>
              <w:rPr>
                <w:sz w:val="20"/>
                <w:szCs w:val="20"/>
                <w:color w:val="auto"/>
              </w:rPr>
            </w:pPr>
            <w:r>
              <w:rPr>
                <w:rFonts w:ascii="Arial" w:cs="Arial" w:eastAsia="Arial" w:hAnsi="Arial"/>
                <w:sz w:val="16"/>
                <w:szCs w:val="16"/>
                <w:color w:val="auto"/>
                <w:w w:val="98"/>
              </w:rPr>
              <w:t>Property acquisition costs</w:t>
            </w:r>
          </w:p>
        </w:tc>
        <w:tc>
          <w:tcPr>
            <w:tcW w:w="2040" w:type="dxa"/>
            <w:vAlign w:val="bottom"/>
          </w:tcPr>
          <w:p>
            <w:pPr>
              <w:ind w:left="140"/>
              <w:spacing w:after="0"/>
              <w:rPr>
                <w:sz w:val="20"/>
                <w:szCs w:val="20"/>
                <w:color w:val="auto"/>
              </w:rPr>
            </w:pPr>
            <w:r>
              <w:rPr>
                <w:rFonts w:ascii="Arial" w:cs="Arial" w:eastAsia="Arial" w:hAnsi="Arial"/>
                <w:sz w:val="16"/>
                <w:szCs w:val="16"/>
                <w:color w:val="auto"/>
              </w:rPr>
              <w:t>– Proved</w:t>
            </w:r>
          </w:p>
        </w:tc>
        <w:tc>
          <w:tcPr>
            <w:tcW w:w="1020" w:type="dxa"/>
            <w:vAlign w:val="bottom"/>
          </w:tcPr>
          <w:p>
            <w:pPr>
              <w:jc w:val="right"/>
              <w:ind w:right="100"/>
              <w:spacing w:after="0"/>
              <w:rPr>
                <w:sz w:val="20"/>
                <w:szCs w:val="20"/>
                <w:color w:val="auto"/>
              </w:rPr>
            </w:pPr>
            <w:r>
              <w:rPr>
                <w:rFonts w:ascii="Arial" w:cs="Arial" w:eastAsia="Arial" w:hAnsi="Arial"/>
                <w:sz w:val="16"/>
                <w:szCs w:val="16"/>
                <w:color w:val="auto"/>
              </w:rPr>
              <w:t>12</w:t>
            </w:r>
          </w:p>
        </w:tc>
        <w:tc>
          <w:tcPr>
            <w:tcW w:w="106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28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26</w:t>
            </w:r>
          </w:p>
        </w:tc>
        <w:tc>
          <w:tcPr>
            <w:tcW w:w="112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040" w:type="dxa"/>
            <w:vAlign w:val="bottom"/>
          </w:tcPr>
          <w:p>
            <w:pPr>
              <w:ind w:left="140"/>
              <w:spacing w:after="0"/>
              <w:rPr>
                <w:sz w:val="20"/>
                <w:szCs w:val="20"/>
                <w:color w:val="auto"/>
              </w:rPr>
            </w:pPr>
            <w:r>
              <w:rPr>
                <w:rFonts w:ascii="Arial" w:cs="Arial" w:eastAsia="Arial" w:hAnsi="Arial"/>
                <w:sz w:val="16"/>
                <w:szCs w:val="16"/>
                <w:color w:val="auto"/>
              </w:rPr>
              <w:t>– Unproved</w:t>
            </w:r>
          </w:p>
        </w:tc>
        <w:tc>
          <w:tcPr>
            <w:tcW w:w="1020" w:type="dxa"/>
            <w:vAlign w:val="bottom"/>
          </w:tcPr>
          <w:p>
            <w:pPr>
              <w:jc w:val="right"/>
              <w:ind w:right="100"/>
              <w:spacing w:after="0"/>
              <w:rPr>
                <w:sz w:val="20"/>
                <w:szCs w:val="20"/>
                <w:color w:val="auto"/>
              </w:rPr>
            </w:pPr>
            <w:r>
              <w:rPr>
                <w:rFonts w:ascii="Arial" w:cs="Arial" w:eastAsia="Arial" w:hAnsi="Arial"/>
                <w:sz w:val="16"/>
                <w:szCs w:val="16"/>
                <w:color w:val="auto"/>
              </w:rPr>
              <w:t>226</w:t>
            </w:r>
          </w:p>
        </w:tc>
        <w:tc>
          <w:tcPr>
            <w:tcW w:w="1060" w:type="dxa"/>
            <w:vAlign w:val="bottom"/>
          </w:tcPr>
          <w:p>
            <w:pPr>
              <w:jc w:val="right"/>
              <w:ind w:right="140"/>
              <w:spacing w:after="0"/>
              <w:rPr>
                <w:sz w:val="20"/>
                <w:szCs w:val="20"/>
                <w:color w:val="auto"/>
              </w:rPr>
            </w:pPr>
            <w:r>
              <w:rPr>
                <w:rFonts w:ascii="Arial" w:cs="Arial" w:eastAsia="Arial" w:hAnsi="Arial"/>
                <w:sz w:val="16"/>
                <w:szCs w:val="16"/>
                <w:color w:val="auto"/>
              </w:rPr>
              <w:t>105</w:t>
            </w:r>
          </w:p>
        </w:tc>
        <w:tc>
          <w:tcPr>
            <w:tcW w:w="840" w:type="dxa"/>
            <w:vAlign w:val="bottom"/>
          </w:tcPr>
          <w:p>
            <w:pPr>
              <w:jc w:val="right"/>
              <w:spacing w:after="0"/>
              <w:rPr>
                <w:sz w:val="20"/>
                <w:szCs w:val="20"/>
                <w:color w:val="auto"/>
              </w:rPr>
            </w:pPr>
            <w:r>
              <w:rPr>
                <w:rFonts w:ascii="Arial" w:cs="Arial" w:eastAsia="Arial" w:hAnsi="Arial"/>
                <w:sz w:val="16"/>
                <w:szCs w:val="16"/>
                <w:color w:val="auto"/>
              </w:rPr>
              <w:t>1</w:t>
            </w:r>
          </w:p>
        </w:tc>
        <w:tc>
          <w:tcPr>
            <w:tcW w:w="1340" w:type="dxa"/>
            <w:vAlign w:val="bottom"/>
          </w:tcPr>
          <w:p>
            <w:pPr>
              <w:jc w:val="right"/>
              <w:ind w:right="280"/>
              <w:spacing w:after="0"/>
              <w:rPr>
                <w:sz w:val="20"/>
                <w:szCs w:val="20"/>
                <w:color w:val="auto"/>
              </w:rPr>
            </w:pPr>
            <w:r>
              <w:rPr>
                <w:rFonts w:ascii="Arial" w:cs="Arial" w:eastAsia="Arial" w:hAnsi="Arial"/>
                <w:sz w:val="16"/>
                <w:szCs w:val="16"/>
                <w:color w:val="auto"/>
              </w:rPr>
              <w:t>20</w:t>
            </w: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352</w:t>
            </w:r>
          </w:p>
        </w:tc>
        <w:tc>
          <w:tcPr>
            <w:tcW w:w="0" w:type="dxa"/>
            <w:vAlign w:val="bottom"/>
          </w:tcPr>
          <w:p>
            <w:pPr>
              <w:spacing w:after="0"/>
              <w:rPr>
                <w:sz w:val="1"/>
                <w:szCs w:val="1"/>
                <w:color w:val="auto"/>
              </w:rPr>
            </w:pPr>
          </w:p>
        </w:tc>
      </w:tr>
      <w:tr>
        <w:trPr>
          <w:trHeight w:val="216"/>
        </w:trPr>
        <w:tc>
          <w:tcPr>
            <w:tcW w:w="2080" w:type="dxa"/>
            <w:vAlign w:val="bottom"/>
          </w:tcPr>
          <w:p>
            <w:pPr>
              <w:ind w:left="260"/>
              <w:spacing w:after="0"/>
              <w:rPr>
                <w:sz w:val="20"/>
                <w:szCs w:val="20"/>
                <w:color w:val="auto"/>
              </w:rPr>
            </w:pPr>
            <w:r>
              <w:rPr>
                <w:rFonts w:ascii="Arial" w:cs="Arial" w:eastAsia="Arial" w:hAnsi="Arial"/>
                <w:sz w:val="16"/>
                <w:szCs w:val="16"/>
                <w:color w:val="auto"/>
              </w:rPr>
              <w:t>Exploration costs</w:t>
            </w:r>
          </w:p>
        </w:tc>
        <w:tc>
          <w:tcPr>
            <w:tcW w:w="2040" w:type="dxa"/>
            <w:vAlign w:val="bottom"/>
          </w:tcPr>
          <w:p>
            <w:pPr>
              <w:spacing w:after="0"/>
              <w:rPr>
                <w:sz w:val="18"/>
                <w:szCs w:val="18"/>
                <w:color w:val="auto"/>
              </w:rPr>
            </w:pPr>
          </w:p>
        </w:tc>
        <w:tc>
          <w:tcPr>
            <w:tcW w:w="1020" w:type="dxa"/>
            <w:vAlign w:val="bottom"/>
          </w:tcPr>
          <w:p>
            <w:pPr>
              <w:jc w:val="right"/>
              <w:ind w:right="100"/>
              <w:spacing w:after="0"/>
              <w:rPr>
                <w:sz w:val="20"/>
                <w:szCs w:val="20"/>
                <w:color w:val="auto"/>
              </w:rPr>
            </w:pPr>
            <w:r>
              <w:rPr>
                <w:rFonts w:ascii="Arial" w:cs="Arial" w:eastAsia="Arial" w:hAnsi="Arial"/>
                <w:sz w:val="16"/>
                <w:szCs w:val="16"/>
                <w:color w:val="auto"/>
              </w:rPr>
              <w:t>134</w:t>
            </w:r>
          </w:p>
        </w:tc>
        <w:tc>
          <w:tcPr>
            <w:tcW w:w="1060" w:type="dxa"/>
            <w:vAlign w:val="bottom"/>
          </w:tcPr>
          <w:p>
            <w:pPr>
              <w:jc w:val="right"/>
              <w:ind w:right="140"/>
              <w:spacing w:after="0"/>
              <w:rPr>
                <w:sz w:val="20"/>
                <w:szCs w:val="20"/>
                <w:color w:val="auto"/>
              </w:rPr>
            </w:pPr>
            <w:r>
              <w:rPr>
                <w:rFonts w:ascii="Arial" w:cs="Arial" w:eastAsia="Arial" w:hAnsi="Arial"/>
                <w:sz w:val="16"/>
                <w:szCs w:val="16"/>
                <w:color w:val="auto"/>
              </w:rPr>
              <w:t>1,107</w:t>
            </w:r>
          </w:p>
        </w:tc>
        <w:tc>
          <w:tcPr>
            <w:tcW w:w="840" w:type="dxa"/>
            <w:vAlign w:val="bottom"/>
          </w:tcPr>
          <w:p>
            <w:pPr>
              <w:jc w:val="right"/>
              <w:spacing w:after="0"/>
              <w:rPr>
                <w:sz w:val="20"/>
                <w:szCs w:val="20"/>
                <w:color w:val="auto"/>
              </w:rPr>
            </w:pPr>
            <w:r>
              <w:rPr>
                <w:rFonts w:ascii="Arial" w:cs="Arial" w:eastAsia="Arial" w:hAnsi="Arial"/>
                <w:sz w:val="16"/>
                <w:szCs w:val="16"/>
                <w:color w:val="auto"/>
              </w:rPr>
              <w:t>155</w:t>
            </w:r>
          </w:p>
        </w:tc>
        <w:tc>
          <w:tcPr>
            <w:tcW w:w="1340" w:type="dxa"/>
            <w:vAlign w:val="bottom"/>
          </w:tcPr>
          <w:p>
            <w:pPr>
              <w:jc w:val="right"/>
              <w:ind w:right="280"/>
              <w:spacing w:after="0"/>
              <w:rPr>
                <w:sz w:val="20"/>
                <w:szCs w:val="20"/>
                <w:color w:val="auto"/>
              </w:rPr>
            </w:pPr>
            <w:r>
              <w:rPr>
                <w:rFonts w:ascii="Arial" w:cs="Arial" w:eastAsia="Arial" w:hAnsi="Arial"/>
                <w:sz w:val="16"/>
                <w:szCs w:val="16"/>
                <w:color w:val="auto"/>
              </w:rPr>
              <w:t>252</w:t>
            </w: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111</w:t>
            </w:r>
          </w:p>
        </w:tc>
        <w:tc>
          <w:tcPr>
            <w:tcW w:w="1120" w:type="dxa"/>
            <w:vAlign w:val="bottom"/>
          </w:tcPr>
          <w:p>
            <w:pPr>
              <w:jc w:val="right"/>
              <w:ind w:right="160"/>
              <w:spacing w:after="0"/>
              <w:rPr>
                <w:sz w:val="20"/>
                <w:szCs w:val="20"/>
                <w:color w:val="auto"/>
              </w:rPr>
            </w:pPr>
            <w:r>
              <w:rPr>
                <w:rFonts w:ascii="Arial" w:cs="Arial" w:eastAsia="Arial" w:hAnsi="Arial"/>
                <w:sz w:val="16"/>
                <w:szCs w:val="16"/>
                <w:color w:val="auto"/>
              </w:rPr>
              <w:t>194</w:t>
            </w:r>
          </w:p>
        </w:tc>
        <w:tc>
          <w:tcPr>
            <w:tcW w:w="840" w:type="dxa"/>
            <w:vAlign w:val="bottom"/>
          </w:tcPr>
          <w:p>
            <w:pPr>
              <w:jc w:val="right"/>
              <w:spacing w:after="0"/>
              <w:rPr>
                <w:sz w:val="20"/>
                <w:szCs w:val="20"/>
                <w:color w:val="auto"/>
              </w:rPr>
            </w:pPr>
            <w:r>
              <w:rPr>
                <w:rFonts w:ascii="Arial" w:cs="Arial" w:eastAsia="Arial" w:hAnsi="Arial"/>
                <w:sz w:val="16"/>
                <w:szCs w:val="16"/>
                <w:color w:val="auto"/>
              </w:rPr>
              <w:t>1,953</w:t>
            </w:r>
          </w:p>
        </w:tc>
        <w:tc>
          <w:tcPr>
            <w:tcW w:w="0" w:type="dxa"/>
            <w:vAlign w:val="bottom"/>
          </w:tcPr>
          <w:p>
            <w:pPr>
              <w:spacing w:after="0"/>
              <w:rPr>
                <w:sz w:val="1"/>
                <w:szCs w:val="1"/>
                <w:color w:val="auto"/>
              </w:rPr>
            </w:pPr>
          </w:p>
        </w:tc>
      </w:tr>
      <w:tr>
        <w:trPr>
          <w:trHeight w:val="216"/>
        </w:trPr>
        <w:tc>
          <w:tcPr>
            <w:tcW w:w="2080" w:type="dxa"/>
            <w:vAlign w:val="bottom"/>
          </w:tcPr>
          <w:p>
            <w:pPr>
              <w:ind w:left="260"/>
              <w:spacing w:after="0"/>
              <w:rPr>
                <w:sz w:val="20"/>
                <w:szCs w:val="20"/>
                <w:color w:val="auto"/>
              </w:rPr>
            </w:pPr>
            <w:r>
              <w:rPr>
                <w:rFonts w:ascii="Arial" w:cs="Arial" w:eastAsia="Arial" w:hAnsi="Arial"/>
                <w:sz w:val="16"/>
                <w:szCs w:val="16"/>
                <w:color w:val="auto"/>
              </w:rPr>
              <w:t>Development costs</w:t>
            </w:r>
          </w:p>
        </w:tc>
        <w:tc>
          <w:tcPr>
            <w:tcW w:w="2040" w:type="dxa"/>
            <w:vAlign w:val="bottom"/>
          </w:tcPr>
          <w:p>
            <w:pPr>
              <w:spacing w:after="0"/>
              <w:rPr>
                <w:sz w:val="18"/>
                <w:szCs w:val="18"/>
                <w:color w:val="auto"/>
              </w:rPr>
            </w:pPr>
          </w:p>
        </w:tc>
        <w:tc>
          <w:tcPr>
            <w:tcW w:w="10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10,275</w:t>
            </w:r>
          </w:p>
        </w:tc>
        <w:tc>
          <w:tcPr>
            <w:tcW w:w="106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2,946</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809</w:t>
            </w:r>
          </w:p>
        </w:tc>
        <w:tc>
          <w:tcPr>
            <w:tcW w:w="134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color w:val="auto"/>
              </w:rPr>
              <w:t>1,066</w:t>
            </w: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1,317</w:t>
            </w:r>
          </w:p>
        </w:tc>
        <w:tc>
          <w:tcPr>
            <w:tcW w:w="112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484</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16,897</w:t>
            </w:r>
          </w:p>
        </w:tc>
        <w:tc>
          <w:tcPr>
            <w:tcW w:w="0" w:type="dxa"/>
            <w:vAlign w:val="bottom"/>
          </w:tcPr>
          <w:p>
            <w:pPr>
              <w:spacing w:after="0"/>
              <w:rPr>
                <w:sz w:val="1"/>
                <w:szCs w:val="1"/>
                <w:color w:val="auto"/>
              </w:rPr>
            </w:pPr>
          </w:p>
        </w:tc>
      </w:tr>
      <w:tr>
        <w:trPr>
          <w:trHeight w:val="209"/>
        </w:trPr>
        <w:tc>
          <w:tcPr>
            <w:tcW w:w="4120" w:type="dxa"/>
            <w:vAlign w:val="bottom"/>
            <w:gridSpan w:val="2"/>
          </w:tcPr>
          <w:p>
            <w:pPr>
              <w:ind w:left="260"/>
              <w:spacing w:after="0"/>
              <w:rPr>
                <w:sz w:val="20"/>
                <w:szCs w:val="20"/>
                <w:color w:val="auto"/>
              </w:rPr>
            </w:pPr>
            <w:r>
              <w:rPr>
                <w:rFonts w:ascii="Arial" w:cs="Arial" w:eastAsia="Arial" w:hAnsi="Arial"/>
                <w:sz w:val="16"/>
                <w:szCs w:val="16"/>
                <w:color w:val="auto"/>
              </w:rPr>
              <w:t>Total costs incurred for consolidated subsidiaries</w:t>
            </w:r>
          </w:p>
        </w:tc>
        <w:tc>
          <w:tcPr>
            <w:tcW w:w="10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10,647</w:t>
            </w:r>
          </w:p>
        </w:tc>
        <w:tc>
          <w:tcPr>
            <w:tcW w:w="106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4,158</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965</w:t>
            </w:r>
          </w:p>
        </w:tc>
        <w:tc>
          <w:tcPr>
            <w:tcW w:w="134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color w:val="auto"/>
              </w:rPr>
              <w:t>1,338</w:t>
            </w: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1,454</w:t>
            </w:r>
          </w:p>
        </w:tc>
        <w:tc>
          <w:tcPr>
            <w:tcW w:w="112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678</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19,240</w:t>
            </w:r>
          </w:p>
        </w:tc>
        <w:tc>
          <w:tcPr>
            <w:tcW w:w="0" w:type="dxa"/>
            <w:vAlign w:val="bottom"/>
          </w:tcPr>
          <w:p>
            <w:pPr>
              <w:spacing w:after="0"/>
              <w:rPr>
                <w:sz w:val="1"/>
                <w:szCs w:val="1"/>
                <w:color w:val="auto"/>
              </w:rPr>
            </w:pPr>
          </w:p>
        </w:tc>
      </w:tr>
      <w:tr>
        <w:trPr>
          <w:trHeight w:val="358"/>
        </w:trPr>
        <w:tc>
          <w:tcPr>
            <w:tcW w:w="2080" w:type="dxa"/>
            <w:vAlign w:val="bottom"/>
          </w:tcPr>
          <w:p>
            <w:pPr>
              <w:ind w:left="140"/>
              <w:spacing w:after="0"/>
              <w:rPr>
                <w:sz w:val="20"/>
                <w:szCs w:val="20"/>
                <w:color w:val="auto"/>
              </w:rPr>
            </w:pPr>
            <w:r>
              <w:rPr>
                <w:rFonts w:ascii="Arial" w:cs="Arial" w:eastAsia="Arial" w:hAnsi="Arial"/>
                <w:sz w:val="16"/>
                <w:szCs w:val="16"/>
                <w:b w:val="1"/>
                <w:bCs w:val="1"/>
                <w:color w:val="auto"/>
              </w:rPr>
              <w:t>Equity Companies</w:t>
            </w:r>
          </w:p>
        </w:tc>
        <w:tc>
          <w:tcPr>
            <w:tcW w:w="2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80" w:type="dxa"/>
            <w:vAlign w:val="bottom"/>
          </w:tcPr>
          <w:p>
            <w:pPr>
              <w:ind w:left="260"/>
              <w:spacing w:after="0"/>
              <w:rPr>
                <w:sz w:val="20"/>
                <w:szCs w:val="20"/>
                <w:color w:val="auto"/>
              </w:rPr>
            </w:pPr>
            <w:r>
              <w:rPr>
                <w:rFonts w:ascii="Arial" w:cs="Arial" w:eastAsia="Arial" w:hAnsi="Arial"/>
                <w:sz w:val="16"/>
                <w:szCs w:val="16"/>
                <w:color w:val="auto"/>
                <w:w w:val="98"/>
              </w:rPr>
              <w:t>Property acquisition costs</w:t>
            </w:r>
          </w:p>
        </w:tc>
        <w:tc>
          <w:tcPr>
            <w:tcW w:w="2040" w:type="dxa"/>
            <w:vAlign w:val="bottom"/>
          </w:tcPr>
          <w:p>
            <w:pPr>
              <w:ind w:left="140"/>
              <w:spacing w:after="0"/>
              <w:rPr>
                <w:sz w:val="20"/>
                <w:szCs w:val="20"/>
                <w:color w:val="auto"/>
              </w:rPr>
            </w:pPr>
            <w:r>
              <w:rPr>
                <w:rFonts w:ascii="Arial" w:cs="Arial" w:eastAsia="Arial" w:hAnsi="Arial"/>
                <w:sz w:val="16"/>
                <w:szCs w:val="16"/>
                <w:color w:val="auto"/>
              </w:rPr>
              <w:t>– Proved</w:t>
            </w:r>
          </w:p>
        </w:tc>
        <w:tc>
          <w:tcPr>
            <w:tcW w:w="102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28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040" w:type="dxa"/>
            <w:vAlign w:val="bottom"/>
          </w:tcPr>
          <w:p>
            <w:pPr>
              <w:ind w:left="140"/>
              <w:spacing w:after="0"/>
              <w:rPr>
                <w:sz w:val="20"/>
                <w:szCs w:val="20"/>
                <w:color w:val="auto"/>
              </w:rPr>
            </w:pPr>
            <w:r>
              <w:rPr>
                <w:rFonts w:ascii="Arial" w:cs="Arial" w:eastAsia="Arial" w:hAnsi="Arial"/>
                <w:sz w:val="16"/>
                <w:szCs w:val="16"/>
                <w:color w:val="auto"/>
              </w:rPr>
              <w:t>– Unproved</w:t>
            </w:r>
          </w:p>
        </w:tc>
        <w:tc>
          <w:tcPr>
            <w:tcW w:w="102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28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080" w:type="dxa"/>
            <w:vAlign w:val="bottom"/>
          </w:tcPr>
          <w:p>
            <w:pPr>
              <w:ind w:left="260"/>
              <w:spacing w:after="0"/>
              <w:rPr>
                <w:sz w:val="20"/>
                <w:szCs w:val="20"/>
                <w:color w:val="auto"/>
              </w:rPr>
            </w:pPr>
            <w:r>
              <w:rPr>
                <w:rFonts w:ascii="Arial" w:cs="Arial" w:eastAsia="Arial" w:hAnsi="Arial"/>
                <w:sz w:val="16"/>
                <w:szCs w:val="16"/>
                <w:color w:val="auto"/>
              </w:rPr>
              <w:t>Exploration costs</w:t>
            </w:r>
          </w:p>
        </w:tc>
        <w:tc>
          <w:tcPr>
            <w:tcW w:w="2040" w:type="dxa"/>
            <w:vAlign w:val="bottom"/>
          </w:tcPr>
          <w:p>
            <w:pPr>
              <w:spacing w:after="0"/>
              <w:rPr>
                <w:sz w:val="18"/>
                <w:szCs w:val="18"/>
                <w:color w:val="auto"/>
              </w:rPr>
            </w:pPr>
          </w:p>
        </w:tc>
        <w:tc>
          <w:tcPr>
            <w:tcW w:w="1020" w:type="dxa"/>
            <w:vAlign w:val="bottom"/>
          </w:tcPr>
          <w:p>
            <w:pPr>
              <w:jc w:val="right"/>
              <w:ind w:right="100"/>
              <w:spacing w:after="0"/>
              <w:rPr>
                <w:sz w:val="20"/>
                <w:szCs w:val="20"/>
                <w:color w:val="auto"/>
              </w:rPr>
            </w:pPr>
            <w:r>
              <w:rPr>
                <w:rFonts w:ascii="Arial" w:cs="Arial" w:eastAsia="Arial" w:hAnsi="Arial"/>
                <w:sz w:val="16"/>
                <w:szCs w:val="16"/>
                <w:color w:val="auto"/>
              </w:rPr>
              <w:t>1</w:t>
            </w:r>
          </w:p>
        </w:tc>
        <w:tc>
          <w:tcPr>
            <w:tcW w:w="106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w:t>
            </w:r>
          </w:p>
        </w:tc>
        <w:tc>
          <w:tcPr>
            <w:tcW w:w="1340" w:type="dxa"/>
            <w:vAlign w:val="bottom"/>
          </w:tcPr>
          <w:p>
            <w:pPr>
              <w:jc w:val="right"/>
              <w:ind w:right="28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6"/>
        </w:trPr>
        <w:tc>
          <w:tcPr>
            <w:tcW w:w="2080" w:type="dxa"/>
            <w:vAlign w:val="bottom"/>
          </w:tcPr>
          <w:p>
            <w:pPr>
              <w:ind w:left="260"/>
              <w:spacing w:after="0"/>
              <w:rPr>
                <w:sz w:val="20"/>
                <w:szCs w:val="20"/>
                <w:color w:val="auto"/>
              </w:rPr>
            </w:pPr>
            <w:r>
              <w:rPr>
                <w:rFonts w:ascii="Arial" w:cs="Arial" w:eastAsia="Arial" w:hAnsi="Arial"/>
                <w:sz w:val="16"/>
                <w:szCs w:val="16"/>
                <w:color w:val="auto"/>
              </w:rPr>
              <w:t>Development costs</w:t>
            </w:r>
          </w:p>
        </w:tc>
        <w:tc>
          <w:tcPr>
            <w:tcW w:w="2040" w:type="dxa"/>
            <w:vAlign w:val="bottom"/>
          </w:tcPr>
          <w:p>
            <w:pPr>
              <w:spacing w:after="0"/>
              <w:rPr>
                <w:sz w:val="18"/>
                <w:szCs w:val="18"/>
                <w:color w:val="auto"/>
              </w:rPr>
            </w:pPr>
          </w:p>
        </w:tc>
        <w:tc>
          <w:tcPr>
            <w:tcW w:w="10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241</w:t>
            </w:r>
          </w:p>
        </w:tc>
        <w:tc>
          <w:tcPr>
            <w:tcW w:w="106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34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color w:val="auto"/>
              </w:rPr>
              <w:t>69</w:t>
            </w: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2,585</w:t>
            </w:r>
          </w:p>
        </w:tc>
        <w:tc>
          <w:tcPr>
            <w:tcW w:w="112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2,910</w:t>
            </w:r>
          </w:p>
        </w:tc>
        <w:tc>
          <w:tcPr>
            <w:tcW w:w="0" w:type="dxa"/>
            <w:vAlign w:val="bottom"/>
          </w:tcPr>
          <w:p>
            <w:pPr>
              <w:spacing w:after="0"/>
              <w:rPr>
                <w:sz w:val="1"/>
                <w:szCs w:val="1"/>
                <w:color w:val="auto"/>
              </w:rPr>
            </w:pPr>
          </w:p>
        </w:tc>
      </w:tr>
      <w:tr>
        <w:trPr>
          <w:trHeight w:val="213"/>
        </w:trPr>
        <w:tc>
          <w:tcPr>
            <w:tcW w:w="4120" w:type="dxa"/>
            <w:vAlign w:val="bottom"/>
            <w:gridSpan w:val="2"/>
          </w:tcPr>
          <w:p>
            <w:pPr>
              <w:ind w:left="260"/>
              <w:spacing w:after="0"/>
              <w:rPr>
                <w:sz w:val="20"/>
                <w:szCs w:val="20"/>
                <w:color w:val="auto"/>
              </w:rPr>
            </w:pPr>
            <w:r>
              <w:rPr>
                <w:rFonts w:ascii="Arial" w:cs="Arial" w:eastAsia="Arial" w:hAnsi="Arial"/>
                <w:sz w:val="16"/>
                <w:szCs w:val="16"/>
                <w:color w:val="auto"/>
              </w:rPr>
              <w:t>Total costs incurred for equity companies</w:t>
            </w:r>
          </w:p>
        </w:tc>
        <w:tc>
          <w:tcPr>
            <w:tcW w:w="10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242</w:t>
            </w:r>
          </w:p>
        </w:tc>
        <w:tc>
          <w:tcPr>
            <w:tcW w:w="106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34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color w:val="auto"/>
              </w:rPr>
              <w:t>69</w:t>
            </w: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2,585</w:t>
            </w:r>
          </w:p>
        </w:tc>
        <w:tc>
          <w:tcPr>
            <w:tcW w:w="112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2,916</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8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type w:val="continuous"/>
        </w:sectPr>
      </w:pPr>
    </w:p>
    <w:bookmarkStart w:id="115" w:name="page116"/>
    <w:bookmarkEnd w:id="115"/>
    <w:p>
      <w:pPr>
        <w:spacing w:after="0"/>
        <w:rPr>
          <w:sz w:val="20"/>
          <w:szCs w:val="20"/>
          <w:color w:val="auto"/>
        </w:rPr>
      </w:pPr>
      <w:r>
        <w:rPr>
          <w:rFonts w:ascii="Arial" w:cs="Arial" w:eastAsia="Arial" w:hAnsi="Arial"/>
          <w:sz w:val="18"/>
          <w:szCs w:val="18"/>
          <w:b w:val="1"/>
          <w:bCs w:val="1"/>
          <w:color w:val="auto"/>
        </w:rPr>
        <w:t>Oil and Gas Reserves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information describes changes during the years and balances of proved oil and gas reserves at year-end 2019, 2020 and 2021.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definitions used are in accordance with the Securities and Exchange Commission’s Rule 4-10 (a) of Regulation S-X.</w:t>
      </w:r>
    </w:p>
    <w:p>
      <w:pPr>
        <w:spacing w:after="0" w:line="1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Proved oil and natural gas reserves are those quantities of oil and natural gas, which, by analysis of geoscience and engineering data, can be estimated with reasonable certainty to be economically producible – from a given date forward, from known reservoirs, and under existing economic conditions, operating methods and government regulations – prior to the time at which contracts providing the right to operate expire, unless evidence indicates that renewal is reasonably certain. In some cases, substantial new investments in additional wells and related facilities will be required to recover these proved reserves.</w:t>
      </w:r>
    </w:p>
    <w:p>
      <w:pPr>
        <w:spacing w:after="0" w:line="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accordance with the Securities and Exchange Commission’s (SEC) rules, the Corporation’s year-end reserves volumes as well as the reserves change categories shown in the following tables are required to be calculated on the basis of average prices during the 12-month period prior to the ending date of the period covered by the report, determined as an unweighted arithmetic average of the first-day-of-the-month price for each month within such period. These reserves quantities are also used in calculating unit-of-production depreciation rates and in calculating the standardized measure of discounted net cash flows.</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Revisions can include upward or downward changes in previously estimated volumes of proved reserves for existing fields due to the evaluation or re-evaluation of (1) already available geologic, reservoir or production data, (2) new geologic, reservoir or production data or (3) changes in the average of first-of-month oil and natural gas prices and/or costs that are used in the estimation of reserves. Revisions can also result from significant changes in either development strategy or production equipment/facility capacity.</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Proved reserves include 100 percent of each majority-owned affiliate’s participation in proved reserves and ExxonMobil’s ownership percentage of the proved reserves of equity companies, but exclude royalties and quantities due others. Natural gas reserves exclude the gaseous equivalent of liquids expected to be removed from the natural gas on leases, at field facilities and at gas processing plants. These liquids are included in net proved reserves of crude oil and natural gas liquids.</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proved reserves tables, consolidated reserves and equity company reserves are reported separately. However, the Corporation does not view equity company reserves any differently than those from consolidated companies.</w:t>
      </w:r>
    </w:p>
    <w:p>
      <w:pPr>
        <w:spacing w:after="0" w:line="6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Reserves reported under production sharing and other nonconcessionary agreements are based on the economic interest as defined by the specific fiscal terms in the agreement. The production and reserves reported for these types of arrangements typically vary inversely with oil and natural gas price changes. As oil and natural gas prices increase, the cash flow and value received by the company increase; however, the production volumes and reserves required to achieve this value will typically be lower because of the higher prices. When prices decrease, the opposite effect generally occurs. The percentage of total proved reserves (consolidated subsidiaries plus equity companies) at year-end 2021 that were associated with production sharing contract arrangements was 12 percent on an oil-equivalent basis (natural gas is converted to an oil-equivalent basis at six billion cubic feet per one million barrels).</w:t>
      </w:r>
    </w:p>
    <w:p>
      <w:pPr>
        <w:spacing w:after="0" w:line="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proved developed reserves are those volumes that are expected to be recovered through existing wells with existing equipment and operating methods or in which the cost of the required equipment is relatively minor compared to the cost of a new well. Net proved undeveloped reserves are those volumes that are expected to be recovered from new wells on undrilled acreage, or from existing wells where a relatively major expenditure is required for recompletion.</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Crude oil, natural gas liquids, and natural gas production quantities shown are the net volumes withdrawn from ExxonMobil’s oil and natural gas reserves. The natural gas quantities differ from the quantities of natural gas delivered for sale by the producing function as reported in the Upstream Operational Results due to volumes consumed or flared and inventory changes.</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changes between 2021 year-end proved reserves and 2020 year-end proved reserves reflect upward revisions of 2.4 billion barrels of bitumen at Kearl and 0.5 billion barrels of bitumen at Cold Lake, primarily as a result of improved prices. In addition, extensions and discoveries of approximately 1.3 billion oil-equivalent barrels (GOEB) occurred primarily in the United States (0.9 GOEB), Brazil (0.2 GOEB) and Guyana (0.1 GOEB). Worldwide production in 2021 was 1.4 GOEB.</w:t>
      </w:r>
    </w:p>
    <w:p>
      <w:pPr>
        <w:spacing w:after="0" w:line="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downward revisions in 2020, primarily as a result of low prices during 2020, include 3.1 billion barrels of bitumen at Kearl, 0.6 billion barrels of bitumen at Cold Lake, and 0.5 GOEB in the United States. In addition, the Corporation’s near-term reduction in capital expenditures resulted in a net reduction to estimates of proved reserves of approximately 1.5 GOEB, mainly related to unconventional drilling in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6" w:name="page117"/>
    <w:bookmarkEnd w:id="116"/>
    <w:p>
      <w:pPr>
        <w:ind w:left="20"/>
        <w:spacing w:after="0"/>
        <w:rPr>
          <w:sz w:val="20"/>
          <w:szCs w:val="20"/>
          <w:color w:val="auto"/>
        </w:rPr>
      </w:pPr>
      <w:r>
        <w:rPr>
          <w:rFonts w:ascii="Arial" w:cs="Arial" w:eastAsia="Arial" w:hAnsi="Arial"/>
          <w:sz w:val="16"/>
          <w:szCs w:val="16"/>
          <w:b w:val="1"/>
          <w:bCs w:val="1"/>
          <w:color w:val="auto"/>
        </w:rPr>
        <w:t>Crude Oil, Natural Gas Liquids, Bitumen and Synthetic Oil Proved Reserves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80" w:type="dxa"/>
            <w:vAlign w:val="bottom"/>
            <w:vMerge w:val="restart"/>
          </w:tcPr>
          <w:p>
            <w:pPr>
              <w:jc w:val="right"/>
              <w:ind w:right="180"/>
              <w:spacing w:after="0"/>
              <w:rPr>
                <w:sz w:val="20"/>
                <w:szCs w:val="20"/>
                <w:color w:val="auto"/>
              </w:rPr>
            </w:pPr>
            <w:r>
              <w:rPr>
                <w:rFonts w:ascii="Arial" w:cs="Arial" w:eastAsia="Arial" w:hAnsi="Arial"/>
                <w:sz w:val="14"/>
                <w:szCs w:val="14"/>
                <w:color w:val="auto"/>
              </w:rPr>
              <w:t>Crude Oil</w:t>
            </w: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4"/>
                <w:szCs w:val="14"/>
                <w:color w:val="auto"/>
                <w:w w:val="90"/>
              </w:rPr>
              <w:t>Natural Gas</w:t>
            </w:r>
          </w:p>
        </w:tc>
        <w:tc>
          <w:tcPr>
            <w:tcW w:w="760" w:type="dxa"/>
            <w:vAlign w:val="bottom"/>
            <w:vMerge w:val="restart"/>
          </w:tcPr>
          <w:p>
            <w:pPr>
              <w:jc w:val="center"/>
              <w:spacing w:after="0"/>
              <w:rPr>
                <w:sz w:val="20"/>
                <w:szCs w:val="20"/>
                <w:color w:val="auto"/>
              </w:rPr>
            </w:pPr>
            <w:r>
              <w:rPr>
                <w:rFonts w:ascii="Arial" w:cs="Arial" w:eastAsia="Arial" w:hAnsi="Arial"/>
                <w:sz w:val="14"/>
                <w:szCs w:val="14"/>
                <w:color w:val="auto"/>
                <w:w w:val="97"/>
              </w:rPr>
              <w:t>Bitumen</w:t>
            </w:r>
          </w:p>
        </w:tc>
        <w:tc>
          <w:tcPr>
            <w:tcW w:w="80" w:type="dxa"/>
            <w:vAlign w:val="bottom"/>
            <w:vMerge w:val="restart"/>
          </w:tcPr>
          <w:p>
            <w:pPr>
              <w:spacing w:after="0"/>
              <w:rPr>
                <w:sz w:val="14"/>
                <w:szCs w:val="14"/>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Synthetic</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62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Liquids</w:t>
            </w:r>
          </w:p>
        </w:tc>
        <w:tc>
          <w:tcPr>
            <w:tcW w:w="80" w:type="dxa"/>
            <w:vAlign w:val="bottom"/>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Oil</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620" w:type="dxa"/>
            <w:vAlign w:val="bottom"/>
          </w:tcPr>
          <w:p>
            <w:pPr>
              <w:spacing w:after="0"/>
              <w:rPr>
                <w:sz w:val="12"/>
                <w:szCs w:val="12"/>
                <w:color w:val="auto"/>
              </w:rPr>
            </w:pPr>
          </w:p>
        </w:tc>
        <w:tc>
          <w:tcPr>
            <w:tcW w:w="780" w:type="dxa"/>
            <w:vAlign w:val="bottom"/>
            <w:vMerge w:val="restart"/>
          </w:tcPr>
          <w:p>
            <w:pPr>
              <w:jc w:val="right"/>
              <w:ind w:right="160"/>
              <w:spacing w:after="0"/>
              <w:rPr>
                <w:sz w:val="20"/>
                <w:szCs w:val="20"/>
                <w:color w:val="auto"/>
              </w:rPr>
            </w:pPr>
            <w:r>
              <w:rPr>
                <w:rFonts w:ascii="Arial" w:cs="Arial" w:eastAsia="Arial" w:hAnsi="Arial"/>
                <w:sz w:val="14"/>
                <w:szCs w:val="14"/>
                <w:color w:val="auto"/>
              </w:rPr>
              <w:t>United</w:t>
            </w:r>
          </w:p>
        </w:tc>
        <w:tc>
          <w:tcPr>
            <w:tcW w:w="840" w:type="dxa"/>
            <w:vAlign w:val="bottom"/>
          </w:tcPr>
          <w:p>
            <w:pPr>
              <w:jc w:val="center"/>
              <w:ind w:right="20"/>
              <w:spacing w:after="0" w:line="145" w:lineRule="exact"/>
              <w:rPr>
                <w:sz w:val="20"/>
                <w:szCs w:val="20"/>
                <w:color w:val="auto"/>
              </w:rPr>
            </w:pPr>
            <w:r>
              <w:rPr>
                <w:rFonts w:ascii="Arial" w:cs="Arial" w:eastAsia="Arial" w:hAnsi="Arial"/>
                <w:sz w:val="14"/>
                <w:szCs w:val="14"/>
                <w:color w:val="auto"/>
                <w:w w:val="86"/>
              </w:rPr>
              <w:t>Canada/</w:t>
            </w: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20" w:type="dxa"/>
            <w:vAlign w:val="bottom"/>
            <w:vMerge w:val="restart"/>
          </w:tcPr>
          <w:p>
            <w:pPr>
              <w:jc w:val="right"/>
              <w:ind w:right="100"/>
              <w:spacing w:after="0"/>
              <w:rPr>
                <w:sz w:val="20"/>
                <w:szCs w:val="20"/>
                <w:color w:val="auto"/>
              </w:rPr>
            </w:pPr>
            <w:r>
              <w:rPr>
                <w:rFonts w:ascii="Arial" w:cs="Arial" w:eastAsia="Arial" w:hAnsi="Arial"/>
                <w:sz w:val="14"/>
                <w:szCs w:val="14"/>
                <w:color w:val="auto"/>
              </w:rPr>
              <w:t>Australia/</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80"/>
              <w:spacing w:after="0" w:line="145" w:lineRule="exact"/>
              <w:rPr>
                <w:sz w:val="20"/>
                <w:szCs w:val="20"/>
                <w:color w:val="auto"/>
              </w:rPr>
            </w:pPr>
            <w:r>
              <w:rPr>
                <w:rFonts w:ascii="Arial" w:cs="Arial" w:eastAsia="Arial" w:hAnsi="Arial"/>
                <w:sz w:val="14"/>
                <w:szCs w:val="14"/>
                <w:color w:val="auto"/>
                <w:w w:val="90"/>
              </w:rPr>
              <w:t>Canada/</w:t>
            </w:r>
          </w:p>
        </w:tc>
        <w:tc>
          <w:tcPr>
            <w:tcW w:w="840" w:type="dxa"/>
            <w:vAlign w:val="bottom"/>
            <w:gridSpan w:val="2"/>
          </w:tcPr>
          <w:p>
            <w:pPr>
              <w:jc w:val="center"/>
              <w:ind w:right="100"/>
              <w:spacing w:after="0" w:line="145" w:lineRule="exact"/>
              <w:rPr>
                <w:sz w:val="20"/>
                <w:szCs w:val="20"/>
                <w:color w:val="auto"/>
              </w:rPr>
            </w:pPr>
            <w:r>
              <w:rPr>
                <w:rFonts w:ascii="Arial" w:cs="Arial" w:eastAsia="Arial" w:hAnsi="Arial"/>
                <w:sz w:val="14"/>
                <w:szCs w:val="14"/>
                <w:color w:val="auto"/>
                <w:w w:val="86"/>
              </w:rPr>
              <w:t>Canada/</w:t>
            </w: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62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840" w:type="dxa"/>
            <w:vAlign w:val="bottom"/>
          </w:tcPr>
          <w:p>
            <w:pPr>
              <w:jc w:val="center"/>
              <w:ind w:right="20"/>
              <w:spacing w:after="0" w:line="135" w:lineRule="exact"/>
              <w:rPr>
                <w:sz w:val="20"/>
                <w:szCs w:val="20"/>
                <w:color w:val="auto"/>
              </w:rPr>
            </w:pPr>
            <w:r>
              <w:rPr>
                <w:rFonts w:ascii="Arial" w:cs="Arial" w:eastAsia="Arial" w:hAnsi="Arial"/>
                <w:sz w:val="14"/>
                <w:szCs w:val="14"/>
                <w:color w:val="auto"/>
                <w:w w:val="96"/>
              </w:rPr>
              <w:t>Other</w:t>
            </w:r>
          </w:p>
        </w:tc>
        <w:tc>
          <w:tcPr>
            <w:tcW w:w="680" w:type="dxa"/>
            <w:vAlign w:val="bottom"/>
            <w:vMerge w:val="restart"/>
          </w:tcPr>
          <w:p>
            <w:pPr>
              <w:jc w:val="right"/>
              <w:ind w:right="59"/>
              <w:spacing w:after="0"/>
              <w:rPr>
                <w:sz w:val="20"/>
                <w:szCs w:val="20"/>
                <w:color w:val="auto"/>
              </w:rPr>
            </w:pPr>
            <w:r>
              <w:rPr>
                <w:rFonts w:ascii="Arial" w:cs="Arial" w:eastAsia="Arial" w:hAnsi="Arial"/>
                <w:sz w:val="14"/>
                <w:szCs w:val="14"/>
                <w:color w:val="auto"/>
              </w:rPr>
              <w:t>Europe</w:t>
            </w:r>
          </w:p>
        </w:tc>
        <w:tc>
          <w:tcPr>
            <w:tcW w:w="880" w:type="dxa"/>
            <w:vAlign w:val="bottom"/>
            <w:vMerge w:val="restart"/>
          </w:tcPr>
          <w:p>
            <w:pPr>
              <w:jc w:val="right"/>
              <w:ind w:right="200"/>
              <w:spacing w:after="0"/>
              <w:rPr>
                <w:sz w:val="20"/>
                <w:szCs w:val="20"/>
                <w:color w:val="auto"/>
              </w:rPr>
            </w:pPr>
            <w:r>
              <w:rPr>
                <w:rFonts w:ascii="Arial" w:cs="Arial" w:eastAsia="Arial" w:hAnsi="Arial"/>
                <w:sz w:val="14"/>
                <w:szCs w:val="14"/>
                <w:color w:val="auto"/>
              </w:rPr>
              <w:t>Africa</w:t>
            </w:r>
          </w:p>
        </w:tc>
        <w:tc>
          <w:tcPr>
            <w:tcW w:w="660" w:type="dxa"/>
            <w:vAlign w:val="bottom"/>
            <w:vMerge w:val="restart"/>
          </w:tcPr>
          <w:p>
            <w:pPr>
              <w:jc w:val="right"/>
              <w:ind w:right="160"/>
              <w:spacing w:after="0"/>
              <w:rPr>
                <w:sz w:val="20"/>
                <w:szCs w:val="20"/>
                <w:color w:val="auto"/>
              </w:rPr>
            </w:pPr>
            <w:r>
              <w:rPr>
                <w:rFonts w:ascii="Arial" w:cs="Arial" w:eastAsia="Arial" w:hAnsi="Arial"/>
                <w:sz w:val="14"/>
                <w:szCs w:val="14"/>
                <w:color w:val="auto"/>
              </w:rPr>
              <w:t>Asia</w:t>
            </w:r>
          </w:p>
        </w:tc>
        <w:tc>
          <w:tcPr>
            <w:tcW w:w="820" w:type="dxa"/>
            <w:vAlign w:val="bottom"/>
            <w:vMerge w:val="continue"/>
          </w:tcPr>
          <w:p>
            <w:pPr>
              <w:spacing w:after="0"/>
              <w:rPr>
                <w:sz w:val="11"/>
                <w:szCs w:val="11"/>
                <w:color w:val="auto"/>
              </w:rPr>
            </w:pPr>
          </w:p>
        </w:tc>
        <w:tc>
          <w:tcPr>
            <w:tcW w:w="680" w:type="dxa"/>
            <w:vAlign w:val="bottom"/>
            <w:gridSpan w:val="2"/>
            <w:vMerge w:val="restart"/>
          </w:tcPr>
          <w:p>
            <w:pPr>
              <w:ind w:left="120"/>
              <w:spacing w:after="0"/>
              <w:rPr>
                <w:sz w:val="20"/>
                <w:szCs w:val="20"/>
                <w:color w:val="auto"/>
              </w:rPr>
            </w:pPr>
            <w:r>
              <w:rPr>
                <w:rFonts w:ascii="Arial" w:cs="Arial" w:eastAsia="Arial" w:hAnsi="Arial"/>
                <w:sz w:val="14"/>
                <w:szCs w:val="14"/>
                <w:color w:val="auto"/>
              </w:rPr>
              <w:t>Total</w:t>
            </w:r>
          </w:p>
        </w:tc>
        <w:tc>
          <w:tcPr>
            <w:tcW w:w="960" w:type="dxa"/>
            <w:vAlign w:val="bottom"/>
            <w:gridSpan w:val="2"/>
            <w:vMerge w:val="restart"/>
          </w:tcPr>
          <w:p>
            <w:pPr>
              <w:jc w:val="center"/>
              <w:ind w:right="80"/>
              <w:spacing w:after="0"/>
              <w:rPr>
                <w:sz w:val="20"/>
                <w:szCs w:val="20"/>
                <w:color w:val="auto"/>
              </w:rPr>
            </w:pPr>
            <w:r>
              <w:rPr>
                <w:rFonts w:ascii="Arial" w:cs="Arial" w:eastAsia="Arial" w:hAnsi="Arial"/>
                <w:sz w:val="14"/>
                <w:szCs w:val="14"/>
                <w:color w:val="auto"/>
                <w:w w:val="97"/>
              </w:rPr>
              <w:t>Worldwide</w:t>
            </w:r>
          </w:p>
        </w:tc>
        <w:tc>
          <w:tcPr>
            <w:tcW w:w="840" w:type="dxa"/>
            <w:vAlign w:val="bottom"/>
            <w:gridSpan w:val="2"/>
          </w:tcPr>
          <w:p>
            <w:pPr>
              <w:jc w:val="center"/>
              <w:ind w:right="80"/>
              <w:spacing w:after="0" w:line="135" w:lineRule="exact"/>
              <w:rPr>
                <w:sz w:val="20"/>
                <w:szCs w:val="20"/>
                <w:color w:val="auto"/>
              </w:rPr>
            </w:pPr>
            <w:r>
              <w:rPr>
                <w:rFonts w:ascii="Arial" w:cs="Arial" w:eastAsia="Arial" w:hAnsi="Arial"/>
                <w:sz w:val="14"/>
                <w:szCs w:val="14"/>
                <w:color w:val="auto"/>
                <w:w w:val="91"/>
              </w:rPr>
              <w:t>Other</w:t>
            </w:r>
          </w:p>
        </w:tc>
        <w:tc>
          <w:tcPr>
            <w:tcW w:w="840" w:type="dxa"/>
            <w:vAlign w:val="bottom"/>
            <w:gridSpan w:val="2"/>
          </w:tcPr>
          <w:p>
            <w:pPr>
              <w:jc w:val="center"/>
              <w:ind w:right="100"/>
              <w:spacing w:after="0" w:line="135" w:lineRule="exact"/>
              <w:rPr>
                <w:sz w:val="20"/>
                <w:szCs w:val="20"/>
                <w:color w:val="auto"/>
              </w:rPr>
            </w:pPr>
            <w:r>
              <w:rPr>
                <w:rFonts w:ascii="Arial" w:cs="Arial" w:eastAsia="Arial" w:hAnsi="Arial"/>
                <w:sz w:val="14"/>
                <w:szCs w:val="14"/>
                <w:color w:val="auto"/>
                <w:w w:val="96"/>
              </w:rPr>
              <w:t>Other</w:t>
            </w:r>
          </w:p>
        </w:tc>
        <w:tc>
          <w:tcPr>
            <w:tcW w:w="640" w:type="dxa"/>
            <w:vAlign w:val="bottom"/>
            <w:vMerge w:val="restart"/>
          </w:tcPr>
          <w:p>
            <w:pPr>
              <w:jc w:val="right"/>
              <w:ind w:right="99"/>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86"/>
        </w:trPr>
        <w:tc>
          <w:tcPr>
            <w:tcW w:w="26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color w:val="auto"/>
              </w:rPr>
              <w:t>States</w:t>
            </w:r>
          </w:p>
        </w:tc>
        <w:tc>
          <w:tcPr>
            <w:tcW w:w="84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color w:val="auto"/>
                <w:w w:val="92"/>
              </w:rPr>
              <w:t>Americas</w:t>
            </w:r>
          </w:p>
        </w:tc>
        <w:tc>
          <w:tcPr>
            <w:tcW w:w="68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color w:val="auto"/>
              </w:rPr>
              <w:t>Oceania</w:t>
            </w:r>
          </w:p>
        </w:tc>
        <w:tc>
          <w:tcPr>
            <w:tcW w:w="680" w:type="dxa"/>
            <w:vAlign w:val="bottom"/>
            <w:tcBorders>
              <w:bottom w:val="single" w:sz="8" w:color="auto"/>
            </w:tcBorders>
            <w:gridSpan w:val="2"/>
            <w:vMerge w:val="continue"/>
          </w:tcPr>
          <w:p>
            <w:pPr>
              <w:spacing w:after="0"/>
              <w:rPr>
                <w:sz w:val="16"/>
                <w:szCs w:val="16"/>
                <w:color w:val="auto"/>
              </w:rPr>
            </w:pPr>
          </w:p>
        </w:tc>
        <w:tc>
          <w:tcPr>
            <w:tcW w:w="960" w:type="dxa"/>
            <w:vAlign w:val="bottom"/>
            <w:tcBorders>
              <w:bottom w:val="single" w:sz="8" w:color="auto"/>
            </w:tcBorders>
            <w:gridSpan w:val="2"/>
            <w:vMerge w:val="continue"/>
          </w:tcPr>
          <w:p>
            <w:pPr>
              <w:spacing w:after="0"/>
              <w:rPr>
                <w:sz w:val="16"/>
                <w:szCs w:val="16"/>
                <w:color w:val="auto"/>
              </w:rPr>
            </w:pPr>
          </w:p>
        </w:tc>
        <w:tc>
          <w:tcPr>
            <w:tcW w:w="84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color w:val="auto"/>
                <w:w w:val="95"/>
              </w:rPr>
              <w:t>Americas</w:t>
            </w:r>
          </w:p>
        </w:tc>
        <w:tc>
          <w:tcPr>
            <w:tcW w:w="8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color w:val="auto"/>
                <w:w w:val="92"/>
              </w:rPr>
              <w:t>Americas</w:t>
            </w:r>
          </w:p>
        </w:tc>
        <w:tc>
          <w:tcPr>
            <w:tcW w:w="6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6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160" w:type="dxa"/>
            <w:vAlign w:val="bottom"/>
            <w:gridSpan w:val="4"/>
          </w:tcPr>
          <w:p>
            <w:pPr>
              <w:ind w:left="560"/>
              <w:spacing w:after="0"/>
              <w:rPr>
                <w:sz w:val="20"/>
                <w:szCs w:val="20"/>
                <w:color w:val="auto"/>
              </w:rPr>
            </w:pPr>
            <w:r>
              <w:rPr>
                <w:rFonts w:ascii="Arial" w:cs="Arial" w:eastAsia="Arial" w:hAnsi="Arial"/>
                <w:sz w:val="14"/>
                <w:szCs w:val="14"/>
                <w:i w:val="1"/>
                <w:iCs w:val="1"/>
                <w:color w:val="auto"/>
              </w:rPr>
              <w:t>(millions of barrels)</w:t>
            </w: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620" w:type="dxa"/>
            <w:vAlign w:val="bottom"/>
          </w:tcPr>
          <w:p>
            <w:pPr>
              <w:ind w:left="20"/>
              <w:spacing w:after="0"/>
              <w:rPr>
                <w:sz w:val="20"/>
                <w:szCs w:val="20"/>
                <w:color w:val="auto"/>
              </w:rPr>
            </w:pPr>
            <w:r>
              <w:rPr>
                <w:rFonts w:ascii="Arial" w:cs="Arial" w:eastAsia="Arial" w:hAnsi="Arial"/>
                <w:sz w:val="16"/>
                <w:szCs w:val="16"/>
                <w:color w:val="auto"/>
                <w:w w:val="90"/>
              </w:rPr>
              <w:t>Net proved developed and undeveloped</w:t>
            </w:r>
          </w:p>
        </w:tc>
        <w:tc>
          <w:tcPr>
            <w:tcW w:w="7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620" w:type="dxa"/>
            <w:vAlign w:val="bottom"/>
          </w:tcPr>
          <w:p>
            <w:pPr>
              <w:ind w:left="100"/>
              <w:spacing w:after="0"/>
              <w:rPr>
                <w:sz w:val="20"/>
                <w:szCs w:val="20"/>
                <w:color w:val="auto"/>
              </w:rPr>
            </w:pPr>
            <w:r>
              <w:rPr>
                <w:rFonts w:ascii="Arial" w:cs="Arial" w:eastAsia="Arial" w:hAnsi="Arial"/>
                <w:sz w:val="16"/>
                <w:szCs w:val="16"/>
                <w:color w:val="auto"/>
                <w:w w:val="95"/>
              </w:rPr>
              <w:t>reserves of consolidated subsidiaries</w:t>
            </w:r>
          </w:p>
        </w:tc>
        <w:tc>
          <w:tcPr>
            <w:tcW w:w="7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20" w:type="dxa"/>
            <w:vAlign w:val="bottom"/>
          </w:tcPr>
          <w:p>
            <w:pPr>
              <w:ind w:left="20"/>
              <w:spacing w:after="0"/>
              <w:rPr>
                <w:sz w:val="20"/>
                <w:szCs w:val="20"/>
                <w:color w:val="auto"/>
              </w:rPr>
            </w:pPr>
            <w:r>
              <w:rPr>
                <w:rFonts w:ascii="Arial" w:cs="Arial" w:eastAsia="Arial" w:hAnsi="Arial"/>
                <w:sz w:val="16"/>
                <w:szCs w:val="16"/>
                <w:color w:val="auto"/>
              </w:rPr>
              <w:t>January 1, 2019</w:t>
            </w:r>
          </w:p>
        </w:tc>
        <w:tc>
          <w:tcPr>
            <w:tcW w:w="780" w:type="dxa"/>
            <w:vAlign w:val="bottom"/>
          </w:tcPr>
          <w:p>
            <w:pPr>
              <w:jc w:val="right"/>
              <w:ind w:right="80"/>
              <w:spacing w:after="0"/>
              <w:rPr>
                <w:sz w:val="20"/>
                <w:szCs w:val="20"/>
                <w:color w:val="auto"/>
              </w:rPr>
            </w:pPr>
            <w:r>
              <w:rPr>
                <w:rFonts w:ascii="Arial" w:cs="Arial" w:eastAsia="Arial" w:hAnsi="Arial"/>
                <w:sz w:val="16"/>
                <w:szCs w:val="16"/>
                <w:color w:val="auto"/>
              </w:rPr>
              <w:t>3,204</w:t>
            </w:r>
          </w:p>
        </w:tc>
        <w:tc>
          <w:tcPr>
            <w:tcW w:w="840" w:type="dxa"/>
            <w:vAlign w:val="bottom"/>
          </w:tcPr>
          <w:p>
            <w:pPr>
              <w:jc w:val="right"/>
              <w:ind w:right="80"/>
              <w:spacing w:after="0"/>
              <w:rPr>
                <w:sz w:val="20"/>
                <w:szCs w:val="20"/>
                <w:color w:val="auto"/>
              </w:rPr>
            </w:pPr>
            <w:r>
              <w:rPr>
                <w:rFonts w:ascii="Arial" w:cs="Arial" w:eastAsia="Arial" w:hAnsi="Arial"/>
                <w:sz w:val="16"/>
                <w:szCs w:val="16"/>
                <w:color w:val="auto"/>
              </w:rPr>
              <w:t>529</w:t>
            </w:r>
          </w:p>
        </w:tc>
        <w:tc>
          <w:tcPr>
            <w:tcW w:w="680" w:type="dxa"/>
            <w:vAlign w:val="bottom"/>
          </w:tcPr>
          <w:p>
            <w:pPr>
              <w:jc w:val="right"/>
              <w:spacing w:after="0"/>
              <w:rPr>
                <w:sz w:val="20"/>
                <w:szCs w:val="20"/>
                <w:color w:val="auto"/>
              </w:rPr>
            </w:pPr>
            <w:r>
              <w:rPr>
                <w:rFonts w:ascii="Arial" w:cs="Arial" w:eastAsia="Arial" w:hAnsi="Arial"/>
                <w:sz w:val="16"/>
                <w:szCs w:val="16"/>
                <w:color w:val="auto"/>
              </w:rPr>
              <w:t>166</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604</w:t>
            </w: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3,357</w:t>
            </w: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105</w:t>
            </w:r>
          </w:p>
        </w:tc>
        <w:tc>
          <w:tcPr>
            <w:tcW w:w="600" w:type="dxa"/>
            <w:vAlign w:val="bottom"/>
          </w:tcPr>
          <w:p>
            <w:pPr>
              <w:jc w:val="right"/>
              <w:spacing w:after="0"/>
              <w:rPr>
                <w:sz w:val="20"/>
                <w:szCs w:val="20"/>
                <w:color w:val="auto"/>
              </w:rPr>
            </w:pPr>
            <w:r>
              <w:rPr>
                <w:rFonts w:ascii="Arial" w:cs="Arial" w:eastAsia="Arial" w:hAnsi="Arial"/>
                <w:sz w:val="16"/>
                <w:szCs w:val="16"/>
                <w:color w:val="auto"/>
              </w:rPr>
              <w:t>7,965</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1,404</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4,185</w:t>
            </w:r>
          </w:p>
        </w:tc>
        <w:tc>
          <w:tcPr>
            <w:tcW w:w="80" w:type="dxa"/>
            <w:vAlign w:val="bottom"/>
          </w:tcPr>
          <w:p>
            <w:pPr>
              <w:spacing w:after="0"/>
              <w:rPr>
                <w:sz w:val="18"/>
                <w:szCs w:val="18"/>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466</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14,020</w:t>
            </w:r>
          </w:p>
        </w:tc>
        <w:tc>
          <w:tcPr>
            <w:tcW w:w="0" w:type="dxa"/>
            <w:vAlign w:val="bottom"/>
          </w:tcPr>
          <w:p>
            <w:pPr>
              <w:spacing w:after="0"/>
              <w:rPr>
                <w:sz w:val="1"/>
                <w:szCs w:val="1"/>
                <w:color w:val="auto"/>
              </w:rPr>
            </w:pPr>
          </w:p>
        </w:tc>
      </w:tr>
      <w:tr>
        <w:trPr>
          <w:trHeight w:val="216"/>
        </w:trPr>
        <w:tc>
          <w:tcPr>
            <w:tcW w:w="2620" w:type="dxa"/>
            <w:vAlign w:val="bottom"/>
          </w:tcPr>
          <w:p>
            <w:pPr>
              <w:ind w:left="140"/>
              <w:spacing w:after="0"/>
              <w:rPr>
                <w:sz w:val="20"/>
                <w:szCs w:val="20"/>
                <w:color w:val="auto"/>
              </w:rPr>
            </w:pPr>
            <w:r>
              <w:rPr>
                <w:rFonts w:ascii="Arial" w:cs="Arial" w:eastAsia="Arial" w:hAnsi="Arial"/>
                <w:sz w:val="16"/>
                <w:szCs w:val="16"/>
                <w:color w:val="auto"/>
              </w:rPr>
              <w:t>Revisions</w:t>
            </w: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(677)</w:t>
            </w: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(66)</w:t>
            </w:r>
          </w:p>
        </w:tc>
        <w:tc>
          <w:tcPr>
            <w:tcW w:w="680" w:type="dxa"/>
            <w:vAlign w:val="bottom"/>
          </w:tcPr>
          <w:p>
            <w:pPr>
              <w:jc w:val="right"/>
              <w:spacing w:after="0"/>
              <w:rPr>
                <w:sz w:val="20"/>
                <w:szCs w:val="20"/>
                <w:color w:val="auto"/>
              </w:rPr>
            </w:pPr>
            <w:r>
              <w:rPr>
                <w:rFonts w:ascii="Arial" w:cs="Arial" w:eastAsia="Arial" w:hAnsi="Arial"/>
                <w:sz w:val="16"/>
                <w:szCs w:val="16"/>
                <w:color w:val="auto"/>
              </w:rPr>
              <w:t>20</w:t>
            </w: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(25)</w:t>
            </w: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136</w:t>
            </w: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(612)</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(305)</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(213)</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(27)</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(1,157)</w:t>
            </w:r>
          </w:p>
        </w:tc>
        <w:tc>
          <w:tcPr>
            <w:tcW w:w="0" w:type="dxa"/>
            <w:vAlign w:val="bottom"/>
          </w:tcPr>
          <w:p>
            <w:pPr>
              <w:spacing w:after="0"/>
              <w:rPr>
                <w:sz w:val="1"/>
                <w:szCs w:val="1"/>
                <w:color w:val="auto"/>
              </w:rPr>
            </w:pPr>
          </w:p>
        </w:tc>
      </w:tr>
      <w:tr>
        <w:trPr>
          <w:trHeight w:val="216"/>
        </w:trPr>
        <w:tc>
          <w:tcPr>
            <w:tcW w:w="2620" w:type="dxa"/>
            <w:vAlign w:val="bottom"/>
          </w:tcPr>
          <w:p>
            <w:pPr>
              <w:ind w:left="140"/>
              <w:spacing w:after="0"/>
              <w:rPr>
                <w:sz w:val="20"/>
                <w:szCs w:val="20"/>
                <w:color w:val="auto"/>
              </w:rPr>
            </w:pPr>
            <w:r>
              <w:rPr>
                <w:rFonts w:ascii="Arial" w:cs="Arial" w:eastAsia="Arial" w:hAnsi="Arial"/>
                <w:sz w:val="16"/>
                <w:szCs w:val="16"/>
                <w:color w:val="auto"/>
              </w:rPr>
              <w:t>Improved recovery</w:t>
            </w:r>
          </w:p>
        </w:tc>
        <w:tc>
          <w:tcPr>
            <w:tcW w:w="78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620" w:type="dxa"/>
            <w:vAlign w:val="bottom"/>
          </w:tcPr>
          <w:p>
            <w:pPr>
              <w:ind w:left="140"/>
              <w:spacing w:after="0"/>
              <w:rPr>
                <w:sz w:val="20"/>
                <w:szCs w:val="20"/>
                <w:color w:val="auto"/>
              </w:rPr>
            </w:pPr>
            <w:r>
              <w:rPr>
                <w:rFonts w:ascii="Arial" w:cs="Arial" w:eastAsia="Arial" w:hAnsi="Arial"/>
                <w:sz w:val="16"/>
                <w:szCs w:val="16"/>
                <w:color w:val="auto"/>
              </w:rPr>
              <w:t>Purchases</w:t>
            </w:r>
          </w:p>
        </w:tc>
        <w:tc>
          <w:tcPr>
            <w:tcW w:w="780" w:type="dxa"/>
            <w:vAlign w:val="bottom"/>
          </w:tcPr>
          <w:p>
            <w:pPr>
              <w:jc w:val="right"/>
              <w:ind w:right="80"/>
              <w:spacing w:after="0"/>
              <w:rPr>
                <w:sz w:val="20"/>
                <w:szCs w:val="20"/>
                <w:color w:val="auto"/>
              </w:rPr>
            </w:pPr>
            <w:r>
              <w:rPr>
                <w:rFonts w:ascii="Arial" w:cs="Arial" w:eastAsia="Arial" w:hAnsi="Arial"/>
                <w:sz w:val="16"/>
                <w:szCs w:val="16"/>
                <w:color w:val="auto"/>
              </w:rPr>
              <w:t>20</w:t>
            </w:r>
          </w:p>
        </w:tc>
        <w:tc>
          <w:tcPr>
            <w:tcW w:w="8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20</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w:t>
            </w:r>
          </w:p>
        </w:tc>
        <w:tc>
          <w:tcPr>
            <w:tcW w:w="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16"/>
        </w:trPr>
        <w:tc>
          <w:tcPr>
            <w:tcW w:w="2620" w:type="dxa"/>
            <w:vAlign w:val="bottom"/>
          </w:tcPr>
          <w:p>
            <w:pPr>
              <w:ind w:left="140"/>
              <w:spacing w:after="0"/>
              <w:rPr>
                <w:sz w:val="20"/>
                <w:szCs w:val="20"/>
                <w:color w:val="auto"/>
              </w:rPr>
            </w:pPr>
            <w:r>
              <w:rPr>
                <w:rFonts w:ascii="Arial" w:cs="Arial" w:eastAsia="Arial" w:hAnsi="Arial"/>
                <w:sz w:val="16"/>
                <w:szCs w:val="16"/>
                <w:color w:val="auto"/>
              </w:rPr>
              <w:t>Sales</w:t>
            </w: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(1)</w:t>
            </w:r>
          </w:p>
        </w:tc>
        <w:tc>
          <w:tcPr>
            <w:tcW w:w="8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(117)</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(118)</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w:t>
            </w:r>
          </w:p>
        </w:tc>
        <w:tc>
          <w:tcPr>
            <w:tcW w:w="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(145)</w:t>
            </w:r>
          </w:p>
        </w:tc>
        <w:tc>
          <w:tcPr>
            <w:tcW w:w="0" w:type="dxa"/>
            <w:vAlign w:val="bottom"/>
          </w:tcPr>
          <w:p>
            <w:pPr>
              <w:spacing w:after="0"/>
              <w:rPr>
                <w:sz w:val="1"/>
                <w:szCs w:val="1"/>
                <w:color w:val="auto"/>
              </w:rPr>
            </w:pPr>
          </w:p>
        </w:tc>
      </w:tr>
      <w:tr>
        <w:trPr>
          <w:trHeight w:val="216"/>
        </w:trPr>
        <w:tc>
          <w:tcPr>
            <w:tcW w:w="2620" w:type="dxa"/>
            <w:vAlign w:val="bottom"/>
          </w:tcPr>
          <w:p>
            <w:pPr>
              <w:ind w:left="140"/>
              <w:spacing w:after="0"/>
              <w:rPr>
                <w:sz w:val="20"/>
                <w:szCs w:val="20"/>
                <w:color w:val="auto"/>
              </w:rPr>
            </w:pPr>
            <w:r>
              <w:rPr>
                <w:rFonts w:ascii="Arial" w:cs="Arial" w:eastAsia="Arial" w:hAnsi="Arial"/>
                <w:sz w:val="16"/>
                <w:szCs w:val="16"/>
                <w:color w:val="auto"/>
              </w:rPr>
              <w:t>Extensions/discoveries</w:t>
            </w:r>
          </w:p>
        </w:tc>
        <w:tc>
          <w:tcPr>
            <w:tcW w:w="780" w:type="dxa"/>
            <w:vAlign w:val="bottom"/>
          </w:tcPr>
          <w:p>
            <w:pPr>
              <w:jc w:val="right"/>
              <w:ind w:right="80"/>
              <w:spacing w:after="0"/>
              <w:rPr>
                <w:sz w:val="20"/>
                <w:szCs w:val="20"/>
                <w:color w:val="auto"/>
              </w:rPr>
            </w:pPr>
            <w:r>
              <w:rPr>
                <w:rFonts w:ascii="Arial" w:cs="Arial" w:eastAsia="Arial" w:hAnsi="Arial"/>
                <w:sz w:val="16"/>
                <w:szCs w:val="16"/>
                <w:color w:val="auto"/>
              </w:rPr>
              <w:t>710</w:t>
            </w:r>
          </w:p>
        </w:tc>
        <w:tc>
          <w:tcPr>
            <w:tcW w:w="840" w:type="dxa"/>
            <w:vAlign w:val="bottom"/>
          </w:tcPr>
          <w:p>
            <w:pPr>
              <w:jc w:val="right"/>
              <w:ind w:right="80"/>
              <w:spacing w:after="0"/>
              <w:rPr>
                <w:sz w:val="20"/>
                <w:szCs w:val="20"/>
                <w:color w:val="auto"/>
              </w:rPr>
            </w:pPr>
            <w:r>
              <w:rPr>
                <w:rFonts w:ascii="Arial" w:cs="Arial" w:eastAsia="Arial" w:hAnsi="Arial"/>
                <w:sz w:val="16"/>
                <w:szCs w:val="16"/>
                <w:color w:val="auto"/>
              </w:rPr>
              <w:t>125</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835</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263</w:t>
            </w:r>
          </w:p>
        </w:tc>
        <w:tc>
          <w:tcPr>
            <w:tcW w:w="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1,098</w:t>
            </w:r>
          </w:p>
        </w:tc>
        <w:tc>
          <w:tcPr>
            <w:tcW w:w="0" w:type="dxa"/>
            <w:vAlign w:val="bottom"/>
          </w:tcPr>
          <w:p>
            <w:pPr>
              <w:spacing w:after="0"/>
              <w:rPr>
                <w:sz w:val="1"/>
                <w:szCs w:val="1"/>
                <w:color w:val="auto"/>
              </w:rPr>
            </w:pPr>
          </w:p>
        </w:tc>
      </w:tr>
      <w:tr>
        <w:trPr>
          <w:trHeight w:val="216"/>
        </w:trPr>
        <w:tc>
          <w:tcPr>
            <w:tcW w:w="2620" w:type="dxa"/>
            <w:vAlign w:val="bottom"/>
          </w:tcPr>
          <w:p>
            <w:pPr>
              <w:ind w:left="140"/>
              <w:spacing w:after="0"/>
              <w:rPr>
                <w:sz w:val="20"/>
                <w:szCs w:val="20"/>
                <w:color w:val="auto"/>
              </w:rPr>
            </w:pPr>
            <w:r>
              <w:rPr>
                <w:rFonts w:ascii="Arial" w:cs="Arial" w:eastAsia="Arial" w:hAnsi="Arial"/>
                <w:sz w:val="16"/>
                <w:szCs w:val="16"/>
                <w:color w:val="auto"/>
              </w:rPr>
              <w:t>Production</w:t>
            </w:r>
          </w:p>
        </w:tc>
        <w:tc>
          <w:tcPr>
            <w:tcW w:w="7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(168)</w:t>
            </w:r>
          </w:p>
        </w:tc>
        <w:tc>
          <w:tcPr>
            <w:tcW w:w="8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(31)</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8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(132)</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w:t>
            </w:r>
          </w:p>
        </w:tc>
        <w:tc>
          <w:tcPr>
            <w:tcW w:w="8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(11)</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(530)</w:t>
            </w:r>
          </w:p>
        </w:tc>
        <w:tc>
          <w:tcPr>
            <w:tcW w:w="8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w:t>
            </w:r>
          </w:p>
        </w:tc>
        <w:tc>
          <w:tcPr>
            <w:tcW w:w="8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w:t>
            </w:r>
          </w:p>
        </w:tc>
        <w:tc>
          <w:tcPr>
            <w:tcW w:w="8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80" w:type="dxa"/>
            <w:vAlign w:val="bottom"/>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(740)</w:t>
            </w:r>
          </w:p>
        </w:tc>
        <w:tc>
          <w:tcPr>
            <w:tcW w:w="0" w:type="dxa"/>
            <w:vAlign w:val="bottom"/>
          </w:tcPr>
          <w:p>
            <w:pPr>
              <w:spacing w:after="0"/>
              <w:rPr>
                <w:sz w:val="1"/>
                <w:szCs w:val="1"/>
                <w:color w:val="auto"/>
              </w:rPr>
            </w:pPr>
          </w:p>
        </w:tc>
      </w:tr>
      <w:tr>
        <w:trPr>
          <w:trHeight w:val="209"/>
        </w:trPr>
        <w:tc>
          <w:tcPr>
            <w:tcW w:w="2620" w:type="dxa"/>
            <w:vAlign w:val="bottom"/>
          </w:tcPr>
          <w:p>
            <w:pPr>
              <w:ind w:left="20"/>
              <w:spacing w:after="0"/>
              <w:rPr>
                <w:sz w:val="20"/>
                <w:szCs w:val="20"/>
                <w:color w:val="auto"/>
              </w:rPr>
            </w:pPr>
            <w:r>
              <w:rPr>
                <w:rFonts w:ascii="Arial" w:cs="Arial" w:eastAsia="Arial" w:hAnsi="Arial"/>
                <w:sz w:val="16"/>
                <w:szCs w:val="16"/>
                <w:color w:val="auto"/>
              </w:rPr>
              <w:t>December 31, 2019</w:t>
            </w:r>
          </w:p>
        </w:tc>
        <w:tc>
          <w:tcPr>
            <w:tcW w:w="7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3,088</w:t>
            </w:r>
          </w:p>
        </w:tc>
        <w:tc>
          <w:tcPr>
            <w:tcW w:w="8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557</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8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447</w:t>
            </w:r>
          </w:p>
        </w:tc>
        <w:tc>
          <w:tcPr>
            <w:tcW w:w="6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3,335</w:t>
            </w:r>
          </w:p>
        </w:tc>
        <w:tc>
          <w:tcPr>
            <w:tcW w:w="8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94</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7,560</w:t>
            </w:r>
          </w:p>
        </w:tc>
        <w:tc>
          <w:tcPr>
            <w:tcW w:w="8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1,275</w:t>
            </w:r>
          </w:p>
        </w:tc>
        <w:tc>
          <w:tcPr>
            <w:tcW w:w="8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3,858</w:t>
            </w:r>
          </w:p>
        </w:tc>
        <w:tc>
          <w:tcPr>
            <w:tcW w:w="80" w:type="dxa"/>
            <w:vAlign w:val="bottom"/>
          </w:tcPr>
          <w:p>
            <w:pPr>
              <w:spacing w:after="0"/>
              <w:rPr>
                <w:sz w:val="18"/>
                <w:szCs w:val="18"/>
                <w:color w:val="auto"/>
              </w:rPr>
            </w:pPr>
          </w:p>
        </w:tc>
        <w:tc>
          <w:tcPr>
            <w:tcW w:w="7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415</w:t>
            </w:r>
          </w:p>
        </w:tc>
        <w:tc>
          <w:tcPr>
            <w:tcW w:w="80" w:type="dxa"/>
            <w:vAlign w:val="bottom"/>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13,108</w:t>
            </w:r>
          </w:p>
        </w:tc>
        <w:tc>
          <w:tcPr>
            <w:tcW w:w="0" w:type="dxa"/>
            <w:vAlign w:val="bottom"/>
          </w:tcPr>
          <w:p>
            <w:pPr>
              <w:spacing w:after="0"/>
              <w:rPr>
                <w:sz w:val="1"/>
                <w:szCs w:val="1"/>
                <w:color w:val="auto"/>
              </w:rPr>
            </w:pPr>
          </w:p>
        </w:tc>
      </w:tr>
      <w:tr>
        <w:trPr>
          <w:trHeight w:val="182"/>
        </w:trPr>
        <w:tc>
          <w:tcPr>
            <w:tcW w:w="2620" w:type="dxa"/>
            <w:vAlign w:val="bottom"/>
          </w:tcPr>
          <w:p>
            <w:pPr>
              <w:ind w:left="20"/>
              <w:spacing w:after="0"/>
              <w:rPr>
                <w:sz w:val="20"/>
                <w:szCs w:val="20"/>
                <w:color w:val="auto"/>
              </w:rPr>
            </w:pPr>
            <w:r>
              <w:rPr>
                <w:rFonts w:ascii="Arial" w:cs="Arial" w:eastAsia="Arial" w:hAnsi="Arial"/>
                <w:sz w:val="14"/>
                <w:szCs w:val="14"/>
                <w:i w:val="1"/>
                <w:iCs w:val="1"/>
                <w:color w:val="auto"/>
              </w:rPr>
              <w:t>Attributable to noncontrolling interests</w:t>
            </w:r>
          </w:p>
        </w:tc>
        <w:tc>
          <w:tcPr>
            <w:tcW w:w="780" w:type="dxa"/>
            <w:vAlign w:val="bottom"/>
          </w:tcPr>
          <w:p>
            <w:pPr>
              <w:spacing w:after="0"/>
              <w:rPr>
                <w:sz w:val="15"/>
                <w:szCs w:val="15"/>
                <w:color w:val="auto"/>
              </w:rPr>
            </w:pPr>
          </w:p>
        </w:tc>
        <w:tc>
          <w:tcPr>
            <w:tcW w:w="840" w:type="dxa"/>
            <w:vAlign w:val="bottom"/>
          </w:tcPr>
          <w:p>
            <w:pPr>
              <w:jc w:val="right"/>
              <w:ind w:right="80"/>
              <w:spacing w:after="0"/>
              <w:rPr>
                <w:sz w:val="20"/>
                <w:szCs w:val="20"/>
                <w:color w:val="auto"/>
              </w:rPr>
            </w:pPr>
            <w:r>
              <w:rPr>
                <w:rFonts w:ascii="Arial" w:cs="Arial" w:eastAsia="Arial" w:hAnsi="Arial"/>
                <w:sz w:val="14"/>
                <w:szCs w:val="14"/>
                <w:i w:val="1"/>
                <w:iCs w:val="1"/>
                <w:color w:val="auto"/>
              </w:rPr>
              <w:t>21</w:t>
            </w:r>
          </w:p>
        </w:tc>
        <w:tc>
          <w:tcPr>
            <w:tcW w:w="6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i w:val="1"/>
                <w:iCs w:val="1"/>
                <w:color w:val="auto"/>
              </w:rPr>
              <w:t>3</w:t>
            </w: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i w:val="1"/>
                <w:iCs w:val="1"/>
                <w:color w:val="auto"/>
              </w:rPr>
              <w:t>894</w:t>
            </w:r>
          </w:p>
        </w:tc>
        <w:tc>
          <w:tcPr>
            <w:tcW w:w="80" w:type="dxa"/>
            <w:vAlign w:val="bottom"/>
          </w:tcPr>
          <w:p>
            <w:pPr>
              <w:spacing w:after="0"/>
              <w:rPr>
                <w:sz w:val="15"/>
                <w:szCs w:val="15"/>
                <w:color w:val="auto"/>
              </w:rPr>
            </w:pPr>
          </w:p>
        </w:tc>
        <w:tc>
          <w:tcPr>
            <w:tcW w:w="760" w:type="dxa"/>
            <w:vAlign w:val="bottom"/>
          </w:tcPr>
          <w:p>
            <w:pPr>
              <w:jc w:val="right"/>
              <w:ind w:right="1"/>
              <w:spacing w:after="0"/>
              <w:rPr>
                <w:sz w:val="20"/>
                <w:szCs w:val="20"/>
                <w:color w:val="auto"/>
              </w:rPr>
            </w:pPr>
            <w:r>
              <w:rPr>
                <w:rFonts w:ascii="Arial" w:cs="Arial" w:eastAsia="Arial" w:hAnsi="Arial"/>
                <w:sz w:val="14"/>
                <w:szCs w:val="14"/>
                <w:i w:val="1"/>
                <w:iCs w:val="1"/>
                <w:color w:val="auto"/>
              </w:rPr>
              <w:t>126</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8"/>
        </w:trPr>
        <w:tc>
          <w:tcPr>
            <w:tcW w:w="2620" w:type="dxa"/>
            <w:vAlign w:val="bottom"/>
          </w:tcPr>
          <w:p>
            <w:pPr>
              <w:ind w:left="20"/>
              <w:spacing w:after="0"/>
              <w:rPr>
                <w:sz w:val="20"/>
                <w:szCs w:val="20"/>
                <w:color w:val="auto"/>
              </w:rPr>
            </w:pPr>
            <w:r>
              <w:rPr>
                <w:rFonts w:ascii="Arial" w:cs="Arial" w:eastAsia="Arial" w:hAnsi="Arial"/>
                <w:sz w:val="16"/>
                <w:szCs w:val="16"/>
                <w:color w:val="auto"/>
                <w:w w:val="92"/>
              </w:rPr>
              <w:t>Proportional interest in proved reserves</w:t>
            </w: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620" w:type="dxa"/>
            <w:vAlign w:val="bottom"/>
          </w:tcPr>
          <w:p>
            <w:pPr>
              <w:ind w:left="100"/>
              <w:spacing w:after="0"/>
              <w:rPr>
                <w:sz w:val="20"/>
                <w:szCs w:val="20"/>
                <w:color w:val="auto"/>
              </w:rPr>
            </w:pPr>
            <w:r>
              <w:rPr>
                <w:rFonts w:ascii="Arial" w:cs="Arial" w:eastAsia="Arial" w:hAnsi="Arial"/>
                <w:sz w:val="16"/>
                <w:szCs w:val="16"/>
                <w:color w:val="auto"/>
              </w:rPr>
              <w:t>of equity companies</w:t>
            </w:r>
          </w:p>
        </w:tc>
        <w:tc>
          <w:tcPr>
            <w:tcW w:w="7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20" w:type="dxa"/>
            <w:vAlign w:val="bottom"/>
          </w:tcPr>
          <w:p>
            <w:pPr>
              <w:ind w:left="20"/>
              <w:spacing w:after="0"/>
              <w:rPr>
                <w:sz w:val="20"/>
                <w:szCs w:val="20"/>
                <w:color w:val="auto"/>
              </w:rPr>
            </w:pPr>
            <w:r>
              <w:rPr>
                <w:rFonts w:ascii="Arial" w:cs="Arial" w:eastAsia="Arial" w:hAnsi="Arial"/>
                <w:sz w:val="16"/>
                <w:szCs w:val="16"/>
                <w:color w:val="auto"/>
              </w:rPr>
              <w:t>January 1, 2019</w:t>
            </w:r>
          </w:p>
        </w:tc>
        <w:tc>
          <w:tcPr>
            <w:tcW w:w="780" w:type="dxa"/>
            <w:vAlign w:val="bottom"/>
          </w:tcPr>
          <w:p>
            <w:pPr>
              <w:jc w:val="right"/>
              <w:ind w:right="80"/>
              <w:spacing w:after="0"/>
              <w:rPr>
                <w:sz w:val="20"/>
                <w:szCs w:val="20"/>
                <w:color w:val="auto"/>
              </w:rPr>
            </w:pPr>
            <w:r>
              <w:rPr>
                <w:rFonts w:ascii="Arial" w:cs="Arial" w:eastAsia="Arial" w:hAnsi="Arial"/>
                <w:sz w:val="16"/>
                <w:szCs w:val="16"/>
                <w:color w:val="auto"/>
              </w:rPr>
              <w:t>254</w:t>
            </w:r>
          </w:p>
        </w:tc>
        <w:tc>
          <w:tcPr>
            <w:tcW w:w="8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15</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6</w:t>
            </w: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1,020</w:t>
            </w: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1,295</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342</w:t>
            </w:r>
          </w:p>
        </w:tc>
        <w:tc>
          <w:tcPr>
            <w:tcW w:w="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1,637</w:t>
            </w:r>
          </w:p>
        </w:tc>
        <w:tc>
          <w:tcPr>
            <w:tcW w:w="0" w:type="dxa"/>
            <w:vAlign w:val="bottom"/>
          </w:tcPr>
          <w:p>
            <w:pPr>
              <w:spacing w:after="0"/>
              <w:rPr>
                <w:sz w:val="1"/>
                <w:szCs w:val="1"/>
                <w:color w:val="auto"/>
              </w:rPr>
            </w:pPr>
          </w:p>
        </w:tc>
      </w:tr>
      <w:tr>
        <w:trPr>
          <w:trHeight w:val="216"/>
        </w:trPr>
        <w:tc>
          <w:tcPr>
            <w:tcW w:w="2620" w:type="dxa"/>
            <w:vAlign w:val="bottom"/>
          </w:tcPr>
          <w:p>
            <w:pPr>
              <w:ind w:left="140"/>
              <w:spacing w:after="0"/>
              <w:rPr>
                <w:sz w:val="20"/>
                <w:szCs w:val="20"/>
                <w:color w:val="auto"/>
              </w:rPr>
            </w:pPr>
            <w:r>
              <w:rPr>
                <w:rFonts w:ascii="Arial" w:cs="Arial" w:eastAsia="Arial" w:hAnsi="Arial"/>
                <w:sz w:val="16"/>
                <w:szCs w:val="16"/>
                <w:color w:val="auto"/>
              </w:rPr>
              <w:t>Revisions</w:t>
            </w:r>
          </w:p>
        </w:tc>
        <w:tc>
          <w:tcPr>
            <w:tcW w:w="780" w:type="dxa"/>
            <w:vAlign w:val="bottom"/>
          </w:tcPr>
          <w:p>
            <w:pPr>
              <w:jc w:val="right"/>
              <w:ind w:right="80"/>
              <w:spacing w:after="0"/>
              <w:rPr>
                <w:sz w:val="20"/>
                <w:szCs w:val="20"/>
                <w:color w:val="auto"/>
              </w:rPr>
            </w:pPr>
            <w:r>
              <w:rPr>
                <w:rFonts w:ascii="Arial" w:cs="Arial" w:eastAsia="Arial" w:hAnsi="Arial"/>
                <w:sz w:val="16"/>
                <w:szCs w:val="16"/>
                <w:color w:val="auto"/>
              </w:rPr>
              <w:t>15</w:t>
            </w:r>
          </w:p>
        </w:tc>
        <w:tc>
          <w:tcPr>
            <w:tcW w:w="8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(38)</w:t>
            </w: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(23)</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6"/>
        </w:trPr>
        <w:tc>
          <w:tcPr>
            <w:tcW w:w="2620" w:type="dxa"/>
            <w:vAlign w:val="bottom"/>
          </w:tcPr>
          <w:p>
            <w:pPr>
              <w:ind w:left="140"/>
              <w:spacing w:after="0"/>
              <w:rPr>
                <w:sz w:val="20"/>
                <w:szCs w:val="20"/>
                <w:color w:val="auto"/>
              </w:rPr>
            </w:pPr>
            <w:r>
              <w:rPr>
                <w:rFonts w:ascii="Arial" w:cs="Arial" w:eastAsia="Arial" w:hAnsi="Arial"/>
                <w:sz w:val="16"/>
                <w:szCs w:val="16"/>
                <w:color w:val="auto"/>
              </w:rPr>
              <w:t>Improved recovery</w:t>
            </w:r>
          </w:p>
        </w:tc>
        <w:tc>
          <w:tcPr>
            <w:tcW w:w="78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620" w:type="dxa"/>
            <w:vAlign w:val="bottom"/>
          </w:tcPr>
          <w:p>
            <w:pPr>
              <w:ind w:left="140"/>
              <w:spacing w:after="0"/>
              <w:rPr>
                <w:sz w:val="20"/>
                <w:szCs w:val="20"/>
                <w:color w:val="auto"/>
              </w:rPr>
            </w:pPr>
            <w:r>
              <w:rPr>
                <w:rFonts w:ascii="Arial" w:cs="Arial" w:eastAsia="Arial" w:hAnsi="Arial"/>
                <w:sz w:val="16"/>
                <w:szCs w:val="16"/>
                <w:color w:val="auto"/>
              </w:rPr>
              <w:t>Purchases</w:t>
            </w:r>
          </w:p>
        </w:tc>
        <w:tc>
          <w:tcPr>
            <w:tcW w:w="78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620" w:type="dxa"/>
            <w:vAlign w:val="bottom"/>
          </w:tcPr>
          <w:p>
            <w:pPr>
              <w:ind w:left="140"/>
              <w:spacing w:after="0"/>
              <w:rPr>
                <w:sz w:val="20"/>
                <w:szCs w:val="20"/>
                <w:color w:val="auto"/>
              </w:rPr>
            </w:pPr>
            <w:r>
              <w:rPr>
                <w:rFonts w:ascii="Arial" w:cs="Arial" w:eastAsia="Arial" w:hAnsi="Arial"/>
                <w:sz w:val="16"/>
                <w:szCs w:val="16"/>
                <w:color w:val="auto"/>
              </w:rPr>
              <w:t>Sales</w:t>
            </w:r>
          </w:p>
        </w:tc>
        <w:tc>
          <w:tcPr>
            <w:tcW w:w="78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620" w:type="dxa"/>
            <w:vAlign w:val="bottom"/>
          </w:tcPr>
          <w:p>
            <w:pPr>
              <w:ind w:left="140"/>
              <w:spacing w:after="0"/>
              <w:rPr>
                <w:sz w:val="20"/>
                <w:szCs w:val="20"/>
                <w:color w:val="auto"/>
              </w:rPr>
            </w:pPr>
            <w:r>
              <w:rPr>
                <w:rFonts w:ascii="Arial" w:cs="Arial" w:eastAsia="Arial" w:hAnsi="Arial"/>
                <w:sz w:val="16"/>
                <w:szCs w:val="16"/>
                <w:color w:val="auto"/>
              </w:rPr>
              <w:t>Extensions/discoveries</w:t>
            </w:r>
          </w:p>
        </w:tc>
        <w:tc>
          <w:tcPr>
            <w:tcW w:w="780" w:type="dxa"/>
            <w:vAlign w:val="bottom"/>
          </w:tcPr>
          <w:p>
            <w:pPr>
              <w:jc w:val="right"/>
              <w:ind w:right="80"/>
              <w:spacing w:after="0"/>
              <w:rPr>
                <w:sz w:val="20"/>
                <w:szCs w:val="20"/>
                <w:color w:val="auto"/>
              </w:rPr>
            </w:pPr>
            <w:r>
              <w:rPr>
                <w:rFonts w:ascii="Arial" w:cs="Arial" w:eastAsia="Arial" w:hAnsi="Arial"/>
                <w:sz w:val="16"/>
                <w:szCs w:val="16"/>
                <w:color w:val="auto"/>
              </w:rPr>
              <w:t>1</w:t>
            </w:r>
          </w:p>
        </w:tc>
        <w:tc>
          <w:tcPr>
            <w:tcW w:w="8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6"/>
        </w:trPr>
        <w:tc>
          <w:tcPr>
            <w:tcW w:w="2620" w:type="dxa"/>
            <w:vAlign w:val="bottom"/>
          </w:tcPr>
          <w:p>
            <w:pPr>
              <w:ind w:left="140"/>
              <w:spacing w:after="0"/>
              <w:rPr>
                <w:sz w:val="20"/>
                <w:szCs w:val="20"/>
                <w:color w:val="auto"/>
              </w:rPr>
            </w:pPr>
            <w:r>
              <w:rPr>
                <w:rFonts w:ascii="Arial" w:cs="Arial" w:eastAsia="Arial" w:hAnsi="Arial"/>
                <w:sz w:val="16"/>
                <w:szCs w:val="16"/>
                <w:color w:val="auto"/>
              </w:rPr>
              <w:t>Production</w:t>
            </w:r>
          </w:p>
        </w:tc>
        <w:tc>
          <w:tcPr>
            <w:tcW w:w="7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(19)</w:t>
            </w:r>
          </w:p>
        </w:tc>
        <w:tc>
          <w:tcPr>
            <w:tcW w:w="8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8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w:t>
            </w:r>
          </w:p>
        </w:tc>
        <w:tc>
          <w:tcPr>
            <w:tcW w:w="8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w:t>
            </w:r>
          </w:p>
        </w:tc>
        <w:tc>
          <w:tcPr>
            <w:tcW w:w="8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8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7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w:t>
            </w:r>
          </w:p>
        </w:tc>
        <w:tc>
          <w:tcPr>
            <w:tcW w:w="0" w:type="dxa"/>
            <w:vAlign w:val="bottom"/>
          </w:tcPr>
          <w:p>
            <w:pPr>
              <w:spacing w:after="0"/>
              <w:rPr>
                <w:sz w:val="1"/>
                <w:szCs w:val="1"/>
                <w:color w:val="auto"/>
              </w:rPr>
            </w:pPr>
          </w:p>
        </w:tc>
      </w:tr>
      <w:tr>
        <w:trPr>
          <w:trHeight w:val="209"/>
        </w:trPr>
        <w:tc>
          <w:tcPr>
            <w:tcW w:w="2620" w:type="dxa"/>
            <w:vAlign w:val="bottom"/>
          </w:tcPr>
          <w:p>
            <w:pPr>
              <w:ind w:left="20"/>
              <w:spacing w:after="0"/>
              <w:rPr>
                <w:sz w:val="20"/>
                <w:szCs w:val="20"/>
                <w:color w:val="auto"/>
              </w:rPr>
            </w:pPr>
            <w:r>
              <w:rPr>
                <w:rFonts w:ascii="Arial" w:cs="Arial" w:eastAsia="Arial" w:hAnsi="Arial"/>
                <w:sz w:val="16"/>
                <w:szCs w:val="16"/>
                <w:color w:val="auto"/>
              </w:rPr>
              <w:t>December 31, 2019</w:t>
            </w:r>
          </w:p>
        </w:tc>
        <w:tc>
          <w:tcPr>
            <w:tcW w:w="780" w:type="dxa"/>
            <w:vAlign w:val="bottom"/>
          </w:tcPr>
          <w:p>
            <w:pPr>
              <w:jc w:val="right"/>
              <w:ind w:right="80"/>
              <w:spacing w:after="0"/>
              <w:rPr>
                <w:sz w:val="20"/>
                <w:szCs w:val="20"/>
                <w:color w:val="auto"/>
              </w:rPr>
            </w:pPr>
            <w:r>
              <w:rPr>
                <w:rFonts w:ascii="Arial" w:cs="Arial" w:eastAsia="Arial" w:hAnsi="Arial"/>
                <w:sz w:val="16"/>
                <w:szCs w:val="16"/>
                <w:color w:val="auto"/>
              </w:rPr>
              <w:t>251</w:t>
            </w:r>
          </w:p>
        </w:tc>
        <w:tc>
          <w:tcPr>
            <w:tcW w:w="8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14</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6</w:t>
            </w: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897</w:t>
            </w: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1,168</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322</w:t>
            </w:r>
          </w:p>
        </w:tc>
        <w:tc>
          <w:tcPr>
            <w:tcW w:w="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1,490</w:t>
            </w:r>
          </w:p>
        </w:tc>
        <w:tc>
          <w:tcPr>
            <w:tcW w:w="0" w:type="dxa"/>
            <w:vAlign w:val="bottom"/>
          </w:tcPr>
          <w:p>
            <w:pPr>
              <w:spacing w:after="0"/>
              <w:rPr>
                <w:sz w:val="1"/>
                <w:szCs w:val="1"/>
                <w:color w:val="auto"/>
              </w:rPr>
            </w:pPr>
          </w:p>
        </w:tc>
      </w:tr>
      <w:tr>
        <w:trPr>
          <w:trHeight w:val="152"/>
        </w:trPr>
        <w:tc>
          <w:tcPr>
            <w:tcW w:w="2620" w:type="dxa"/>
            <w:vAlign w:val="bottom"/>
          </w:tcPr>
          <w:p>
            <w:pPr>
              <w:ind w:left="20"/>
              <w:spacing w:after="0" w:line="152" w:lineRule="exact"/>
              <w:rPr>
                <w:sz w:val="20"/>
                <w:szCs w:val="20"/>
                <w:color w:val="auto"/>
              </w:rPr>
            </w:pPr>
            <w:r>
              <w:rPr>
                <w:rFonts w:ascii="Arial" w:cs="Arial" w:eastAsia="Arial" w:hAnsi="Arial"/>
                <w:sz w:val="16"/>
                <w:szCs w:val="16"/>
                <w:color w:val="auto"/>
              </w:rPr>
              <w:t>Total liquids proved reserves at</w:t>
            </w:r>
          </w:p>
        </w:tc>
        <w:tc>
          <w:tcPr>
            <w:tcW w:w="780" w:type="dxa"/>
            <w:vAlign w:val="bottom"/>
            <w:tcBorders>
              <w:top w:val="single" w:sz="8" w:color="auto"/>
            </w:tcBorders>
            <w:vMerge w:val="restart"/>
          </w:tcPr>
          <w:p>
            <w:pPr>
              <w:jc w:val="right"/>
              <w:ind w:right="80"/>
              <w:spacing w:after="0"/>
              <w:rPr>
                <w:sz w:val="20"/>
                <w:szCs w:val="20"/>
                <w:color w:val="auto"/>
              </w:rPr>
            </w:pPr>
            <w:r>
              <w:rPr>
                <w:rFonts w:ascii="Arial" w:cs="Arial" w:eastAsia="Arial" w:hAnsi="Arial"/>
                <w:sz w:val="16"/>
                <w:szCs w:val="16"/>
                <w:color w:val="auto"/>
              </w:rPr>
              <w:t>3,339</w:t>
            </w:r>
          </w:p>
        </w:tc>
        <w:tc>
          <w:tcPr>
            <w:tcW w:w="840" w:type="dxa"/>
            <w:vAlign w:val="bottom"/>
            <w:tcBorders>
              <w:top w:val="single" w:sz="8" w:color="auto"/>
            </w:tcBorders>
            <w:vMerge w:val="restart"/>
          </w:tcPr>
          <w:p>
            <w:pPr>
              <w:jc w:val="right"/>
              <w:ind w:right="80"/>
              <w:spacing w:after="0"/>
              <w:rPr>
                <w:sz w:val="20"/>
                <w:szCs w:val="20"/>
                <w:color w:val="auto"/>
              </w:rPr>
            </w:pPr>
            <w:r>
              <w:rPr>
                <w:rFonts w:ascii="Arial" w:cs="Arial" w:eastAsia="Arial" w:hAnsi="Arial"/>
                <w:sz w:val="16"/>
                <w:szCs w:val="16"/>
                <w:color w:val="auto"/>
              </w:rPr>
              <w:t>557</w:t>
            </w:r>
          </w:p>
        </w:tc>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53</w:t>
            </w:r>
          </w:p>
        </w:tc>
        <w:tc>
          <w:tcPr>
            <w:tcW w:w="880" w:type="dxa"/>
            <w:vAlign w:val="bottom"/>
            <w:tcBorders>
              <w:top w:val="single" w:sz="8" w:color="auto"/>
            </w:tcBorders>
            <w:vMerge w:val="restart"/>
          </w:tcPr>
          <w:p>
            <w:pPr>
              <w:jc w:val="right"/>
              <w:ind w:right="120"/>
              <w:spacing w:after="0"/>
              <w:rPr>
                <w:sz w:val="20"/>
                <w:szCs w:val="20"/>
                <w:color w:val="auto"/>
              </w:rPr>
            </w:pPr>
            <w:r>
              <w:rPr>
                <w:rFonts w:ascii="Arial" w:cs="Arial" w:eastAsia="Arial" w:hAnsi="Arial"/>
                <w:sz w:val="16"/>
                <w:szCs w:val="16"/>
                <w:color w:val="auto"/>
              </w:rPr>
              <w:t>453</w:t>
            </w:r>
          </w:p>
        </w:tc>
        <w:tc>
          <w:tcPr>
            <w:tcW w:w="660" w:type="dxa"/>
            <w:vAlign w:val="bottom"/>
            <w:tcBorders>
              <w:top w:val="single" w:sz="8" w:color="auto"/>
            </w:tcBorders>
            <w:vMerge w:val="restart"/>
          </w:tcPr>
          <w:p>
            <w:pPr>
              <w:jc w:val="right"/>
              <w:ind w:right="20"/>
              <w:spacing w:after="0"/>
              <w:rPr>
                <w:sz w:val="20"/>
                <w:szCs w:val="20"/>
                <w:color w:val="auto"/>
              </w:rPr>
            </w:pPr>
            <w:r>
              <w:rPr>
                <w:rFonts w:ascii="Arial" w:cs="Arial" w:eastAsia="Arial" w:hAnsi="Arial"/>
                <w:sz w:val="16"/>
                <w:szCs w:val="16"/>
                <w:color w:val="auto"/>
              </w:rPr>
              <w:t>4,232</w:t>
            </w:r>
          </w:p>
        </w:tc>
        <w:tc>
          <w:tcPr>
            <w:tcW w:w="820" w:type="dxa"/>
            <w:vAlign w:val="bottom"/>
            <w:tcBorders>
              <w:top w:val="single" w:sz="8" w:color="auto"/>
            </w:tcBorders>
            <w:vMerge w:val="restart"/>
          </w:tcPr>
          <w:p>
            <w:pPr>
              <w:jc w:val="right"/>
              <w:ind w:right="60"/>
              <w:spacing w:after="0"/>
              <w:rPr>
                <w:sz w:val="20"/>
                <w:szCs w:val="20"/>
                <w:color w:val="auto"/>
              </w:rPr>
            </w:pPr>
            <w:r>
              <w:rPr>
                <w:rFonts w:ascii="Arial" w:cs="Arial" w:eastAsia="Arial" w:hAnsi="Arial"/>
                <w:sz w:val="16"/>
                <w:szCs w:val="16"/>
                <w:color w:val="auto"/>
              </w:rPr>
              <w:t>94</w:t>
            </w:r>
          </w:p>
        </w:tc>
        <w:tc>
          <w:tcPr>
            <w:tcW w:w="6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8,728</w:t>
            </w:r>
          </w:p>
        </w:tc>
        <w:tc>
          <w:tcPr>
            <w:tcW w:w="80" w:type="dxa"/>
            <w:vAlign w:val="bottom"/>
          </w:tcPr>
          <w:p>
            <w:pPr>
              <w:spacing w:after="0"/>
              <w:rPr>
                <w:sz w:val="13"/>
                <w:szCs w:val="13"/>
                <w:color w:val="auto"/>
              </w:rPr>
            </w:pP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1,597</w:t>
            </w:r>
          </w:p>
        </w:tc>
        <w:tc>
          <w:tcPr>
            <w:tcW w:w="80" w:type="dxa"/>
            <w:vAlign w:val="bottom"/>
          </w:tcPr>
          <w:p>
            <w:pPr>
              <w:spacing w:after="0"/>
              <w:rPr>
                <w:sz w:val="13"/>
                <w:szCs w:val="13"/>
                <w:color w:val="auto"/>
              </w:rPr>
            </w:pPr>
          </w:p>
        </w:tc>
        <w:tc>
          <w:tcPr>
            <w:tcW w:w="7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3,858</w:t>
            </w:r>
          </w:p>
        </w:tc>
        <w:tc>
          <w:tcPr>
            <w:tcW w:w="80" w:type="dxa"/>
            <w:vAlign w:val="bottom"/>
          </w:tcPr>
          <w:p>
            <w:pPr>
              <w:spacing w:after="0"/>
              <w:rPr>
                <w:sz w:val="13"/>
                <w:szCs w:val="13"/>
                <w:color w:val="auto"/>
              </w:rPr>
            </w:pPr>
          </w:p>
        </w:tc>
        <w:tc>
          <w:tcPr>
            <w:tcW w:w="760" w:type="dxa"/>
            <w:vAlign w:val="bottom"/>
            <w:tcBorders>
              <w:top w:val="single" w:sz="8" w:color="auto"/>
            </w:tcBorders>
            <w:vMerge w:val="restart"/>
          </w:tcPr>
          <w:p>
            <w:pPr>
              <w:jc w:val="right"/>
              <w:ind w:right="1"/>
              <w:spacing w:after="0"/>
              <w:rPr>
                <w:sz w:val="20"/>
                <w:szCs w:val="20"/>
                <w:color w:val="auto"/>
              </w:rPr>
            </w:pPr>
            <w:r>
              <w:rPr>
                <w:rFonts w:ascii="Arial" w:cs="Arial" w:eastAsia="Arial" w:hAnsi="Arial"/>
                <w:sz w:val="16"/>
                <w:szCs w:val="16"/>
                <w:color w:val="auto"/>
              </w:rPr>
              <w:t>415</w:t>
            </w:r>
          </w:p>
        </w:tc>
        <w:tc>
          <w:tcPr>
            <w:tcW w:w="80" w:type="dxa"/>
            <w:vAlign w:val="bottom"/>
          </w:tcPr>
          <w:p>
            <w:pPr>
              <w:spacing w:after="0"/>
              <w:rPr>
                <w:sz w:val="13"/>
                <w:szCs w:val="13"/>
                <w:color w:val="auto"/>
              </w:rPr>
            </w:pPr>
          </w:p>
        </w:tc>
        <w:tc>
          <w:tcPr>
            <w:tcW w:w="6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14,598</w:t>
            </w:r>
          </w:p>
        </w:tc>
        <w:tc>
          <w:tcPr>
            <w:tcW w:w="0" w:type="dxa"/>
            <w:vAlign w:val="bottom"/>
          </w:tcPr>
          <w:p>
            <w:pPr>
              <w:spacing w:after="0"/>
              <w:rPr>
                <w:sz w:val="1"/>
                <w:szCs w:val="1"/>
                <w:color w:val="auto"/>
              </w:rPr>
            </w:pPr>
          </w:p>
        </w:tc>
      </w:tr>
      <w:tr>
        <w:trPr>
          <w:trHeight w:val="211"/>
        </w:trPr>
        <w:tc>
          <w:tcPr>
            <w:tcW w:w="2620" w:type="dxa"/>
            <w:vAlign w:val="bottom"/>
          </w:tcPr>
          <w:p>
            <w:pPr>
              <w:ind w:left="100"/>
              <w:spacing w:after="0"/>
              <w:rPr>
                <w:sz w:val="20"/>
                <w:szCs w:val="20"/>
                <w:color w:val="auto"/>
              </w:rPr>
            </w:pPr>
            <w:r>
              <w:rPr>
                <w:rFonts w:ascii="Arial" w:cs="Arial" w:eastAsia="Arial" w:hAnsi="Arial"/>
                <w:sz w:val="16"/>
                <w:szCs w:val="16"/>
                <w:color w:val="auto"/>
              </w:rPr>
              <w:t>December 31, 2019</w:t>
            </w:r>
          </w:p>
        </w:tc>
        <w:tc>
          <w:tcPr>
            <w:tcW w:w="780" w:type="dxa"/>
            <w:vAlign w:val="bottom"/>
            <w:tcBorders>
              <w:bottom w:val="single" w:sz="8" w:color="auto"/>
            </w:tcBorders>
            <w:vMerge w:val="continue"/>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60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68"/>
        </w:trPr>
        <w:tc>
          <w:tcPr>
            <w:tcW w:w="2620" w:type="dxa"/>
            <w:vAlign w:val="bottom"/>
          </w:tcPr>
          <w:p>
            <w:pPr>
              <w:ind w:left="20"/>
              <w:spacing w:after="0"/>
              <w:rPr>
                <w:sz w:val="20"/>
                <w:szCs w:val="20"/>
                <w:color w:val="auto"/>
              </w:rPr>
            </w:pPr>
            <w:r>
              <w:rPr>
                <w:rFonts w:ascii="Arial" w:cs="Arial" w:eastAsia="Arial" w:hAnsi="Arial"/>
                <w:sz w:val="16"/>
                <w:szCs w:val="16"/>
                <w:color w:val="auto"/>
                <w:w w:val="90"/>
              </w:rPr>
              <w:t>Net proved developed and undeveloped</w:t>
            </w: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620" w:type="dxa"/>
            <w:vAlign w:val="bottom"/>
          </w:tcPr>
          <w:p>
            <w:pPr>
              <w:ind w:left="100"/>
              <w:spacing w:after="0"/>
              <w:rPr>
                <w:sz w:val="20"/>
                <w:szCs w:val="20"/>
                <w:color w:val="auto"/>
              </w:rPr>
            </w:pPr>
            <w:r>
              <w:rPr>
                <w:rFonts w:ascii="Arial" w:cs="Arial" w:eastAsia="Arial" w:hAnsi="Arial"/>
                <w:sz w:val="16"/>
                <w:szCs w:val="16"/>
                <w:color w:val="auto"/>
                <w:w w:val="95"/>
              </w:rPr>
              <w:t>reserves of consolidated subsidiaries</w:t>
            </w:r>
          </w:p>
        </w:tc>
        <w:tc>
          <w:tcPr>
            <w:tcW w:w="7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20" w:type="dxa"/>
            <w:vAlign w:val="bottom"/>
          </w:tcPr>
          <w:p>
            <w:pPr>
              <w:ind w:left="20"/>
              <w:spacing w:after="0"/>
              <w:rPr>
                <w:sz w:val="20"/>
                <w:szCs w:val="20"/>
                <w:color w:val="auto"/>
              </w:rPr>
            </w:pPr>
            <w:r>
              <w:rPr>
                <w:rFonts w:ascii="Arial" w:cs="Arial" w:eastAsia="Arial" w:hAnsi="Arial"/>
                <w:sz w:val="16"/>
                <w:szCs w:val="16"/>
                <w:color w:val="auto"/>
              </w:rPr>
              <w:t>January 1, 2020</w:t>
            </w:r>
          </w:p>
        </w:tc>
        <w:tc>
          <w:tcPr>
            <w:tcW w:w="780" w:type="dxa"/>
            <w:vAlign w:val="bottom"/>
          </w:tcPr>
          <w:p>
            <w:pPr>
              <w:jc w:val="right"/>
              <w:ind w:right="80"/>
              <w:spacing w:after="0"/>
              <w:rPr>
                <w:sz w:val="20"/>
                <w:szCs w:val="20"/>
                <w:color w:val="auto"/>
              </w:rPr>
            </w:pPr>
            <w:r>
              <w:rPr>
                <w:rFonts w:ascii="Arial" w:cs="Arial" w:eastAsia="Arial" w:hAnsi="Arial"/>
                <w:sz w:val="16"/>
                <w:szCs w:val="16"/>
                <w:color w:val="auto"/>
              </w:rPr>
              <w:t>3,088</w:t>
            </w:r>
          </w:p>
        </w:tc>
        <w:tc>
          <w:tcPr>
            <w:tcW w:w="840" w:type="dxa"/>
            <w:vAlign w:val="bottom"/>
          </w:tcPr>
          <w:p>
            <w:pPr>
              <w:jc w:val="right"/>
              <w:ind w:right="80"/>
              <w:spacing w:after="0"/>
              <w:rPr>
                <w:sz w:val="20"/>
                <w:szCs w:val="20"/>
                <w:color w:val="auto"/>
              </w:rPr>
            </w:pPr>
            <w:r>
              <w:rPr>
                <w:rFonts w:ascii="Arial" w:cs="Arial" w:eastAsia="Arial" w:hAnsi="Arial"/>
                <w:sz w:val="16"/>
                <w:szCs w:val="16"/>
                <w:color w:val="auto"/>
              </w:rPr>
              <w:t>557</w:t>
            </w:r>
          </w:p>
        </w:tc>
        <w:tc>
          <w:tcPr>
            <w:tcW w:w="680" w:type="dxa"/>
            <w:vAlign w:val="bottom"/>
          </w:tcPr>
          <w:p>
            <w:pPr>
              <w:jc w:val="right"/>
              <w:spacing w:after="0"/>
              <w:rPr>
                <w:sz w:val="20"/>
                <w:szCs w:val="20"/>
                <w:color w:val="auto"/>
              </w:rPr>
            </w:pPr>
            <w:r>
              <w:rPr>
                <w:rFonts w:ascii="Arial" w:cs="Arial" w:eastAsia="Arial" w:hAnsi="Arial"/>
                <w:sz w:val="16"/>
                <w:szCs w:val="16"/>
                <w:color w:val="auto"/>
              </w:rPr>
              <w:t>39</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447</w:t>
            </w: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3,335</w:t>
            </w: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94</w:t>
            </w:r>
          </w:p>
        </w:tc>
        <w:tc>
          <w:tcPr>
            <w:tcW w:w="600" w:type="dxa"/>
            <w:vAlign w:val="bottom"/>
          </w:tcPr>
          <w:p>
            <w:pPr>
              <w:jc w:val="right"/>
              <w:spacing w:after="0"/>
              <w:rPr>
                <w:sz w:val="20"/>
                <w:szCs w:val="20"/>
                <w:color w:val="auto"/>
              </w:rPr>
            </w:pPr>
            <w:r>
              <w:rPr>
                <w:rFonts w:ascii="Arial" w:cs="Arial" w:eastAsia="Arial" w:hAnsi="Arial"/>
                <w:sz w:val="16"/>
                <w:szCs w:val="16"/>
                <w:color w:val="auto"/>
              </w:rPr>
              <w:t>7,560</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1,275</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3,858</w:t>
            </w:r>
          </w:p>
        </w:tc>
        <w:tc>
          <w:tcPr>
            <w:tcW w:w="80" w:type="dxa"/>
            <w:vAlign w:val="bottom"/>
          </w:tcPr>
          <w:p>
            <w:pPr>
              <w:spacing w:after="0"/>
              <w:rPr>
                <w:sz w:val="18"/>
                <w:szCs w:val="18"/>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415</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13,108</w:t>
            </w:r>
          </w:p>
        </w:tc>
        <w:tc>
          <w:tcPr>
            <w:tcW w:w="0" w:type="dxa"/>
            <w:vAlign w:val="bottom"/>
          </w:tcPr>
          <w:p>
            <w:pPr>
              <w:spacing w:after="0"/>
              <w:rPr>
                <w:sz w:val="1"/>
                <w:szCs w:val="1"/>
                <w:color w:val="auto"/>
              </w:rPr>
            </w:pPr>
          </w:p>
        </w:tc>
      </w:tr>
      <w:tr>
        <w:trPr>
          <w:trHeight w:val="216"/>
        </w:trPr>
        <w:tc>
          <w:tcPr>
            <w:tcW w:w="2620" w:type="dxa"/>
            <w:vAlign w:val="bottom"/>
          </w:tcPr>
          <w:p>
            <w:pPr>
              <w:ind w:left="140"/>
              <w:spacing w:after="0"/>
              <w:rPr>
                <w:sz w:val="20"/>
                <w:szCs w:val="20"/>
                <w:color w:val="auto"/>
              </w:rPr>
            </w:pPr>
            <w:r>
              <w:rPr>
                <w:rFonts w:ascii="Arial" w:cs="Arial" w:eastAsia="Arial" w:hAnsi="Arial"/>
                <w:sz w:val="16"/>
                <w:szCs w:val="16"/>
                <w:color w:val="auto"/>
              </w:rPr>
              <w:t>Revisions</w:t>
            </w: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(1,139)</w:t>
            </w: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(14)</w:t>
            </w:r>
          </w:p>
        </w:tc>
        <w:tc>
          <w:tcPr>
            <w:tcW w:w="680" w:type="dxa"/>
            <w:vAlign w:val="bottom"/>
          </w:tcPr>
          <w:p>
            <w:pPr>
              <w:jc w:val="right"/>
              <w:spacing w:after="0"/>
              <w:rPr>
                <w:sz w:val="20"/>
                <w:szCs w:val="20"/>
                <w:color w:val="auto"/>
              </w:rPr>
            </w:pPr>
            <w:r>
              <w:rPr>
                <w:rFonts w:ascii="Arial" w:cs="Arial" w:eastAsia="Arial" w:hAnsi="Arial"/>
                <w:sz w:val="16"/>
                <w:szCs w:val="16"/>
                <w:color w:val="auto"/>
              </w:rPr>
              <w:t>(9)</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19</w:t>
            </w:r>
          </w:p>
        </w:tc>
        <w:tc>
          <w:tcPr>
            <w:tcW w:w="660" w:type="dxa"/>
            <w:vAlign w:val="bottom"/>
          </w:tcPr>
          <w:p>
            <w:pPr>
              <w:jc w:val="right"/>
              <w:spacing w:after="0"/>
              <w:rPr>
                <w:sz w:val="20"/>
                <w:szCs w:val="20"/>
                <w:color w:val="auto"/>
              </w:rPr>
            </w:pPr>
            <w:r>
              <w:rPr>
                <w:rFonts w:ascii="Arial" w:cs="Arial" w:eastAsia="Arial" w:hAnsi="Arial"/>
                <w:sz w:val="16"/>
                <w:szCs w:val="16"/>
                <w:color w:val="auto"/>
              </w:rPr>
              <w:t>(20)</w:t>
            </w: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(10)</w:t>
            </w:r>
          </w:p>
        </w:tc>
        <w:tc>
          <w:tcPr>
            <w:tcW w:w="600" w:type="dxa"/>
            <w:vAlign w:val="bottom"/>
          </w:tcPr>
          <w:p>
            <w:pPr>
              <w:jc w:val="right"/>
              <w:spacing w:after="0"/>
              <w:rPr>
                <w:sz w:val="20"/>
                <w:szCs w:val="20"/>
                <w:color w:val="auto"/>
              </w:rPr>
            </w:pPr>
            <w:r>
              <w:rPr>
                <w:rFonts w:ascii="Arial" w:cs="Arial" w:eastAsia="Arial" w:hAnsi="Arial"/>
                <w:sz w:val="16"/>
                <w:szCs w:val="16"/>
                <w:color w:val="auto"/>
              </w:rPr>
              <w:t>(1,173)</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(209)</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(3,653)</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(79)</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(5,114)</w:t>
            </w:r>
          </w:p>
        </w:tc>
        <w:tc>
          <w:tcPr>
            <w:tcW w:w="0" w:type="dxa"/>
            <w:vAlign w:val="bottom"/>
          </w:tcPr>
          <w:p>
            <w:pPr>
              <w:spacing w:after="0"/>
              <w:rPr>
                <w:sz w:val="1"/>
                <w:szCs w:val="1"/>
                <w:color w:val="auto"/>
              </w:rPr>
            </w:pPr>
          </w:p>
        </w:tc>
      </w:tr>
      <w:tr>
        <w:trPr>
          <w:trHeight w:val="216"/>
        </w:trPr>
        <w:tc>
          <w:tcPr>
            <w:tcW w:w="2620" w:type="dxa"/>
            <w:vAlign w:val="bottom"/>
          </w:tcPr>
          <w:p>
            <w:pPr>
              <w:ind w:left="140"/>
              <w:spacing w:after="0"/>
              <w:rPr>
                <w:sz w:val="20"/>
                <w:szCs w:val="20"/>
                <w:color w:val="auto"/>
              </w:rPr>
            </w:pPr>
            <w:r>
              <w:rPr>
                <w:rFonts w:ascii="Arial" w:cs="Arial" w:eastAsia="Arial" w:hAnsi="Arial"/>
                <w:sz w:val="16"/>
                <w:szCs w:val="16"/>
                <w:color w:val="auto"/>
              </w:rPr>
              <w:t>Improved recovery</w:t>
            </w:r>
          </w:p>
        </w:tc>
        <w:tc>
          <w:tcPr>
            <w:tcW w:w="78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620" w:type="dxa"/>
            <w:vAlign w:val="bottom"/>
          </w:tcPr>
          <w:p>
            <w:pPr>
              <w:ind w:left="140"/>
              <w:spacing w:after="0"/>
              <w:rPr>
                <w:sz w:val="20"/>
                <w:szCs w:val="20"/>
                <w:color w:val="auto"/>
              </w:rPr>
            </w:pPr>
            <w:r>
              <w:rPr>
                <w:rFonts w:ascii="Arial" w:cs="Arial" w:eastAsia="Arial" w:hAnsi="Arial"/>
                <w:sz w:val="16"/>
                <w:szCs w:val="16"/>
                <w:color w:val="auto"/>
              </w:rPr>
              <w:t>Purchases</w:t>
            </w:r>
          </w:p>
        </w:tc>
        <w:tc>
          <w:tcPr>
            <w:tcW w:w="78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620" w:type="dxa"/>
            <w:vAlign w:val="bottom"/>
          </w:tcPr>
          <w:p>
            <w:pPr>
              <w:ind w:left="140"/>
              <w:spacing w:after="0"/>
              <w:rPr>
                <w:sz w:val="20"/>
                <w:szCs w:val="20"/>
                <w:color w:val="auto"/>
              </w:rPr>
            </w:pPr>
            <w:r>
              <w:rPr>
                <w:rFonts w:ascii="Arial" w:cs="Arial" w:eastAsia="Arial" w:hAnsi="Arial"/>
                <w:sz w:val="16"/>
                <w:szCs w:val="16"/>
                <w:color w:val="auto"/>
              </w:rPr>
              <w:t>Sales</w:t>
            </w: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(1)</w:t>
            </w: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(2)</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6"/>
        </w:trPr>
        <w:tc>
          <w:tcPr>
            <w:tcW w:w="2620" w:type="dxa"/>
            <w:vAlign w:val="bottom"/>
          </w:tcPr>
          <w:p>
            <w:pPr>
              <w:ind w:left="140"/>
              <w:spacing w:after="0"/>
              <w:rPr>
                <w:sz w:val="20"/>
                <w:szCs w:val="20"/>
                <w:color w:val="auto"/>
              </w:rPr>
            </w:pPr>
            <w:r>
              <w:rPr>
                <w:rFonts w:ascii="Arial" w:cs="Arial" w:eastAsia="Arial" w:hAnsi="Arial"/>
                <w:sz w:val="16"/>
                <w:szCs w:val="16"/>
                <w:color w:val="auto"/>
              </w:rPr>
              <w:t>Extensions/discoveries</w:t>
            </w:r>
          </w:p>
        </w:tc>
        <w:tc>
          <w:tcPr>
            <w:tcW w:w="780" w:type="dxa"/>
            <w:vAlign w:val="bottom"/>
          </w:tcPr>
          <w:p>
            <w:pPr>
              <w:jc w:val="right"/>
              <w:ind w:right="80"/>
              <w:spacing w:after="0"/>
              <w:rPr>
                <w:sz w:val="20"/>
                <w:szCs w:val="20"/>
                <w:color w:val="auto"/>
              </w:rPr>
            </w:pPr>
            <w:r>
              <w:rPr>
                <w:rFonts w:ascii="Arial" w:cs="Arial" w:eastAsia="Arial" w:hAnsi="Arial"/>
                <w:sz w:val="16"/>
                <w:szCs w:val="16"/>
                <w:color w:val="auto"/>
              </w:rPr>
              <w:t>187</w:t>
            </w:r>
          </w:p>
        </w:tc>
        <w:tc>
          <w:tcPr>
            <w:tcW w:w="840" w:type="dxa"/>
            <w:vAlign w:val="bottom"/>
          </w:tcPr>
          <w:p>
            <w:pPr>
              <w:jc w:val="right"/>
              <w:ind w:right="80"/>
              <w:spacing w:after="0"/>
              <w:rPr>
                <w:sz w:val="20"/>
                <w:szCs w:val="20"/>
                <w:color w:val="auto"/>
              </w:rPr>
            </w:pPr>
            <w:r>
              <w:rPr>
                <w:rFonts w:ascii="Arial" w:cs="Arial" w:eastAsia="Arial" w:hAnsi="Arial"/>
                <w:sz w:val="16"/>
                <w:szCs w:val="16"/>
                <w:color w:val="auto"/>
              </w:rPr>
              <w:t>1</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188</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65</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133</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387</w:t>
            </w:r>
          </w:p>
        </w:tc>
        <w:tc>
          <w:tcPr>
            <w:tcW w:w="0" w:type="dxa"/>
            <w:vAlign w:val="bottom"/>
          </w:tcPr>
          <w:p>
            <w:pPr>
              <w:spacing w:after="0"/>
              <w:rPr>
                <w:sz w:val="1"/>
                <w:szCs w:val="1"/>
                <w:color w:val="auto"/>
              </w:rPr>
            </w:pPr>
          </w:p>
        </w:tc>
      </w:tr>
      <w:tr>
        <w:trPr>
          <w:trHeight w:val="216"/>
        </w:trPr>
        <w:tc>
          <w:tcPr>
            <w:tcW w:w="2620" w:type="dxa"/>
            <w:vAlign w:val="bottom"/>
          </w:tcPr>
          <w:p>
            <w:pPr>
              <w:ind w:left="140"/>
              <w:spacing w:after="0"/>
              <w:rPr>
                <w:sz w:val="20"/>
                <w:szCs w:val="20"/>
                <w:color w:val="auto"/>
              </w:rPr>
            </w:pPr>
            <w:r>
              <w:rPr>
                <w:rFonts w:ascii="Arial" w:cs="Arial" w:eastAsia="Arial" w:hAnsi="Arial"/>
                <w:sz w:val="16"/>
                <w:szCs w:val="16"/>
                <w:color w:val="auto"/>
              </w:rPr>
              <w:t>Production</w:t>
            </w:r>
          </w:p>
        </w:tc>
        <w:tc>
          <w:tcPr>
            <w:tcW w:w="7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(176)</w:t>
            </w:r>
          </w:p>
        </w:tc>
        <w:tc>
          <w:tcPr>
            <w:tcW w:w="8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(45)</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8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(110)</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w:t>
            </w:r>
          </w:p>
        </w:tc>
        <w:tc>
          <w:tcPr>
            <w:tcW w:w="8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(514)</w:t>
            </w:r>
          </w:p>
        </w:tc>
        <w:tc>
          <w:tcPr>
            <w:tcW w:w="8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w:t>
            </w:r>
          </w:p>
        </w:tc>
        <w:tc>
          <w:tcPr>
            <w:tcW w:w="8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w:t>
            </w:r>
          </w:p>
        </w:tc>
        <w:tc>
          <w:tcPr>
            <w:tcW w:w="8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80" w:type="dxa"/>
            <w:vAlign w:val="bottom"/>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(738)</w:t>
            </w:r>
          </w:p>
        </w:tc>
        <w:tc>
          <w:tcPr>
            <w:tcW w:w="0" w:type="dxa"/>
            <w:vAlign w:val="bottom"/>
          </w:tcPr>
          <w:p>
            <w:pPr>
              <w:spacing w:after="0"/>
              <w:rPr>
                <w:sz w:val="1"/>
                <w:szCs w:val="1"/>
                <w:color w:val="auto"/>
              </w:rPr>
            </w:pPr>
          </w:p>
        </w:tc>
      </w:tr>
      <w:tr>
        <w:trPr>
          <w:trHeight w:val="209"/>
        </w:trPr>
        <w:tc>
          <w:tcPr>
            <w:tcW w:w="2620" w:type="dxa"/>
            <w:vAlign w:val="bottom"/>
          </w:tcPr>
          <w:p>
            <w:pPr>
              <w:ind w:left="20"/>
              <w:spacing w:after="0"/>
              <w:rPr>
                <w:sz w:val="20"/>
                <w:szCs w:val="20"/>
                <w:color w:val="auto"/>
              </w:rPr>
            </w:pPr>
            <w:r>
              <w:rPr>
                <w:rFonts w:ascii="Arial" w:cs="Arial" w:eastAsia="Arial" w:hAnsi="Arial"/>
                <w:sz w:val="16"/>
                <w:szCs w:val="16"/>
                <w:color w:val="auto"/>
              </w:rPr>
              <w:t>December 31, 2020</w:t>
            </w:r>
          </w:p>
        </w:tc>
        <w:tc>
          <w:tcPr>
            <w:tcW w:w="7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1,959</w:t>
            </w:r>
          </w:p>
        </w:tc>
        <w:tc>
          <w:tcPr>
            <w:tcW w:w="8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497</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8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356</w:t>
            </w:r>
          </w:p>
        </w:tc>
        <w:tc>
          <w:tcPr>
            <w:tcW w:w="6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3,150</w:t>
            </w:r>
          </w:p>
        </w:tc>
        <w:tc>
          <w:tcPr>
            <w:tcW w:w="8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74</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6,058</w:t>
            </w:r>
          </w:p>
        </w:tc>
        <w:tc>
          <w:tcPr>
            <w:tcW w:w="8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1,054</w:t>
            </w:r>
          </w:p>
        </w:tc>
        <w:tc>
          <w:tcPr>
            <w:tcW w:w="8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w:t>
            </w:r>
          </w:p>
        </w:tc>
        <w:tc>
          <w:tcPr>
            <w:tcW w:w="80" w:type="dxa"/>
            <w:vAlign w:val="bottom"/>
          </w:tcPr>
          <w:p>
            <w:pPr>
              <w:spacing w:after="0"/>
              <w:rPr>
                <w:sz w:val="18"/>
                <w:szCs w:val="18"/>
                <w:color w:val="auto"/>
              </w:rPr>
            </w:pPr>
          </w:p>
        </w:tc>
        <w:tc>
          <w:tcPr>
            <w:tcW w:w="7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444</w:t>
            </w:r>
          </w:p>
        </w:tc>
        <w:tc>
          <w:tcPr>
            <w:tcW w:w="80" w:type="dxa"/>
            <w:vAlign w:val="bottom"/>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7,637</w:t>
            </w:r>
          </w:p>
        </w:tc>
        <w:tc>
          <w:tcPr>
            <w:tcW w:w="0" w:type="dxa"/>
            <w:vAlign w:val="bottom"/>
          </w:tcPr>
          <w:p>
            <w:pPr>
              <w:spacing w:after="0"/>
              <w:rPr>
                <w:sz w:val="1"/>
                <w:szCs w:val="1"/>
                <w:color w:val="auto"/>
              </w:rPr>
            </w:pPr>
          </w:p>
        </w:tc>
      </w:tr>
      <w:tr>
        <w:trPr>
          <w:trHeight w:val="182"/>
        </w:trPr>
        <w:tc>
          <w:tcPr>
            <w:tcW w:w="2620" w:type="dxa"/>
            <w:vAlign w:val="bottom"/>
          </w:tcPr>
          <w:p>
            <w:pPr>
              <w:ind w:left="20"/>
              <w:spacing w:after="0"/>
              <w:rPr>
                <w:sz w:val="20"/>
                <w:szCs w:val="20"/>
                <w:color w:val="auto"/>
              </w:rPr>
            </w:pPr>
            <w:r>
              <w:rPr>
                <w:rFonts w:ascii="Arial" w:cs="Arial" w:eastAsia="Arial" w:hAnsi="Arial"/>
                <w:sz w:val="14"/>
                <w:szCs w:val="14"/>
                <w:i w:val="1"/>
                <w:iCs w:val="1"/>
                <w:color w:val="auto"/>
              </w:rPr>
              <w:t>Attributable to noncontrolling interests</w:t>
            </w:r>
          </w:p>
        </w:tc>
        <w:tc>
          <w:tcPr>
            <w:tcW w:w="780" w:type="dxa"/>
            <w:vAlign w:val="bottom"/>
          </w:tcPr>
          <w:p>
            <w:pPr>
              <w:spacing w:after="0"/>
              <w:rPr>
                <w:sz w:val="15"/>
                <w:szCs w:val="15"/>
                <w:color w:val="auto"/>
              </w:rPr>
            </w:pPr>
          </w:p>
        </w:tc>
        <w:tc>
          <w:tcPr>
            <w:tcW w:w="840" w:type="dxa"/>
            <w:vAlign w:val="bottom"/>
          </w:tcPr>
          <w:p>
            <w:pPr>
              <w:jc w:val="right"/>
              <w:ind w:right="80"/>
              <w:spacing w:after="0"/>
              <w:rPr>
                <w:sz w:val="20"/>
                <w:szCs w:val="20"/>
                <w:color w:val="auto"/>
              </w:rPr>
            </w:pPr>
            <w:r>
              <w:rPr>
                <w:rFonts w:ascii="Arial" w:cs="Arial" w:eastAsia="Arial" w:hAnsi="Arial"/>
                <w:sz w:val="14"/>
                <w:szCs w:val="14"/>
                <w:i w:val="1"/>
                <w:iCs w:val="1"/>
                <w:color w:val="auto"/>
              </w:rPr>
              <w:t>7</w:t>
            </w:r>
          </w:p>
        </w:tc>
        <w:tc>
          <w:tcPr>
            <w:tcW w:w="6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i w:val="1"/>
                <w:iCs w:val="1"/>
                <w:color w:val="auto"/>
              </w:rPr>
              <w:t>1</w:t>
            </w: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i w:val="1"/>
                <w:iCs w:val="1"/>
                <w:color w:val="auto"/>
              </w:rPr>
              <w:t>25</w:t>
            </w:r>
          </w:p>
        </w:tc>
        <w:tc>
          <w:tcPr>
            <w:tcW w:w="80" w:type="dxa"/>
            <w:vAlign w:val="bottom"/>
          </w:tcPr>
          <w:p>
            <w:pPr>
              <w:spacing w:after="0"/>
              <w:rPr>
                <w:sz w:val="15"/>
                <w:szCs w:val="15"/>
                <w:color w:val="auto"/>
              </w:rPr>
            </w:pPr>
          </w:p>
        </w:tc>
        <w:tc>
          <w:tcPr>
            <w:tcW w:w="760" w:type="dxa"/>
            <w:vAlign w:val="bottom"/>
          </w:tcPr>
          <w:p>
            <w:pPr>
              <w:jc w:val="right"/>
              <w:ind w:right="1"/>
              <w:spacing w:after="0"/>
              <w:rPr>
                <w:sz w:val="20"/>
                <w:szCs w:val="20"/>
                <w:color w:val="auto"/>
              </w:rPr>
            </w:pPr>
            <w:r>
              <w:rPr>
                <w:rFonts w:ascii="Arial" w:cs="Arial" w:eastAsia="Arial" w:hAnsi="Arial"/>
                <w:sz w:val="14"/>
                <w:szCs w:val="14"/>
                <w:i w:val="1"/>
                <w:iCs w:val="1"/>
                <w:color w:val="auto"/>
              </w:rPr>
              <w:t>135</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8"/>
        </w:trPr>
        <w:tc>
          <w:tcPr>
            <w:tcW w:w="2620" w:type="dxa"/>
            <w:vAlign w:val="bottom"/>
          </w:tcPr>
          <w:p>
            <w:pPr>
              <w:ind w:left="20"/>
              <w:spacing w:after="0"/>
              <w:rPr>
                <w:sz w:val="20"/>
                <w:szCs w:val="20"/>
                <w:color w:val="auto"/>
              </w:rPr>
            </w:pPr>
            <w:r>
              <w:rPr>
                <w:rFonts w:ascii="Arial" w:cs="Arial" w:eastAsia="Arial" w:hAnsi="Arial"/>
                <w:sz w:val="16"/>
                <w:szCs w:val="16"/>
                <w:color w:val="auto"/>
                <w:w w:val="92"/>
              </w:rPr>
              <w:t>Proportional interest in proved reserves</w:t>
            </w: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620" w:type="dxa"/>
            <w:vAlign w:val="bottom"/>
          </w:tcPr>
          <w:p>
            <w:pPr>
              <w:ind w:left="100"/>
              <w:spacing w:after="0"/>
              <w:rPr>
                <w:sz w:val="20"/>
                <w:szCs w:val="20"/>
                <w:color w:val="auto"/>
              </w:rPr>
            </w:pPr>
            <w:r>
              <w:rPr>
                <w:rFonts w:ascii="Arial" w:cs="Arial" w:eastAsia="Arial" w:hAnsi="Arial"/>
                <w:sz w:val="16"/>
                <w:szCs w:val="16"/>
                <w:color w:val="auto"/>
              </w:rPr>
              <w:t>of equity companies</w:t>
            </w:r>
          </w:p>
        </w:tc>
        <w:tc>
          <w:tcPr>
            <w:tcW w:w="7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20" w:type="dxa"/>
            <w:vAlign w:val="bottom"/>
          </w:tcPr>
          <w:p>
            <w:pPr>
              <w:ind w:left="20"/>
              <w:spacing w:after="0"/>
              <w:rPr>
                <w:sz w:val="20"/>
                <w:szCs w:val="20"/>
                <w:color w:val="auto"/>
              </w:rPr>
            </w:pPr>
            <w:r>
              <w:rPr>
                <w:rFonts w:ascii="Arial" w:cs="Arial" w:eastAsia="Arial" w:hAnsi="Arial"/>
                <w:sz w:val="16"/>
                <w:szCs w:val="16"/>
                <w:color w:val="auto"/>
              </w:rPr>
              <w:t>January 1, 2020</w:t>
            </w:r>
          </w:p>
        </w:tc>
        <w:tc>
          <w:tcPr>
            <w:tcW w:w="780" w:type="dxa"/>
            <w:vAlign w:val="bottom"/>
          </w:tcPr>
          <w:p>
            <w:pPr>
              <w:jc w:val="right"/>
              <w:ind w:right="80"/>
              <w:spacing w:after="0"/>
              <w:rPr>
                <w:sz w:val="20"/>
                <w:szCs w:val="20"/>
                <w:color w:val="auto"/>
              </w:rPr>
            </w:pPr>
            <w:r>
              <w:rPr>
                <w:rFonts w:ascii="Arial" w:cs="Arial" w:eastAsia="Arial" w:hAnsi="Arial"/>
                <w:sz w:val="16"/>
                <w:szCs w:val="16"/>
                <w:color w:val="auto"/>
              </w:rPr>
              <w:t>251</w:t>
            </w:r>
          </w:p>
        </w:tc>
        <w:tc>
          <w:tcPr>
            <w:tcW w:w="8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14</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6</w:t>
            </w: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897</w:t>
            </w: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1,168</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322</w:t>
            </w:r>
          </w:p>
        </w:tc>
        <w:tc>
          <w:tcPr>
            <w:tcW w:w="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1,490</w:t>
            </w:r>
          </w:p>
        </w:tc>
        <w:tc>
          <w:tcPr>
            <w:tcW w:w="0" w:type="dxa"/>
            <w:vAlign w:val="bottom"/>
          </w:tcPr>
          <w:p>
            <w:pPr>
              <w:spacing w:after="0"/>
              <w:rPr>
                <w:sz w:val="1"/>
                <w:szCs w:val="1"/>
                <w:color w:val="auto"/>
              </w:rPr>
            </w:pPr>
          </w:p>
        </w:tc>
      </w:tr>
      <w:tr>
        <w:trPr>
          <w:trHeight w:val="216"/>
        </w:trPr>
        <w:tc>
          <w:tcPr>
            <w:tcW w:w="2620" w:type="dxa"/>
            <w:vAlign w:val="bottom"/>
          </w:tcPr>
          <w:p>
            <w:pPr>
              <w:ind w:left="140"/>
              <w:spacing w:after="0"/>
              <w:rPr>
                <w:sz w:val="20"/>
                <w:szCs w:val="20"/>
                <w:color w:val="auto"/>
              </w:rPr>
            </w:pPr>
            <w:r>
              <w:rPr>
                <w:rFonts w:ascii="Arial" w:cs="Arial" w:eastAsia="Arial" w:hAnsi="Arial"/>
                <w:sz w:val="16"/>
                <w:szCs w:val="16"/>
                <w:color w:val="auto"/>
              </w:rPr>
              <w:t>Revisions</w:t>
            </w: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(102)</w:t>
            </w:r>
          </w:p>
        </w:tc>
        <w:tc>
          <w:tcPr>
            <w:tcW w:w="8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(4)</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4</w:t>
            </w: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(102)</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(22)</w:t>
            </w:r>
          </w:p>
        </w:tc>
        <w:tc>
          <w:tcPr>
            <w:tcW w:w="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216"/>
        </w:trPr>
        <w:tc>
          <w:tcPr>
            <w:tcW w:w="2620" w:type="dxa"/>
            <w:vAlign w:val="bottom"/>
          </w:tcPr>
          <w:p>
            <w:pPr>
              <w:ind w:left="140"/>
              <w:spacing w:after="0"/>
              <w:rPr>
                <w:sz w:val="20"/>
                <w:szCs w:val="20"/>
                <w:color w:val="auto"/>
              </w:rPr>
            </w:pPr>
            <w:r>
              <w:rPr>
                <w:rFonts w:ascii="Arial" w:cs="Arial" w:eastAsia="Arial" w:hAnsi="Arial"/>
                <w:sz w:val="16"/>
                <w:szCs w:val="16"/>
                <w:color w:val="auto"/>
              </w:rPr>
              <w:t>Improved recovery</w:t>
            </w:r>
          </w:p>
        </w:tc>
        <w:tc>
          <w:tcPr>
            <w:tcW w:w="78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620" w:type="dxa"/>
            <w:vAlign w:val="bottom"/>
          </w:tcPr>
          <w:p>
            <w:pPr>
              <w:ind w:left="140"/>
              <w:spacing w:after="0"/>
              <w:rPr>
                <w:sz w:val="20"/>
                <w:szCs w:val="20"/>
                <w:color w:val="auto"/>
              </w:rPr>
            </w:pPr>
            <w:r>
              <w:rPr>
                <w:rFonts w:ascii="Arial" w:cs="Arial" w:eastAsia="Arial" w:hAnsi="Arial"/>
                <w:sz w:val="16"/>
                <w:szCs w:val="16"/>
                <w:color w:val="auto"/>
              </w:rPr>
              <w:t>Purchases</w:t>
            </w:r>
          </w:p>
        </w:tc>
        <w:tc>
          <w:tcPr>
            <w:tcW w:w="78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620" w:type="dxa"/>
            <w:vAlign w:val="bottom"/>
          </w:tcPr>
          <w:p>
            <w:pPr>
              <w:ind w:left="140"/>
              <w:spacing w:after="0"/>
              <w:rPr>
                <w:sz w:val="20"/>
                <w:szCs w:val="20"/>
                <w:color w:val="auto"/>
              </w:rPr>
            </w:pPr>
            <w:r>
              <w:rPr>
                <w:rFonts w:ascii="Arial" w:cs="Arial" w:eastAsia="Arial" w:hAnsi="Arial"/>
                <w:sz w:val="16"/>
                <w:szCs w:val="16"/>
                <w:color w:val="auto"/>
              </w:rPr>
              <w:t>Sales</w:t>
            </w:r>
          </w:p>
        </w:tc>
        <w:tc>
          <w:tcPr>
            <w:tcW w:w="78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620" w:type="dxa"/>
            <w:vAlign w:val="bottom"/>
          </w:tcPr>
          <w:p>
            <w:pPr>
              <w:ind w:left="140"/>
              <w:spacing w:after="0"/>
              <w:rPr>
                <w:sz w:val="20"/>
                <w:szCs w:val="20"/>
                <w:color w:val="auto"/>
              </w:rPr>
            </w:pPr>
            <w:r>
              <w:rPr>
                <w:rFonts w:ascii="Arial" w:cs="Arial" w:eastAsia="Arial" w:hAnsi="Arial"/>
                <w:sz w:val="16"/>
                <w:szCs w:val="16"/>
                <w:color w:val="auto"/>
              </w:rPr>
              <w:t>Extensions/discoveries</w:t>
            </w:r>
          </w:p>
        </w:tc>
        <w:tc>
          <w:tcPr>
            <w:tcW w:w="78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620" w:type="dxa"/>
            <w:vAlign w:val="bottom"/>
          </w:tcPr>
          <w:p>
            <w:pPr>
              <w:ind w:left="140"/>
              <w:spacing w:after="0"/>
              <w:rPr>
                <w:sz w:val="20"/>
                <w:szCs w:val="20"/>
                <w:color w:val="auto"/>
              </w:rPr>
            </w:pPr>
            <w:r>
              <w:rPr>
                <w:rFonts w:ascii="Arial" w:cs="Arial" w:eastAsia="Arial" w:hAnsi="Arial"/>
                <w:sz w:val="16"/>
                <w:szCs w:val="16"/>
                <w:color w:val="auto"/>
              </w:rPr>
              <w:t>Production</w:t>
            </w:r>
          </w:p>
        </w:tc>
        <w:tc>
          <w:tcPr>
            <w:tcW w:w="7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(18)</w:t>
            </w:r>
          </w:p>
        </w:tc>
        <w:tc>
          <w:tcPr>
            <w:tcW w:w="8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8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w:t>
            </w:r>
          </w:p>
        </w:tc>
        <w:tc>
          <w:tcPr>
            <w:tcW w:w="8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w:t>
            </w:r>
          </w:p>
        </w:tc>
        <w:tc>
          <w:tcPr>
            <w:tcW w:w="8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8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7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w:t>
            </w:r>
          </w:p>
        </w:tc>
        <w:tc>
          <w:tcPr>
            <w:tcW w:w="0" w:type="dxa"/>
            <w:vAlign w:val="bottom"/>
          </w:tcPr>
          <w:p>
            <w:pPr>
              <w:spacing w:after="0"/>
              <w:rPr>
                <w:sz w:val="1"/>
                <w:szCs w:val="1"/>
                <w:color w:val="auto"/>
              </w:rPr>
            </w:pPr>
          </w:p>
        </w:tc>
      </w:tr>
      <w:tr>
        <w:trPr>
          <w:trHeight w:val="209"/>
        </w:trPr>
        <w:tc>
          <w:tcPr>
            <w:tcW w:w="2620" w:type="dxa"/>
            <w:vAlign w:val="bottom"/>
          </w:tcPr>
          <w:p>
            <w:pPr>
              <w:ind w:left="20"/>
              <w:spacing w:after="0"/>
              <w:rPr>
                <w:sz w:val="20"/>
                <w:szCs w:val="20"/>
                <w:color w:val="auto"/>
              </w:rPr>
            </w:pPr>
            <w:r>
              <w:rPr>
                <w:rFonts w:ascii="Arial" w:cs="Arial" w:eastAsia="Arial" w:hAnsi="Arial"/>
                <w:sz w:val="16"/>
                <w:szCs w:val="16"/>
                <w:color w:val="auto"/>
              </w:rPr>
              <w:t>December 31, 2020</w:t>
            </w:r>
          </w:p>
        </w:tc>
        <w:tc>
          <w:tcPr>
            <w:tcW w:w="780" w:type="dxa"/>
            <w:vAlign w:val="bottom"/>
          </w:tcPr>
          <w:p>
            <w:pPr>
              <w:jc w:val="right"/>
              <w:ind w:right="80"/>
              <w:spacing w:after="0"/>
              <w:rPr>
                <w:sz w:val="20"/>
                <w:szCs w:val="20"/>
                <w:color w:val="auto"/>
              </w:rPr>
            </w:pPr>
            <w:r>
              <w:rPr>
                <w:rFonts w:ascii="Arial" w:cs="Arial" w:eastAsia="Arial" w:hAnsi="Arial"/>
                <w:sz w:val="16"/>
                <w:szCs w:val="16"/>
                <w:color w:val="auto"/>
              </w:rPr>
              <w:t>131</w:t>
            </w:r>
          </w:p>
        </w:tc>
        <w:tc>
          <w:tcPr>
            <w:tcW w:w="8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9</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6</w:t>
            </w: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825</w:t>
            </w: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971</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277</w:t>
            </w:r>
          </w:p>
        </w:tc>
        <w:tc>
          <w:tcPr>
            <w:tcW w:w="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1,248</w:t>
            </w:r>
          </w:p>
        </w:tc>
        <w:tc>
          <w:tcPr>
            <w:tcW w:w="0" w:type="dxa"/>
            <w:vAlign w:val="bottom"/>
          </w:tcPr>
          <w:p>
            <w:pPr>
              <w:spacing w:after="0"/>
              <w:rPr>
                <w:sz w:val="1"/>
                <w:szCs w:val="1"/>
                <w:color w:val="auto"/>
              </w:rPr>
            </w:pPr>
          </w:p>
        </w:tc>
      </w:tr>
      <w:tr>
        <w:trPr>
          <w:trHeight w:val="152"/>
        </w:trPr>
        <w:tc>
          <w:tcPr>
            <w:tcW w:w="2620" w:type="dxa"/>
            <w:vAlign w:val="bottom"/>
          </w:tcPr>
          <w:p>
            <w:pPr>
              <w:ind w:left="20"/>
              <w:spacing w:after="0" w:line="152" w:lineRule="exact"/>
              <w:rPr>
                <w:sz w:val="20"/>
                <w:szCs w:val="20"/>
                <w:color w:val="auto"/>
              </w:rPr>
            </w:pPr>
            <w:r>
              <w:rPr>
                <w:rFonts w:ascii="Arial" w:cs="Arial" w:eastAsia="Arial" w:hAnsi="Arial"/>
                <w:sz w:val="16"/>
                <w:szCs w:val="16"/>
                <w:color w:val="auto"/>
              </w:rPr>
              <w:t>Total liquids proved reserves at</w:t>
            </w:r>
          </w:p>
        </w:tc>
        <w:tc>
          <w:tcPr>
            <w:tcW w:w="780" w:type="dxa"/>
            <w:vAlign w:val="bottom"/>
            <w:tcBorders>
              <w:top w:val="single" w:sz="8" w:color="auto"/>
            </w:tcBorders>
            <w:vMerge w:val="restart"/>
          </w:tcPr>
          <w:p>
            <w:pPr>
              <w:jc w:val="right"/>
              <w:ind w:right="80"/>
              <w:spacing w:after="0"/>
              <w:rPr>
                <w:sz w:val="20"/>
                <w:szCs w:val="20"/>
                <w:color w:val="auto"/>
              </w:rPr>
            </w:pPr>
            <w:r>
              <w:rPr>
                <w:rFonts w:ascii="Arial" w:cs="Arial" w:eastAsia="Arial" w:hAnsi="Arial"/>
                <w:sz w:val="16"/>
                <w:szCs w:val="16"/>
                <w:color w:val="auto"/>
              </w:rPr>
              <w:t>2,090</w:t>
            </w:r>
          </w:p>
        </w:tc>
        <w:tc>
          <w:tcPr>
            <w:tcW w:w="840" w:type="dxa"/>
            <w:vAlign w:val="bottom"/>
            <w:tcBorders>
              <w:top w:val="single" w:sz="8" w:color="auto"/>
            </w:tcBorders>
            <w:vMerge w:val="restart"/>
          </w:tcPr>
          <w:p>
            <w:pPr>
              <w:jc w:val="right"/>
              <w:ind w:right="80"/>
              <w:spacing w:after="0"/>
              <w:rPr>
                <w:sz w:val="20"/>
                <w:szCs w:val="20"/>
                <w:color w:val="auto"/>
              </w:rPr>
            </w:pPr>
            <w:r>
              <w:rPr>
                <w:rFonts w:ascii="Arial" w:cs="Arial" w:eastAsia="Arial" w:hAnsi="Arial"/>
                <w:sz w:val="16"/>
                <w:szCs w:val="16"/>
                <w:color w:val="auto"/>
              </w:rPr>
              <w:t>497</w:t>
            </w:r>
          </w:p>
        </w:tc>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31</w:t>
            </w:r>
          </w:p>
        </w:tc>
        <w:tc>
          <w:tcPr>
            <w:tcW w:w="880" w:type="dxa"/>
            <w:vAlign w:val="bottom"/>
            <w:tcBorders>
              <w:top w:val="single" w:sz="8" w:color="auto"/>
            </w:tcBorders>
            <w:vMerge w:val="restart"/>
          </w:tcPr>
          <w:p>
            <w:pPr>
              <w:jc w:val="right"/>
              <w:ind w:right="120"/>
              <w:spacing w:after="0"/>
              <w:rPr>
                <w:sz w:val="20"/>
                <w:szCs w:val="20"/>
                <w:color w:val="auto"/>
              </w:rPr>
            </w:pPr>
            <w:r>
              <w:rPr>
                <w:rFonts w:ascii="Arial" w:cs="Arial" w:eastAsia="Arial" w:hAnsi="Arial"/>
                <w:sz w:val="16"/>
                <w:szCs w:val="16"/>
                <w:color w:val="auto"/>
              </w:rPr>
              <w:t>362</w:t>
            </w:r>
          </w:p>
        </w:tc>
        <w:tc>
          <w:tcPr>
            <w:tcW w:w="660" w:type="dxa"/>
            <w:vAlign w:val="bottom"/>
            <w:tcBorders>
              <w:top w:val="single" w:sz="8" w:color="auto"/>
            </w:tcBorders>
            <w:vMerge w:val="restart"/>
          </w:tcPr>
          <w:p>
            <w:pPr>
              <w:jc w:val="right"/>
              <w:ind w:right="20"/>
              <w:spacing w:after="0"/>
              <w:rPr>
                <w:sz w:val="20"/>
                <w:szCs w:val="20"/>
                <w:color w:val="auto"/>
              </w:rPr>
            </w:pPr>
            <w:r>
              <w:rPr>
                <w:rFonts w:ascii="Arial" w:cs="Arial" w:eastAsia="Arial" w:hAnsi="Arial"/>
                <w:sz w:val="16"/>
                <w:szCs w:val="16"/>
                <w:color w:val="auto"/>
              </w:rPr>
              <w:t>3,975</w:t>
            </w:r>
          </w:p>
        </w:tc>
        <w:tc>
          <w:tcPr>
            <w:tcW w:w="820" w:type="dxa"/>
            <w:vAlign w:val="bottom"/>
            <w:tcBorders>
              <w:top w:val="single" w:sz="8" w:color="auto"/>
            </w:tcBorders>
            <w:vMerge w:val="restart"/>
          </w:tcPr>
          <w:p>
            <w:pPr>
              <w:jc w:val="right"/>
              <w:ind w:right="60"/>
              <w:spacing w:after="0"/>
              <w:rPr>
                <w:sz w:val="20"/>
                <w:szCs w:val="20"/>
                <w:color w:val="auto"/>
              </w:rPr>
            </w:pPr>
            <w:r>
              <w:rPr>
                <w:rFonts w:ascii="Arial" w:cs="Arial" w:eastAsia="Arial" w:hAnsi="Arial"/>
                <w:sz w:val="16"/>
                <w:szCs w:val="16"/>
                <w:color w:val="auto"/>
              </w:rPr>
              <w:t>74</w:t>
            </w:r>
          </w:p>
        </w:tc>
        <w:tc>
          <w:tcPr>
            <w:tcW w:w="6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7,029</w:t>
            </w:r>
          </w:p>
        </w:tc>
        <w:tc>
          <w:tcPr>
            <w:tcW w:w="80" w:type="dxa"/>
            <w:vAlign w:val="bottom"/>
          </w:tcPr>
          <w:p>
            <w:pPr>
              <w:spacing w:after="0"/>
              <w:rPr>
                <w:sz w:val="13"/>
                <w:szCs w:val="13"/>
                <w:color w:val="auto"/>
              </w:rPr>
            </w:pP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1,331</w:t>
            </w:r>
          </w:p>
        </w:tc>
        <w:tc>
          <w:tcPr>
            <w:tcW w:w="80" w:type="dxa"/>
            <w:vAlign w:val="bottom"/>
          </w:tcPr>
          <w:p>
            <w:pPr>
              <w:spacing w:after="0"/>
              <w:rPr>
                <w:sz w:val="13"/>
                <w:szCs w:val="13"/>
                <w:color w:val="auto"/>
              </w:rPr>
            </w:pPr>
          </w:p>
        </w:tc>
        <w:tc>
          <w:tcPr>
            <w:tcW w:w="7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81</w:t>
            </w:r>
          </w:p>
        </w:tc>
        <w:tc>
          <w:tcPr>
            <w:tcW w:w="80" w:type="dxa"/>
            <w:vAlign w:val="bottom"/>
          </w:tcPr>
          <w:p>
            <w:pPr>
              <w:spacing w:after="0"/>
              <w:rPr>
                <w:sz w:val="13"/>
                <w:szCs w:val="13"/>
                <w:color w:val="auto"/>
              </w:rPr>
            </w:pPr>
          </w:p>
        </w:tc>
        <w:tc>
          <w:tcPr>
            <w:tcW w:w="760" w:type="dxa"/>
            <w:vAlign w:val="bottom"/>
            <w:tcBorders>
              <w:top w:val="single" w:sz="8" w:color="auto"/>
            </w:tcBorders>
            <w:vMerge w:val="restart"/>
          </w:tcPr>
          <w:p>
            <w:pPr>
              <w:jc w:val="right"/>
              <w:ind w:right="1"/>
              <w:spacing w:after="0"/>
              <w:rPr>
                <w:sz w:val="20"/>
                <w:szCs w:val="20"/>
                <w:color w:val="auto"/>
              </w:rPr>
            </w:pPr>
            <w:r>
              <w:rPr>
                <w:rFonts w:ascii="Arial" w:cs="Arial" w:eastAsia="Arial" w:hAnsi="Arial"/>
                <w:sz w:val="16"/>
                <w:szCs w:val="16"/>
                <w:color w:val="auto"/>
              </w:rPr>
              <w:t>444</w:t>
            </w:r>
          </w:p>
        </w:tc>
        <w:tc>
          <w:tcPr>
            <w:tcW w:w="80" w:type="dxa"/>
            <w:vAlign w:val="bottom"/>
          </w:tcPr>
          <w:p>
            <w:pPr>
              <w:spacing w:after="0"/>
              <w:rPr>
                <w:sz w:val="13"/>
                <w:szCs w:val="13"/>
                <w:color w:val="auto"/>
              </w:rPr>
            </w:pPr>
          </w:p>
        </w:tc>
        <w:tc>
          <w:tcPr>
            <w:tcW w:w="6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8,885</w:t>
            </w:r>
          </w:p>
        </w:tc>
        <w:tc>
          <w:tcPr>
            <w:tcW w:w="0" w:type="dxa"/>
            <w:vAlign w:val="bottom"/>
          </w:tcPr>
          <w:p>
            <w:pPr>
              <w:spacing w:after="0"/>
              <w:rPr>
                <w:sz w:val="1"/>
                <w:szCs w:val="1"/>
                <w:color w:val="auto"/>
              </w:rPr>
            </w:pPr>
          </w:p>
        </w:tc>
      </w:tr>
      <w:tr>
        <w:trPr>
          <w:trHeight w:val="214"/>
        </w:trPr>
        <w:tc>
          <w:tcPr>
            <w:tcW w:w="2620" w:type="dxa"/>
            <w:vAlign w:val="bottom"/>
          </w:tcPr>
          <w:p>
            <w:pPr>
              <w:ind w:left="100"/>
              <w:spacing w:after="0"/>
              <w:rPr>
                <w:sz w:val="20"/>
                <w:szCs w:val="20"/>
                <w:color w:val="auto"/>
              </w:rPr>
            </w:pPr>
            <w:r>
              <w:rPr>
                <w:rFonts w:ascii="Arial" w:cs="Arial" w:eastAsia="Arial" w:hAnsi="Arial"/>
                <w:sz w:val="16"/>
                <w:szCs w:val="16"/>
                <w:color w:val="auto"/>
              </w:rPr>
              <w:t>December 31, 2020</w:t>
            </w:r>
          </w:p>
        </w:tc>
        <w:tc>
          <w:tcPr>
            <w:tcW w:w="780" w:type="dxa"/>
            <w:vAlign w:val="bottom"/>
            <w:tcBorders>
              <w:bottom w:val="single" w:sz="8" w:color="auto"/>
            </w:tcBorders>
            <w:vMerge w:val="continue"/>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6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117" w:name="page118"/>
    <w:bookmarkEnd w:id="117"/>
    <w:p>
      <w:pPr>
        <w:ind w:left="20"/>
        <w:spacing w:after="0"/>
        <w:rPr>
          <w:sz w:val="20"/>
          <w:szCs w:val="20"/>
          <w:color w:val="auto"/>
        </w:rPr>
      </w:pPr>
      <w:r>
        <w:rPr>
          <w:rFonts w:ascii="Arial" w:cs="Arial" w:eastAsia="Arial" w:hAnsi="Arial"/>
          <w:sz w:val="16"/>
          <w:szCs w:val="16"/>
          <w:b w:val="1"/>
          <w:bCs w:val="1"/>
          <w:color w:val="auto"/>
        </w:rPr>
        <w:t>Crude Oil, Natural Gas Liquids, Bitumen and Synthetic Oil Proved Reserves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vMerge w:val="restart"/>
          </w:tcPr>
          <w:p>
            <w:pPr>
              <w:jc w:val="right"/>
              <w:ind w:right="140"/>
              <w:spacing w:after="0"/>
              <w:rPr>
                <w:sz w:val="20"/>
                <w:szCs w:val="20"/>
                <w:color w:val="auto"/>
              </w:rPr>
            </w:pPr>
            <w:r>
              <w:rPr>
                <w:rFonts w:ascii="Arial" w:cs="Arial" w:eastAsia="Arial" w:hAnsi="Arial"/>
                <w:sz w:val="14"/>
                <w:szCs w:val="14"/>
                <w:color w:val="auto"/>
                <w:w w:val="98"/>
              </w:rPr>
              <w:t>Crude Oil</w:t>
            </w: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4"/>
                <w:szCs w:val="14"/>
                <w:color w:val="auto"/>
                <w:w w:val="90"/>
              </w:rPr>
              <w:t>Natural Gas</w:t>
            </w:r>
          </w:p>
        </w:tc>
        <w:tc>
          <w:tcPr>
            <w:tcW w:w="760" w:type="dxa"/>
            <w:vAlign w:val="bottom"/>
            <w:vMerge w:val="restart"/>
          </w:tcPr>
          <w:p>
            <w:pPr>
              <w:jc w:val="center"/>
              <w:spacing w:after="0"/>
              <w:rPr>
                <w:sz w:val="20"/>
                <w:szCs w:val="20"/>
                <w:color w:val="auto"/>
              </w:rPr>
            </w:pPr>
            <w:r>
              <w:rPr>
                <w:rFonts w:ascii="Arial" w:cs="Arial" w:eastAsia="Arial" w:hAnsi="Arial"/>
                <w:sz w:val="14"/>
                <w:szCs w:val="14"/>
                <w:color w:val="auto"/>
                <w:w w:val="97"/>
              </w:rPr>
              <w:t>Bitumen</w:t>
            </w:r>
          </w:p>
        </w:tc>
        <w:tc>
          <w:tcPr>
            <w:tcW w:w="80" w:type="dxa"/>
            <w:vAlign w:val="bottom"/>
            <w:vMerge w:val="restart"/>
          </w:tcPr>
          <w:p>
            <w:pPr>
              <w:spacing w:after="0"/>
              <w:rPr>
                <w:sz w:val="14"/>
                <w:szCs w:val="14"/>
                <w:color w:val="auto"/>
              </w:rPr>
            </w:pPr>
          </w:p>
        </w:tc>
        <w:tc>
          <w:tcPr>
            <w:tcW w:w="840" w:type="dxa"/>
            <w:vAlign w:val="bottom"/>
            <w:gridSpan w:val="2"/>
          </w:tcPr>
          <w:p>
            <w:pPr>
              <w:jc w:val="center"/>
              <w:ind w:right="60"/>
              <w:spacing w:after="0"/>
              <w:rPr>
                <w:sz w:val="20"/>
                <w:szCs w:val="20"/>
                <w:color w:val="auto"/>
              </w:rPr>
            </w:pPr>
            <w:r>
              <w:rPr>
                <w:rFonts w:ascii="Arial" w:cs="Arial" w:eastAsia="Arial" w:hAnsi="Arial"/>
                <w:sz w:val="14"/>
                <w:szCs w:val="14"/>
                <w:color w:val="auto"/>
                <w:w w:val="93"/>
              </w:rPr>
              <w:t>Synthetic</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66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Liquids</w:t>
            </w:r>
          </w:p>
        </w:tc>
        <w:tc>
          <w:tcPr>
            <w:tcW w:w="80" w:type="dxa"/>
            <w:vAlign w:val="bottom"/>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Oil</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660" w:type="dxa"/>
            <w:vAlign w:val="bottom"/>
          </w:tcPr>
          <w:p>
            <w:pPr>
              <w:spacing w:after="0"/>
              <w:rPr>
                <w:sz w:val="12"/>
                <w:szCs w:val="12"/>
                <w:color w:val="auto"/>
              </w:rPr>
            </w:pPr>
          </w:p>
        </w:tc>
        <w:tc>
          <w:tcPr>
            <w:tcW w:w="740" w:type="dxa"/>
            <w:vAlign w:val="bottom"/>
            <w:vMerge w:val="restart"/>
          </w:tcPr>
          <w:p>
            <w:pPr>
              <w:jc w:val="right"/>
              <w:ind w:right="140"/>
              <w:spacing w:after="0"/>
              <w:rPr>
                <w:sz w:val="20"/>
                <w:szCs w:val="20"/>
                <w:color w:val="auto"/>
              </w:rPr>
            </w:pPr>
            <w:r>
              <w:rPr>
                <w:rFonts w:ascii="Arial" w:cs="Arial" w:eastAsia="Arial" w:hAnsi="Arial"/>
                <w:sz w:val="14"/>
                <w:szCs w:val="14"/>
                <w:color w:val="auto"/>
              </w:rPr>
              <w:t>United</w:t>
            </w:r>
          </w:p>
        </w:tc>
        <w:tc>
          <w:tcPr>
            <w:tcW w:w="840" w:type="dxa"/>
            <w:vAlign w:val="bottom"/>
          </w:tcPr>
          <w:p>
            <w:pPr>
              <w:jc w:val="center"/>
              <w:ind w:right="1"/>
              <w:spacing w:after="0" w:line="145" w:lineRule="exact"/>
              <w:rPr>
                <w:sz w:val="20"/>
                <w:szCs w:val="20"/>
                <w:color w:val="auto"/>
              </w:rPr>
            </w:pPr>
            <w:r>
              <w:rPr>
                <w:rFonts w:ascii="Arial" w:cs="Arial" w:eastAsia="Arial" w:hAnsi="Arial"/>
                <w:sz w:val="14"/>
                <w:szCs w:val="14"/>
                <w:color w:val="auto"/>
                <w:w w:val="90"/>
              </w:rPr>
              <w:t>Canada/</w:t>
            </w:r>
          </w:p>
        </w:tc>
        <w:tc>
          <w:tcPr>
            <w:tcW w:w="6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vMerge w:val="restart"/>
          </w:tcPr>
          <w:p>
            <w:pPr>
              <w:jc w:val="center"/>
              <w:ind w:right="20"/>
              <w:spacing w:after="0"/>
              <w:rPr>
                <w:sz w:val="20"/>
                <w:szCs w:val="20"/>
                <w:color w:val="auto"/>
              </w:rPr>
            </w:pPr>
            <w:r>
              <w:rPr>
                <w:rFonts w:ascii="Arial" w:cs="Arial" w:eastAsia="Arial" w:hAnsi="Arial"/>
                <w:sz w:val="14"/>
                <w:szCs w:val="14"/>
                <w:color w:val="auto"/>
                <w:w w:val="95"/>
              </w:rPr>
              <w:t>Australia/</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60"/>
              <w:spacing w:after="0" w:line="145" w:lineRule="exact"/>
              <w:rPr>
                <w:sz w:val="20"/>
                <w:szCs w:val="20"/>
                <w:color w:val="auto"/>
              </w:rPr>
            </w:pPr>
            <w:r>
              <w:rPr>
                <w:rFonts w:ascii="Arial" w:cs="Arial" w:eastAsia="Arial" w:hAnsi="Arial"/>
                <w:sz w:val="14"/>
                <w:szCs w:val="14"/>
                <w:color w:val="auto"/>
                <w:w w:val="86"/>
              </w:rPr>
              <w:t>Canada/</w:t>
            </w:r>
          </w:p>
        </w:tc>
        <w:tc>
          <w:tcPr>
            <w:tcW w:w="840" w:type="dxa"/>
            <w:vAlign w:val="bottom"/>
            <w:gridSpan w:val="2"/>
          </w:tcPr>
          <w:p>
            <w:pPr>
              <w:jc w:val="center"/>
              <w:ind w:right="80"/>
              <w:spacing w:after="0" w:line="145" w:lineRule="exact"/>
              <w:rPr>
                <w:sz w:val="20"/>
                <w:szCs w:val="20"/>
                <w:color w:val="auto"/>
              </w:rPr>
            </w:pPr>
            <w:r>
              <w:rPr>
                <w:rFonts w:ascii="Arial" w:cs="Arial" w:eastAsia="Arial" w:hAnsi="Arial"/>
                <w:sz w:val="14"/>
                <w:szCs w:val="14"/>
                <w:color w:val="auto"/>
                <w:w w:val="90"/>
              </w:rPr>
              <w:t>Canada/</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840" w:type="dxa"/>
            <w:vAlign w:val="bottom"/>
          </w:tcPr>
          <w:p>
            <w:pPr>
              <w:jc w:val="center"/>
              <w:ind w:right="1"/>
              <w:spacing w:after="0" w:line="135" w:lineRule="exact"/>
              <w:rPr>
                <w:sz w:val="20"/>
                <w:szCs w:val="20"/>
                <w:color w:val="auto"/>
              </w:rPr>
            </w:pPr>
            <w:r>
              <w:rPr>
                <w:rFonts w:ascii="Arial" w:cs="Arial" w:eastAsia="Arial" w:hAnsi="Arial"/>
                <w:sz w:val="14"/>
                <w:szCs w:val="14"/>
                <w:color w:val="auto"/>
                <w:w w:val="91"/>
              </w:rPr>
              <w:t>Other</w:t>
            </w:r>
          </w:p>
        </w:tc>
        <w:tc>
          <w:tcPr>
            <w:tcW w:w="660" w:type="dxa"/>
            <w:vAlign w:val="bottom"/>
            <w:vMerge w:val="restart"/>
          </w:tcPr>
          <w:p>
            <w:pPr>
              <w:jc w:val="right"/>
              <w:ind w:right="40"/>
              <w:spacing w:after="0"/>
              <w:rPr>
                <w:sz w:val="20"/>
                <w:szCs w:val="20"/>
                <w:color w:val="auto"/>
              </w:rPr>
            </w:pPr>
            <w:r>
              <w:rPr>
                <w:rFonts w:ascii="Arial" w:cs="Arial" w:eastAsia="Arial" w:hAnsi="Arial"/>
                <w:sz w:val="14"/>
                <w:szCs w:val="14"/>
                <w:color w:val="auto"/>
              </w:rPr>
              <w:t>Europe</w:t>
            </w:r>
          </w:p>
        </w:tc>
        <w:tc>
          <w:tcPr>
            <w:tcW w:w="820" w:type="dxa"/>
            <w:vAlign w:val="bottom"/>
            <w:vMerge w:val="restart"/>
          </w:tcPr>
          <w:p>
            <w:pPr>
              <w:jc w:val="right"/>
              <w:ind w:right="160"/>
              <w:spacing w:after="0"/>
              <w:rPr>
                <w:sz w:val="20"/>
                <w:szCs w:val="20"/>
                <w:color w:val="auto"/>
              </w:rPr>
            </w:pPr>
            <w:r>
              <w:rPr>
                <w:rFonts w:ascii="Arial" w:cs="Arial" w:eastAsia="Arial" w:hAnsi="Arial"/>
                <w:sz w:val="14"/>
                <w:szCs w:val="14"/>
                <w:color w:val="auto"/>
              </w:rPr>
              <w:t>Africa</w:t>
            </w:r>
          </w:p>
        </w:tc>
        <w:tc>
          <w:tcPr>
            <w:tcW w:w="600" w:type="dxa"/>
            <w:vAlign w:val="bottom"/>
            <w:vMerge w:val="restart"/>
          </w:tcPr>
          <w:p>
            <w:pPr>
              <w:jc w:val="right"/>
              <w:ind w:right="120"/>
              <w:spacing w:after="0"/>
              <w:rPr>
                <w:sz w:val="20"/>
                <w:szCs w:val="20"/>
                <w:color w:val="auto"/>
              </w:rPr>
            </w:pPr>
            <w:r>
              <w:rPr>
                <w:rFonts w:ascii="Arial" w:cs="Arial" w:eastAsia="Arial" w:hAnsi="Arial"/>
                <w:sz w:val="14"/>
                <w:szCs w:val="14"/>
                <w:color w:val="auto"/>
              </w:rPr>
              <w:t>Asia</w:t>
            </w:r>
          </w:p>
        </w:tc>
        <w:tc>
          <w:tcPr>
            <w:tcW w:w="860" w:type="dxa"/>
            <w:vAlign w:val="bottom"/>
            <w:vMerge w:val="continue"/>
          </w:tcPr>
          <w:p>
            <w:pPr>
              <w:spacing w:after="0"/>
              <w:rPr>
                <w:sz w:val="11"/>
                <w:szCs w:val="11"/>
                <w:color w:val="auto"/>
              </w:rPr>
            </w:pPr>
          </w:p>
        </w:tc>
        <w:tc>
          <w:tcPr>
            <w:tcW w:w="660" w:type="dxa"/>
            <w:vAlign w:val="bottom"/>
            <w:gridSpan w:val="2"/>
            <w:vMerge w:val="restart"/>
          </w:tcPr>
          <w:p>
            <w:pPr>
              <w:ind w:left="100"/>
              <w:spacing w:after="0"/>
              <w:rPr>
                <w:sz w:val="20"/>
                <w:szCs w:val="20"/>
                <w:color w:val="auto"/>
              </w:rPr>
            </w:pPr>
            <w:r>
              <w:rPr>
                <w:rFonts w:ascii="Arial" w:cs="Arial" w:eastAsia="Arial" w:hAnsi="Arial"/>
                <w:sz w:val="14"/>
                <w:szCs w:val="14"/>
                <w:color w:val="auto"/>
              </w:rPr>
              <w:t>Total</w:t>
            </w:r>
          </w:p>
        </w:tc>
        <w:tc>
          <w:tcPr>
            <w:tcW w:w="960" w:type="dxa"/>
            <w:vAlign w:val="bottom"/>
            <w:gridSpan w:val="2"/>
            <w:vMerge w:val="restart"/>
          </w:tcPr>
          <w:p>
            <w:pPr>
              <w:jc w:val="center"/>
              <w:ind w:right="80"/>
              <w:spacing w:after="0"/>
              <w:rPr>
                <w:sz w:val="20"/>
                <w:szCs w:val="20"/>
                <w:color w:val="auto"/>
              </w:rPr>
            </w:pPr>
            <w:r>
              <w:rPr>
                <w:rFonts w:ascii="Arial" w:cs="Arial" w:eastAsia="Arial" w:hAnsi="Arial"/>
                <w:sz w:val="14"/>
                <w:szCs w:val="14"/>
                <w:color w:val="auto"/>
                <w:w w:val="97"/>
              </w:rPr>
              <w:t>Worldwide</w:t>
            </w:r>
          </w:p>
        </w:tc>
        <w:tc>
          <w:tcPr>
            <w:tcW w:w="840" w:type="dxa"/>
            <w:vAlign w:val="bottom"/>
            <w:gridSpan w:val="2"/>
          </w:tcPr>
          <w:p>
            <w:pPr>
              <w:jc w:val="center"/>
              <w:ind w:right="60"/>
              <w:spacing w:after="0" w:line="135" w:lineRule="exact"/>
              <w:rPr>
                <w:sz w:val="20"/>
                <w:szCs w:val="20"/>
                <w:color w:val="auto"/>
              </w:rPr>
            </w:pPr>
            <w:r>
              <w:rPr>
                <w:rFonts w:ascii="Arial" w:cs="Arial" w:eastAsia="Arial" w:hAnsi="Arial"/>
                <w:sz w:val="14"/>
                <w:szCs w:val="14"/>
                <w:color w:val="auto"/>
                <w:w w:val="96"/>
              </w:rPr>
              <w:t>Other</w:t>
            </w:r>
          </w:p>
        </w:tc>
        <w:tc>
          <w:tcPr>
            <w:tcW w:w="840" w:type="dxa"/>
            <w:vAlign w:val="bottom"/>
            <w:gridSpan w:val="2"/>
          </w:tcPr>
          <w:p>
            <w:pPr>
              <w:jc w:val="center"/>
              <w:ind w:right="80"/>
              <w:spacing w:after="0" w:line="135" w:lineRule="exact"/>
              <w:rPr>
                <w:sz w:val="20"/>
                <w:szCs w:val="20"/>
                <w:color w:val="auto"/>
              </w:rPr>
            </w:pPr>
            <w:r>
              <w:rPr>
                <w:rFonts w:ascii="Arial" w:cs="Arial" w:eastAsia="Arial" w:hAnsi="Arial"/>
                <w:sz w:val="14"/>
                <w:szCs w:val="14"/>
                <w:color w:val="auto"/>
                <w:w w:val="91"/>
              </w:rPr>
              <w:t>Other</w:t>
            </w:r>
          </w:p>
        </w:tc>
        <w:tc>
          <w:tcPr>
            <w:tcW w:w="760" w:type="dxa"/>
            <w:vAlign w:val="bottom"/>
            <w:vMerge w:val="restart"/>
          </w:tcPr>
          <w:p>
            <w:pPr>
              <w:jc w:val="right"/>
              <w:ind w:right="16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86"/>
        </w:trPr>
        <w:tc>
          <w:tcPr>
            <w:tcW w:w="26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color w:val="auto"/>
              </w:rPr>
              <w:t>States</w:t>
            </w:r>
          </w:p>
        </w:tc>
        <w:tc>
          <w:tcPr>
            <w:tcW w:w="840" w:type="dxa"/>
            <w:vAlign w:val="bottom"/>
            <w:tcBorders>
              <w:bottom w:val="single" w:sz="8" w:color="auto"/>
            </w:tcBorders>
          </w:tcPr>
          <w:p>
            <w:pPr>
              <w:jc w:val="center"/>
              <w:ind w:right="1"/>
              <w:spacing w:after="0"/>
              <w:rPr>
                <w:sz w:val="20"/>
                <w:szCs w:val="20"/>
                <w:color w:val="auto"/>
              </w:rPr>
            </w:pPr>
            <w:r>
              <w:rPr>
                <w:rFonts w:ascii="Arial" w:cs="Arial" w:eastAsia="Arial" w:hAnsi="Arial"/>
                <w:sz w:val="14"/>
                <w:szCs w:val="14"/>
                <w:color w:val="auto"/>
                <w:w w:val="95"/>
              </w:rPr>
              <w:t>Americas</w:t>
            </w:r>
          </w:p>
        </w:tc>
        <w:tc>
          <w:tcPr>
            <w:tcW w:w="66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color w:val="auto"/>
                <w:w w:val="91"/>
              </w:rPr>
              <w:t>Oceania</w:t>
            </w:r>
          </w:p>
        </w:tc>
        <w:tc>
          <w:tcPr>
            <w:tcW w:w="660" w:type="dxa"/>
            <w:vAlign w:val="bottom"/>
            <w:tcBorders>
              <w:bottom w:val="single" w:sz="8" w:color="auto"/>
            </w:tcBorders>
            <w:gridSpan w:val="2"/>
            <w:vMerge w:val="continue"/>
          </w:tcPr>
          <w:p>
            <w:pPr>
              <w:spacing w:after="0"/>
              <w:rPr>
                <w:sz w:val="16"/>
                <w:szCs w:val="16"/>
                <w:color w:val="auto"/>
              </w:rPr>
            </w:pPr>
          </w:p>
        </w:tc>
        <w:tc>
          <w:tcPr>
            <w:tcW w:w="960" w:type="dxa"/>
            <w:vAlign w:val="bottom"/>
            <w:tcBorders>
              <w:bottom w:val="single" w:sz="8" w:color="auto"/>
            </w:tcBorders>
            <w:gridSpan w:val="2"/>
            <w:vMerge w:val="continue"/>
          </w:tcPr>
          <w:p>
            <w:pPr>
              <w:spacing w:after="0"/>
              <w:rPr>
                <w:sz w:val="16"/>
                <w:szCs w:val="16"/>
                <w:color w:val="auto"/>
              </w:rPr>
            </w:pPr>
          </w:p>
        </w:tc>
        <w:tc>
          <w:tcPr>
            <w:tcW w:w="84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4"/>
                <w:szCs w:val="14"/>
                <w:color w:val="auto"/>
                <w:w w:val="92"/>
              </w:rPr>
              <w:t>Americas</w:t>
            </w:r>
          </w:p>
        </w:tc>
        <w:tc>
          <w:tcPr>
            <w:tcW w:w="84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color w:val="auto"/>
                <w:w w:val="95"/>
              </w:rPr>
              <w:t>Americas</w:t>
            </w:r>
          </w:p>
        </w:tc>
        <w:tc>
          <w:tcPr>
            <w:tcW w:w="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520" w:type="dxa"/>
            <w:vAlign w:val="bottom"/>
            <w:gridSpan w:val="3"/>
          </w:tcPr>
          <w:p>
            <w:pPr>
              <w:jc w:val="center"/>
              <w:ind w:right="260"/>
              <w:spacing w:after="0"/>
              <w:rPr>
                <w:sz w:val="20"/>
                <w:szCs w:val="20"/>
                <w:color w:val="auto"/>
              </w:rPr>
            </w:pPr>
            <w:r>
              <w:rPr>
                <w:rFonts w:ascii="Arial" w:cs="Arial" w:eastAsia="Arial" w:hAnsi="Arial"/>
                <w:sz w:val="14"/>
                <w:szCs w:val="14"/>
                <w:i w:val="1"/>
                <w:iCs w:val="1"/>
                <w:color w:val="auto"/>
                <w:w w:val="96"/>
              </w:rPr>
              <w:t>(millions of barrels)</w:t>
            </w: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660" w:type="dxa"/>
            <w:vAlign w:val="bottom"/>
          </w:tcPr>
          <w:p>
            <w:pPr>
              <w:ind w:left="20"/>
              <w:spacing w:after="0"/>
              <w:rPr>
                <w:sz w:val="20"/>
                <w:szCs w:val="20"/>
                <w:color w:val="auto"/>
              </w:rPr>
            </w:pPr>
            <w:r>
              <w:rPr>
                <w:rFonts w:ascii="Arial" w:cs="Arial" w:eastAsia="Arial" w:hAnsi="Arial"/>
                <w:sz w:val="16"/>
                <w:szCs w:val="16"/>
                <w:color w:val="auto"/>
                <w:w w:val="92"/>
              </w:rPr>
              <w:t>Net proved developed and undeveloped</w:t>
            </w: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660" w:type="dxa"/>
            <w:vAlign w:val="bottom"/>
          </w:tcPr>
          <w:p>
            <w:pPr>
              <w:ind w:left="100"/>
              <w:spacing w:after="0"/>
              <w:rPr>
                <w:sz w:val="20"/>
                <w:szCs w:val="20"/>
                <w:color w:val="auto"/>
              </w:rPr>
            </w:pPr>
            <w:r>
              <w:rPr>
                <w:rFonts w:ascii="Arial" w:cs="Arial" w:eastAsia="Arial" w:hAnsi="Arial"/>
                <w:sz w:val="16"/>
                <w:szCs w:val="16"/>
                <w:color w:val="auto"/>
                <w:w w:val="96"/>
              </w:rPr>
              <w:t>reserves of consolidated subsidiaries</w:t>
            </w:r>
          </w:p>
        </w:tc>
        <w:tc>
          <w:tcPr>
            <w:tcW w:w="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60" w:type="dxa"/>
            <w:vAlign w:val="bottom"/>
          </w:tcPr>
          <w:p>
            <w:pPr>
              <w:ind w:left="20"/>
              <w:spacing w:after="0"/>
              <w:rPr>
                <w:sz w:val="20"/>
                <w:szCs w:val="20"/>
                <w:color w:val="auto"/>
              </w:rPr>
            </w:pPr>
            <w:r>
              <w:rPr>
                <w:rFonts w:ascii="Arial" w:cs="Arial" w:eastAsia="Arial" w:hAnsi="Arial"/>
                <w:sz w:val="16"/>
                <w:szCs w:val="16"/>
                <w:color w:val="auto"/>
              </w:rPr>
              <w:t>January 1, 2021</w:t>
            </w:r>
          </w:p>
        </w:tc>
        <w:tc>
          <w:tcPr>
            <w:tcW w:w="740" w:type="dxa"/>
            <w:vAlign w:val="bottom"/>
          </w:tcPr>
          <w:p>
            <w:pPr>
              <w:jc w:val="right"/>
              <w:ind w:right="80"/>
              <w:spacing w:after="0"/>
              <w:rPr>
                <w:sz w:val="20"/>
                <w:szCs w:val="20"/>
                <w:color w:val="auto"/>
              </w:rPr>
            </w:pPr>
            <w:r>
              <w:rPr>
                <w:rFonts w:ascii="Arial" w:cs="Arial" w:eastAsia="Arial" w:hAnsi="Arial"/>
                <w:sz w:val="16"/>
                <w:szCs w:val="16"/>
                <w:color w:val="auto"/>
              </w:rPr>
              <w:t>1,959</w:t>
            </w:r>
          </w:p>
        </w:tc>
        <w:tc>
          <w:tcPr>
            <w:tcW w:w="840" w:type="dxa"/>
            <w:vAlign w:val="bottom"/>
          </w:tcPr>
          <w:p>
            <w:pPr>
              <w:jc w:val="right"/>
              <w:ind w:right="81"/>
              <w:spacing w:after="0"/>
              <w:rPr>
                <w:sz w:val="20"/>
                <w:szCs w:val="20"/>
                <w:color w:val="auto"/>
              </w:rPr>
            </w:pPr>
            <w:r>
              <w:rPr>
                <w:rFonts w:ascii="Arial" w:cs="Arial" w:eastAsia="Arial" w:hAnsi="Arial"/>
                <w:sz w:val="16"/>
                <w:szCs w:val="16"/>
                <w:color w:val="auto"/>
              </w:rPr>
              <w:t>497</w:t>
            </w:r>
          </w:p>
        </w:tc>
        <w:tc>
          <w:tcPr>
            <w:tcW w:w="660" w:type="dxa"/>
            <w:vAlign w:val="bottom"/>
          </w:tcPr>
          <w:p>
            <w:pPr>
              <w:jc w:val="right"/>
              <w:spacing w:after="0"/>
              <w:rPr>
                <w:sz w:val="20"/>
                <w:szCs w:val="20"/>
                <w:color w:val="auto"/>
              </w:rPr>
            </w:pPr>
            <w:r>
              <w:rPr>
                <w:rFonts w:ascii="Arial" w:cs="Arial" w:eastAsia="Arial" w:hAnsi="Arial"/>
                <w:sz w:val="16"/>
                <w:szCs w:val="16"/>
                <w:color w:val="auto"/>
              </w:rPr>
              <w:t>22</w:t>
            </w:r>
          </w:p>
        </w:tc>
        <w:tc>
          <w:tcPr>
            <w:tcW w:w="820" w:type="dxa"/>
            <w:vAlign w:val="bottom"/>
          </w:tcPr>
          <w:p>
            <w:pPr>
              <w:jc w:val="right"/>
              <w:ind w:right="100"/>
              <w:spacing w:after="0"/>
              <w:rPr>
                <w:sz w:val="20"/>
                <w:szCs w:val="20"/>
                <w:color w:val="auto"/>
              </w:rPr>
            </w:pPr>
            <w:r>
              <w:rPr>
                <w:rFonts w:ascii="Arial" w:cs="Arial" w:eastAsia="Arial" w:hAnsi="Arial"/>
                <w:sz w:val="16"/>
                <w:szCs w:val="16"/>
                <w:color w:val="auto"/>
              </w:rPr>
              <w:t>356</w:t>
            </w:r>
          </w:p>
        </w:tc>
        <w:tc>
          <w:tcPr>
            <w:tcW w:w="600" w:type="dxa"/>
            <w:vAlign w:val="bottom"/>
          </w:tcPr>
          <w:p>
            <w:pPr>
              <w:jc w:val="right"/>
              <w:spacing w:after="0"/>
              <w:rPr>
                <w:sz w:val="20"/>
                <w:szCs w:val="20"/>
                <w:color w:val="auto"/>
              </w:rPr>
            </w:pPr>
            <w:r>
              <w:rPr>
                <w:rFonts w:ascii="Arial" w:cs="Arial" w:eastAsia="Arial" w:hAnsi="Arial"/>
                <w:sz w:val="16"/>
                <w:szCs w:val="16"/>
                <w:color w:val="auto"/>
              </w:rPr>
              <w:t>3,150</w:t>
            </w:r>
          </w:p>
        </w:tc>
        <w:tc>
          <w:tcPr>
            <w:tcW w:w="860" w:type="dxa"/>
            <w:vAlign w:val="bottom"/>
          </w:tcPr>
          <w:p>
            <w:pPr>
              <w:jc w:val="center"/>
              <w:ind w:left="300"/>
              <w:spacing w:after="0"/>
              <w:rPr>
                <w:sz w:val="20"/>
                <w:szCs w:val="20"/>
                <w:color w:val="auto"/>
              </w:rPr>
            </w:pPr>
            <w:r>
              <w:rPr>
                <w:rFonts w:ascii="Arial" w:cs="Arial" w:eastAsia="Arial" w:hAnsi="Arial"/>
                <w:sz w:val="16"/>
                <w:szCs w:val="16"/>
                <w:color w:val="auto"/>
                <w:w w:val="89"/>
              </w:rPr>
              <w:t>74</w:t>
            </w:r>
          </w:p>
        </w:tc>
        <w:tc>
          <w:tcPr>
            <w:tcW w:w="580" w:type="dxa"/>
            <w:vAlign w:val="bottom"/>
          </w:tcPr>
          <w:p>
            <w:pPr>
              <w:jc w:val="right"/>
              <w:spacing w:after="0"/>
              <w:rPr>
                <w:sz w:val="20"/>
                <w:szCs w:val="20"/>
                <w:color w:val="auto"/>
              </w:rPr>
            </w:pPr>
            <w:r>
              <w:rPr>
                <w:rFonts w:ascii="Arial" w:cs="Arial" w:eastAsia="Arial" w:hAnsi="Arial"/>
                <w:sz w:val="16"/>
                <w:szCs w:val="16"/>
                <w:color w:val="auto"/>
              </w:rPr>
              <w:t>6,058</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1,054</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81</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444</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7,637</w:t>
            </w:r>
          </w:p>
        </w:tc>
        <w:tc>
          <w:tcPr>
            <w:tcW w:w="0" w:type="dxa"/>
            <w:vAlign w:val="bottom"/>
          </w:tcPr>
          <w:p>
            <w:pPr>
              <w:spacing w:after="0"/>
              <w:rPr>
                <w:sz w:val="1"/>
                <w:szCs w:val="1"/>
                <w:color w:val="auto"/>
              </w:rPr>
            </w:pPr>
          </w:p>
        </w:tc>
      </w:tr>
      <w:tr>
        <w:trPr>
          <w:trHeight w:val="216"/>
        </w:trPr>
        <w:tc>
          <w:tcPr>
            <w:tcW w:w="2660" w:type="dxa"/>
            <w:vAlign w:val="bottom"/>
          </w:tcPr>
          <w:p>
            <w:pPr>
              <w:ind w:left="140"/>
              <w:spacing w:after="0"/>
              <w:rPr>
                <w:sz w:val="20"/>
                <w:szCs w:val="20"/>
                <w:color w:val="auto"/>
              </w:rPr>
            </w:pPr>
            <w:r>
              <w:rPr>
                <w:rFonts w:ascii="Arial" w:cs="Arial" w:eastAsia="Arial" w:hAnsi="Arial"/>
                <w:sz w:val="16"/>
                <w:szCs w:val="16"/>
                <w:color w:val="auto"/>
              </w:rPr>
              <w:t>Revisions</w:t>
            </w:r>
          </w:p>
        </w:tc>
        <w:tc>
          <w:tcPr>
            <w:tcW w:w="740" w:type="dxa"/>
            <w:vAlign w:val="bottom"/>
          </w:tcPr>
          <w:p>
            <w:pPr>
              <w:jc w:val="right"/>
              <w:ind w:right="80"/>
              <w:spacing w:after="0"/>
              <w:rPr>
                <w:sz w:val="20"/>
                <w:szCs w:val="20"/>
                <w:color w:val="auto"/>
              </w:rPr>
            </w:pPr>
            <w:r>
              <w:rPr>
                <w:rFonts w:ascii="Arial" w:cs="Arial" w:eastAsia="Arial" w:hAnsi="Arial"/>
                <w:sz w:val="16"/>
                <w:szCs w:val="16"/>
                <w:color w:val="auto"/>
              </w:rPr>
              <w:t>47</w:t>
            </w: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(2)</w:t>
            </w:r>
          </w:p>
        </w:tc>
        <w:tc>
          <w:tcPr>
            <w:tcW w:w="660" w:type="dxa"/>
            <w:vAlign w:val="bottom"/>
          </w:tcPr>
          <w:p>
            <w:pPr>
              <w:jc w:val="right"/>
              <w:spacing w:after="0"/>
              <w:rPr>
                <w:sz w:val="20"/>
                <w:szCs w:val="20"/>
                <w:color w:val="auto"/>
              </w:rPr>
            </w:pPr>
            <w:r>
              <w:rPr>
                <w:rFonts w:ascii="Arial" w:cs="Arial" w:eastAsia="Arial" w:hAnsi="Arial"/>
                <w:sz w:val="16"/>
                <w:szCs w:val="16"/>
                <w:color w:val="auto"/>
              </w:rPr>
              <w:t>15</w:t>
            </w:r>
          </w:p>
        </w:tc>
        <w:tc>
          <w:tcPr>
            <w:tcW w:w="820" w:type="dxa"/>
            <w:vAlign w:val="bottom"/>
          </w:tcPr>
          <w:p>
            <w:pPr>
              <w:jc w:val="right"/>
              <w:ind w:right="100"/>
              <w:spacing w:after="0"/>
              <w:rPr>
                <w:sz w:val="20"/>
                <w:szCs w:val="20"/>
                <w:color w:val="auto"/>
              </w:rPr>
            </w:pPr>
            <w:r>
              <w:rPr>
                <w:rFonts w:ascii="Arial" w:cs="Arial" w:eastAsia="Arial" w:hAnsi="Arial"/>
                <w:sz w:val="16"/>
                <w:szCs w:val="16"/>
                <w:color w:val="auto"/>
              </w:rPr>
              <w:t>67</w:t>
            </w:r>
          </w:p>
        </w:tc>
        <w:tc>
          <w:tcPr>
            <w:tcW w:w="600" w:type="dxa"/>
            <w:vAlign w:val="bottom"/>
          </w:tcPr>
          <w:p>
            <w:pPr>
              <w:jc w:val="right"/>
              <w:spacing w:after="0"/>
              <w:rPr>
                <w:sz w:val="20"/>
                <w:szCs w:val="20"/>
                <w:color w:val="auto"/>
              </w:rPr>
            </w:pPr>
            <w:r>
              <w:rPr>
                <w:rFonts w:ascii="Arial" w:cs="Arial" w:eastAsia="Arial" w:hAnsi="Arial"/>
                <w:sz w:val="16"/>
                <w:szCs w:val="16"/>
                <w:color w:val="auto"/>
              </w:rPr>
              <w:t>36</w:t>
            </w:r>
          </w:p>
        </w:tc>
        <w:tc>
          <w:tcPr>
            <w:tcW w:w="860" w:type="dxa"/>
            <w:vAlign w:val="bottom"/>
          </w:tcPr>
          <w:p>
            <w:pPr>
              <w:jc w:val="center"/>
              <w:ind w:left="300"/>
              <w:spacing w:after="0"/>
              <w:rPr>
                <w:sz w:val="20"/>
                <w:szCs w:val="20"/>
                <w:color w:val="auto"/>
              </w:rPr>
            </w:pPr>
            <w:r>
              <w:rPr>
                <w:rFonts w:ascii="Arial" w:cs="Arial" w:eastAsia="Arial" w:hAnsi="Arial"/>
                <w:sz w:val="16"/>
                <w:szCs w:val="16"/>
                <w:color w:val="auto"/>
                <w:w w:val="89"/>
              </w:rPr>
              <w:t>10</w:t>
            </w:r>
          </w:p>
        </w:tc>
        <w:tc>
          <w:tcPr>
            <w:tcW w:w="580" w:type="dxa"/>
            <w:vAlign w:val="bottom"/>
          </w:tcPr>
          <w:p>
            <w:pPr>
              <w:jc w:val="right"/>
              <w:spacing w:after="0"/>
              <w:rPr>
                <w:sz w:val="20"/>
                <w:szCs w:val="20"/>
                <w:color w:val="auto"/>
              </w:rPr>
            </w:pPr>
            <w:r>
              <w:rPr>
                <w:rFonts w:ascii="Arial" w:cs="Arial" w:eastAsia="Arial" w:hAnsi="Arial"/>
                <w:sz w:val="16"/>
                <w:szCs w:val="16"/>
                <w:color w:val="auto"/>
              </w:rPr>
              <w:t>173</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2,944</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3,138</w:t>
            </w:r>
          </w:p>
        </w:tc>
        <w:tc>
          <w:tcPr>
            <w:tcW w:w="0" w:type="dxa"/>
            <w:vAlign w:val="bottom"/>
          </w:tcPr>
          <w:p>
            <w:pPr>
              <w:spacing w:after="0"/>
              <w:rPr>
                <w:sz w:val="1"/>
                <w:szCs w:val="1"/>
                <w:color w:val="auto"/>
              </w:rPr>
            </w:pPr>
          </w:p>
        </w:tc>
      </w:tr>
      <w:tr>
        <w:trPr>
          <w:trHeight w:val="216"/>
        </w:trPr>
        <w:tc>
          <w:tcPr>
            <w:tcW w:w="2660" w:type="dxa"/>
            <w:vAlign w:val="bottom"/>
          </w:tcPr>
          <w:p>
            <w:pPr>
              <w:ind w:left="140"/>
              <w:spacing w:after="0"/>
              <w:rPr>
                <w:sz w:val="20"/>
                <w:szCs w:val="20"/>
                <w:color w:val="auto"/>
              </w:rPr>
            </w:pPr>
            <w:r>
              <w:rPr>
                <w:rFonts w:ascii="Arial" w:cs="Arial" w:eastAsia="Arial" w:hAnsi="Arial"/>
                <w:sz w:val="16"/>
                <w:szCs w:val="16"/>
                <w:color w:val="auto"/>
              </w:rPr>
              <w:t>Improved recovery</w:t>
            </w:r>
          </w:p>
        </w:tc>
        <w:tc>
          <w:tcPr>
            <w:tcW w:w="7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center"/>
              <w:ind w:left="300"/>
              <w:spacing w:after="0"/>
              <w:rPr>
                <w:sz w:val="20"/>
                <w:szCs w:val="20"/>
                <w:color w:val="auto"/>
              </w:rPr>
            </w:pPr>
            <w:r>
              <w:rPr>
                <w:rFonts w:ascii="Arial" w:cs="Arial" w:eastAsia="Arial" w:hAnsi="Arial"/>
                <w:sz w:val="16"/>
                <w:szCs w:val="16"/>
                <w:color w:val="auto"/>
                <w:w w:val="99"/>
              </w:rPr>
              <w:t>—</w:t>
            </w:r>
          </w:p>
        </w:tc>
        <w:tc>
          <w:tcPr>
            <w:tcW w:w="6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6"/>
        </w:trPr>
        <w:tc>
          <w:tcPr>
            <w:tcW w:w="2660" w:type="dxa"/>
            <w:vAlign w:val="bottom"/>
          </w:tcPr>
          <w:p>
            <w:pPr>
              <w:ind w:left="140"/>
              <w:spacing w:after="0"/>
              <w:rPr>
                <w:sz w:val="20"/>
                <w:szCs w:val="20"/>
                <w:color w:val="auto"/>
              </w:rPr>
            </w:pPr>
            <w:r>
              <w:rPr>
                <w:rFonts w:ascii="Arial" w:cs="Arial" w:eastAsia="Arial" w:hAnsi="Arial"/>
                <w:sz w:val="16"/>
                <w:szCs w:val="16"/>
                <w:color w:val="auto"/>
              </w:rPr>
              <w:t>Purchases</w:t>
            </w:r>
          </w:p>
        </w:tc>
        <w:tc>
          <w:tcPr>
            <w:tcW w:w="740" w:type="dxa"/>
            <w:vAlign w:val="bottom"/>
          </w:tcPr>
          <w:p>
            <w:pPr>
              <w:jc w:val="right"/>
              <w:ind w:right="80"/>
              <w:spacing w:after="0"/>
              <w:rPr>
                <w:sz w:val="20"/>
                <w:szCs w:val="20"/>
                <w:color w:val="auto"/>
              </w:rPr>
            </w:pPr>
            <w:r>
              <w:rPr>
                <w:rFonts w:ascii="Arial" w:cs="Arial" w:eastAsia="Arial" w:hAnsi="Arial"/>
                <w:sz w:val="16"/>
                <w:szCs w:val="16"/>
                <w:color w:val="auto"/>
              </w:rPr>
              <w:t>5</w:t>
            </w:r>
          </w:p>
        </w:tc>
        <w:tc>
          <w:tcPr>
            <w:tcW w:w="84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center"/>
              <w:ind w:left="300"/>
              <w:spacing w:after="0"/>
              <w:rPr>
                <w:sz w:val="20"/>
                <w:szCs w:val="20"/>
                <w:color w:val="auto"/>
              </w:rPr>
            </w:pPr>
            <w:r>
              <w:rPr>
                <w:rFonts w:ascii="Arial" w:cs="Arial" w:eastAsia="Arial" w:hAnsi="Arial"/>
                <w:sz w:val="16"/>
                <w:szCs w:val="16"/>
                <w:color w:val="auto"/>
                <w:w w:val="9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6"/>
        </w:trPr>
        <w:tc>
          <w:tcPr>
            <w:tcW w:w="2660" w:type="dxa"/>
            <w:vAlign w:val="bottom"/>
          </w:tcPr>
          <w:p>
            <w:pPr>
              <w:ind w:left="140"/>
              <w:spacing w:after="0"/>
              <w:rPr>
                <w:sz w:val="20"/>
                <w:szCs w:val="20"/>
                <w:color w:val="auto"/>
              </w:rPr>
            </w:pPr>
            <w:r>
              <w:rPr>
                <w:rFonts w:ascii="Arial" w:cs="Arial" w:eastAsia="Arial" w:hAnsi="Arial"/>
                <w:sz w:val="16"/>
                <w:szCs w:val="16"/>
                <w:color w:val="auto"/>
              </w:rPr>
              <w:t>Sales</w:t>
            </w: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(27)</w:t>
            </w: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(8)</w:t>
            </w:r>
          </w:p>
        </w:tc>
        <w:tc>
          <w:tcPr>
            <w:tcW w:w="660" w:type="dxa"/>
            <w:vAlign w:val="bottom"/>
          </w:tcPr>
          <w:p>
            <w:pPr>
              <w:jc w:val="right"/>
              <w:spacing w:after="0"/>
              <w:rPr>
                <w:sz w:val="20"/>
                <w:szCs w:val="20"/>
                <w:color w:val="auto"/>
              </w:rPr>
            </w:pPr>
            <w:r>
              <w:rPr>
                <w:rFonts w:ascii="Arial" w:cs="Arial" w:eastAsia="Arial" w:hAnsi="Arial"/>
                <w:sz w:val="16"/>
                <w:szCs w:val="16"/>
                <w:color w:val="auto"/>
              </w:rPr>
              <w:t>(28)</w:t>
            </w:r>
          </w:p>
        </w:tc>
        <w:tc>
          <w:tcPr>
            <w:tcW w:w="82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center"/>
              <w:ind w:left="300"/>
              <w:spacing w:after="0"/>
              <w:rPr>
                <w:sz w:val="20"/>
                <w:szCs w:val="20"/>
                <w:color w:val="auto"/>
              </w:rPr>
            </w:pPr>
            <w:r>
              <w:rPr>
                <w:rFonts w:ascii="Arial" w:cs="Arial" w:eastAsia="Arial" w:hAnsi="Arial"/>
                <w:sz w:val="16"/>
                <w:szCs w:val="16"/>
                <w:color w:val="auto"/>
                <w:w w:val="9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(63)</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w:t>
            </w: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16"/>
        </w:trPr>
        <w:tc>
          <w:tcPr>
            <w:tcW w:w="2660" w:type="dxa"/>
            <w:vAlign w:val="bottom"/>
          </w:tcPr>
          <w:p>
            <w:pPr>
              <w:ind w:left="140"/>
              <w:spacing w:after="0"/>
              <w:rPr>
                <w:sz w:val="20"/>
                <w:szCs w:val="20"/>
                <w:color w:val="auto"/>
              </w:rPr>
            </w:pPr>
            <w:r>
              <w:rPr>
                <w:rFonts w:ascii="Arial" w:cs="Arial" w:eastAsia="Arial" w:hAnsi="Arial"/>
                <w:sz w:val="16"/>
                <w:szCs w:val="16"/>
                <w:color w:val="auto"/>
              </w:rPr>
              <w:t>Extensions/discoveries</w:t>
            </w:r>
          </w:p>
        </w:tc>
        <w:tc>
          <w:tcPr>
            <w:tcW w:w="740" w:type="dxa"/>
            <w:vAlign w:val="bottom"/>
          </w:tcPr>
          <w:p>
            <w:pPr>
              <w:jc w:val="right"/>
              <w:ind w:right="80"/>
              <w:spacing w:after="0"/>
              <w:rPr>
                <w:sz w:val="20"/>
                <w:szCs w:val="20"/>
                <w:color w:val="auto"/>
              </w:rPr>
            </w:pPr>
            <w:r>
              <w:rPr>
                <w:rFonts w:ascii="Arial" w:cs="Arial" w:eastAsia="Arial" w:hAnsi="Arial"/>
                <w:sz w:val="16"/>
                <w:szCs w:val="16"/>
                <w:color w:val="auto"/>
              </w:rPr>
              <w:t>499</w:t>
            </w:r>
          </w:p>
        </w:tc>
        <w:tc>
          <w:tcPr>
            <w:tcW w:w="840" w:type="dxa"/>
            <w:vAlign w:val="bottom"/>
          </w:tcPr>
          <w:p>
            <w:pPr>
              <w:jc w:val="right"/>
              <w:ind w:right="81"/>
              <w:spacing w:after="0"/>
              <w:rPr>
                <w:sz w:val="20"/>
                <w:szCs w:val="20"/>
                <w:color w:val="auto"/>
              </w:rPr>
            </w:pPr>
            <w:r>
              <w:rPr>
                <w:rFonts w:ascii="Arial" w:cs="Arial" w:eastAsia="Arial" w:hAnsi="Arial"/>
                <w:sz w:val="16"/>
                <w:szCs w:val="16"/>
                <w:color w:val="auto"/>
              </w:rPr>
              <w:t>329</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center"/>
              <w:ind w:left="300"/>
              <w:spacing w:after="0"/>
              <w:rPr>
                <w:sz w:val="20"/>
                <w:szCs w:val="20"/>
                <w:color w:val="auto"/>
              </w:rPr>
            </w:pPr>
            <w:r>
              <w:rPr>
                <w:rFonts w:ascii="Arial" w:cs="Arial" w:eastAsia="Arial" w:hAnsi="Arial"/>
                <w:sz w:val="16"/>
                <w:szCs w:val="16"/>
                <w:color w:val="auto"/>
                <w:w w:val="9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828</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183</w:t>
            </w: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1,011</w:t>
            </w:r>
          </w:p>
        </w:tc>
        <w:tc>
          <w:tcPr>
            <w:tcW w:w="0" w:type="dxa"/>
            <w:vAlign w:val="bottom"/>
          </w:tcPr>
          <w:p>
            <w:pPr>
              <w:spacing w:after="0"/>
              <w:rPr>
                <w:sz w:val="1"/>
                <w:szCs w:val="1"/>
                <w:color w:val="auto"/>
              </w:rPr>
            </w:pPr>
          </w:p>
        </w:tc>
      </w:tr>
      <w:tr>
        <w:trPr>
          <w:trHeight w:val="216"/>
        </w:trPr>
        <w:tc>
          <w:tcPr>
            <w:tcW w:w="2660" w:type="dxa"/>
            <w:vAlign w:val="bottom"/>
          </w:tcPr>
          <w:p>
            <w:pPr>
              <w:ind w:left="140"/>
              <w:spacing w:after="0"/>
              <w:rPr>
                <w:sz w:val="20"/>
                <w:szCs w:val="20"/>
                <w:color w:val="auto"/>
              </w:rPr>
            </w:pPr>
            <w:r>
              <w:rPr>
                <w:rFonts w:ascii="Arial" w:cs="Arial" w:eastAsia="Arial" w:hAnsi="Arial"/>
                <w:sz w:val="16"/>
                <w:szCs w:val="16"/>
                <w:color w:val="auto"/>
              </w:rPr>
              <w:t>Production</w:t>
            </w:r>
          </w:p>
        </w:tc>
        <w:tc>
          <w:tcPr>
            <w:tcW w:w="7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(176)</w:t>
            </w:r>
          </w:p>
        </w:tc>
        <w:tc>
          <w:tcPr>
            <w:tcW w:w="8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(47)</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8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(88)</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w:t>
            </w:r>
          </w:p>
        </w:tc>
        <w:tc>
          <w:tcPr>
            <w:tcW w:w="860" w:type="dxa"/>
            <w:vAlign w:val="bottom"/>
            <w:tcBorders>
              <w:bottom w:val="single" w:sz="8" w:color="auto"/>
            </w:tcBorders>
          </w:tcPr>
          <w:p>
            <w:pPr>
              <w:jc w:val="center"/>
              <w:ind w:left="280"/>
              <w:spacing w:after="0"/>
              <w:rPr>
                <w:sz w:val="20"/>
                <w:szCs w:val="20"/>
                <w:color w:val="auto"/>
              </w:rPr>
            </w:pPr>
            <w:r>
              <w:rPr>
                <w:rFonts w:ascii="Arial" w:cs="Arial" w:eastAsia="Arial" w:hAnsi="Arial"/>
                <w:sz w:val="16"/>
                <w:szCs w:val="16"/>
                <w:color w:val="auto"/>
                <w:w w:val="91"/>
              </w:rPr>
              <w:t>(10)</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(476)</w:t>
            </w:r>
          </w:p>
        </w:tc>
        <w:tc>
          <w:tcPr>
            <w:tcW w:w="8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w:t>
            </w:r>
          </w:p>
        </w:tc>
        <w:tc>
          <w:tcPr>
            <w:tcW w:w="8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w:t>
            </w:r>
          </w:p>
        </w:tc>
        <w:tc>
          <w:tcPr>
            <w:tcW w:w="8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8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(718)</w:t>
            </w:r>
          </w:p>
        </w:tc>
        <w:tc>
          <w:tcPr>
            <w:tcW w:w="0" w:type="dxa"/>
            <w:vAlign w:val="bottom"/>
          </w:tcPr>
          <w:p>
            <w:pPr>
              <w:spacing w:after="0"/>
              <w:rPr>
                <w:sz w:val="1"/>
                <w:szCs w:val="1"/>
                <w:color w:val="auto"/>
              </w:rPr>
            </w:pPr>
          </w:p>
        </w:tc>
      </w:tr>
      <w:tr>
        <w:trPr>
          <w:trHeight w:val="209"/>
        </w:trPr>
        <w:tc>
          <w:tcPr>
            <w:tcW w:w="2660" w:type="dxa"/>
            <w:vAlign w:val="bottom"/>
          </w:tcPr>
          <w:p>
            <w:pPr>
              <w:ind w:left="20"/>
              <w:spacing w:after="0"/>
              <w:rPr>
                <w:sz w:val="20"/>
                <w:szCs w:val="20"/>
                <w:color w:val="auto"/>
              </w:rPr>
            </w:pPr>
            <w:r>
              <w:rPr>
                <w:rFonts w:ascii="Arial" w:cs="Arial" w:eastAsia="Arial" w:hAnsi="Arial"/>
                <w:sz w:val="16"/>
                <w:szCs w:val="16"/>
                <w:color w:val="auto"/>
              </w:rPr>
              <w:t>December 31, 2021</w:t>
            </w:r>
          </w:p>
        </w:tc>
        <w:tc>
          <w:tcPr>
            <w:tcW w:w="7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2,307</w:t>
            </w:r>
          </w:p>
        </w:tc>
        <w:tc>
          <w:tcPr>
            <w:tcW w:w="8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769</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8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335</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3,037</w:t>
            </w:r>
          </w:p>
        </w:tc>
        <w:tc>
          <w:tcPr>
            <w:tcW w:w="860" w:type="dxa"/>
            <w:vAlign w:val="bottom"/>
            <w:tcBorders>
              <w:bottom w:val="single" w:sz="8" w:color="auto"/>
            </w:tcBorders>
          </w:tcPr>
          <w:p>
            <w:pPr>
              <w:jc w:val="center"/>
              <w:ind w:left="300"/>
              <w:spacing w:after="0"/>
              <w:rPr>
                <w:sz w:val="20"/>
                <w:szCs w:val="20"/>
                <w:color w:val="auto"/>
              </w:rPr>
            </w:pPr>
            <w:r>
              <w:rPr>
                <w:rFonts w:ascii="Arial" w:cs="Arial" w:eastAsia="Arial" w:hAnsi="Arial"/>
                <w:sz w:val="16"/>
                <w:szCs w:val="16"/>
                <w:color w:val="auto"/>
                <w:w w:val="89"/>
              </w:rPr>
              <w:t>74</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6,525</w:t>
            </w:r>
          </w:p>
        </w:tc>
        <w:tc>
          <w:tcPr>
            <w:tcW w:w="8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1,136</w:t>
            </w:r>
          </w:p>
        </w:tc>
        <w:tc>
          <w:tcPr>
            <w:tcW w:w="8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2,894</w:t>
            </w:r>
          </w:p>
        </w:tc>
        <w:tc>
          <w:tcPr>
            <w:tcW w:w="8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438</w:t>
            </w:r>
          </w:p>
        </w:tc>
        <w:tc>
          <w:tcPr>
            <w:tcW w:w="8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10,993</w:t>
            </w:r>
          </w:p>
        </w:tc>
        <w:tc>
          <w:tcPr>
            <w:tcW w:w="0" w:type="dxa"/>
            <w:vAlign w:val="bottom"/>
          </w:tcPr>
          <w:p>
            <w:pPr>
              <w:spacing w:after="0"/>
              <w:rPr>
                <w:sz w:val="1"/>
                <w:szCs w:val="1"/>
                <w:color w:val="auto"/>
              </w:rPr>
            </w:pPr>
          </w:p>
        </w:tc>
      </w:tr>
      <w:tr>
        <w:trPr>
          <w:trHeight w:val="182"/>
        </w:trPr>
        <w:tc>
          <w:tcPr>
            <w:tcW w:w="2660" w:type="dxa"/>
            <w:vAlign w:val="bottom"/>
          </w:tcPr>
          <w:p>
            <w:pPr>
              <w:ind w:left="20"/>
              <w:spacing w:after="0"/>
              <w:rPr>
                <w:sz w:val="20"/>
                <w:szCs w:val="20"/>
                <w:color w:val="auto"/>
              </w:rPr>
            </w:pPr>
            <w:r>
              <w:rPr>
                <w:rFonts w:ascii="Arial" w:cs="Arial" w:eastAsia="Arial" w:hAnsi="Arial"/>
                <w:sz w:val="14"/>
                <w:szCs w:val="14"/>
                <w:i w:val="1"/>
                <w:iCs w:val="1"/>
                <w:color w:val="auto"/>
              </w:rPr>
              <w:t>Attributable to noncontrolling interests</w:t>
            </w:r>
          </w:p>
        </w:tc>
        <w:tc>
          <w:tcPr>
            <w:tcW w:w="740" w:type="dxa"/>
            <w:vAlign w:val="bottom"/>
          </w:tcPr>
          <w:p>
            <w:pPr>
              <w:spacing w:after="0"/>
              <w:rPr>
                <w:sz w:val="15"/>
                <w:szCs w:val="15"/>
                <w:color w:val="auto"/>
              </w:rPr>
            </w:pPr>
          </w:p>
        </w:tc>
        <w:tc>
          <w:tcPr>
            <w:tcW w:w="840" w:type="dxa"/>
            <w:vAlign w:val="bottom"/>
          </w:tcPr>
          <w:p>
            <w:pPr>
              <w:jc w:val="right"/>
              <w:ind w:right="81"/>
              <w:spacing w:after="0"/>
              <w:rPr>
                <w:sz w:val="20"/>
                <w:szCs w:val="20"/>
                <w:color w:val="auto"/>
              </w:rPr>
            </w:pPr>
            <w:r>
              <w:rPr>
                <w:rFonts w:ascii="Arial" w:cs="Arial" w:eastAsia="Arial" w:hAnsi="Arial"/>
                <w:sz w:val="14"/>
                <w:szCs w:val="14"/>
                <w:i w:val="1"/>
                <w:iCs w:val="1"/>
                <w:color w:val="auto"/>
              </w:rPr>
              <w:t>9</w:t>
            </w: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i w:val="1"/>
                <w:iCs w:val="1"/>
                <w:color w:val="auto"/>
              </w:rPr>
              <w:t>1</w:t>
            </w: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i w:val="1"/>
                <w:iCs w:val="1"/>
                <w:color w:val="auto"/>
              </w:rPr>
              <w:t>674</w:t>
            </w: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i w:val="1"/>
                <w:iCs w:val="1"/>
                <w:color w:val="auto"/>
              </w:rPr>
              <w:t>133</w:t>
            </w: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8"/>
        </w:trPr>
        <w:tc>
          <w:tcPr>
            <w:tcW w:w="2660" w:type="dxa"/>
            <w:vAlign w:val="bottom"/>
          </w:tcPr>
          <w:p>
            <w:pPr>
              <w:ind w:left="20"/>
              <w:spacing w:after="0"/>
              <w:rPr>
                <w:sz w:val="20"/>
                <w:szCs w:val="20"/>
                <w:color w:val="auto"/>
              </w:rPr>
            </w:pPr>
            <w:r>
              <w:rPr>
                <w:rFonts w:ascii="Arial" w:cs="Arial" w:eastAsia="Arial" w:hAnsi="Arial"/>
                <w:sz w:val="16"/>
                <w:szCs w:val="16"/>
                <w:color w:val="auto"/>
                <w:w w:val="93"/>
              </w:rPr>
              <w:t>Proportional interest in proved reserves</w:t>
            </w: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660" w:type="dxa"/>
            <w:vAlign w:val="bottom"/>
          </w:tcPr>
          <w:p>
            <w:pPr>
              <w:ind w:left="100"/>
              <w:spacing w:after="0"/>
              <w:rPr>
                <w:sz w:val="20"/>
                <w:szCs w:val="20"/>
                <w:color w:val="auto"/>
              </w:rPr>
            </w:pPr>
            <w:r>
              <w:rPr>
                <w:rFonts w:ascii="Arial" w:cs="Arial" w:eastAsia="Arial" w:hAnsi="Arial"/>
                <w:sz w:val="16"/>
                <w:szCs w:val="16"/>
                <w:color w:val="auto"/>
              </w:rPr>
              <w:t>of equity companies</w:t>
            </w:r>
          </w:p>
        </w:tc>
        <w:tc>
          <w:tcPr>
            <w:tcW w:w="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60" w:type="dxa"/>
            <w:vAlign w:val="bottom"/>
          </w:tcPr>
          <w:p>
            <w:pPr>
              <w:ind w:left="20"/>
              <w:spacing w:after="0"/>
              <w:rPr>
                <w:sz w:val="20"/>
                <w:szCs w:val="20"/>
                <w:color w:val="auto"/>
              </w:rPr>
            </w:pPr>
            <w:r>
              <w:rPr>
                <w:rFonts w:ascii="Arial" w:cs="Arial" w:eastAsia="Arial" w:hAnsi="Arial"/>
                <w:sz w:val="16"/>
                <w:szCs w:val="16"/>
                <w:color w:val="auto"/>
              </w:rPr>
              <w:t>January 1, 2021</w:t>
            </w:r>
          </w:p>
        </w:tc>
        <w:tc>
          <w:tcPr>
            <w:tcW w:w="740" w:type="dxa"/>
            <w:vAlign w:val="bottom"/>
          </w:tcPr>
          <w:p>
            <w:pPr>
              <w:jc w:val="right"/>
              <w:ind w:right="80"/>
              <w:spacing w:after="0"/>
              <w:rPr>
                <w:sz w:val="20"/>
                <w:szCs w:val="20"/>
                <w:color w:val="auto"/>
              </w:rPr>
            </w:pPr>
            <w:r>
              <w:rPr>
                <w:rFonts w:ascii="Arial" w:cs="Arial" w:eastAsia="Arial" w:hAnsi="Arial"/>
                <w:sz w:val="16"/>
                <w:szCs w:val="16"/>
                <w:color w:val="auto"/>
              </w:rPr>
              <w:t>131</w:t>
            </w:r>
          </w:p>
        </w:tc>
        <w:tc>
          <w:tcPr>
            <w:tcW w:w="84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w:t>
            </w:r>
          </w:p>
        </w:tc>
        <w:tc>
          <w:tcPr>
            <w:tcW w:w="820" w:type="dxa"/>
            <w:vAlign w:val="bottom"/>
          </w:tcPr>
          <w:p>
            <w:pPr>
              <w:jc w:val="right"/>
              <w:ind w:right="100"/>
              <w:spacing w:after="0"/>
              <w:rPr>
                <w:sz w:val="20"/>
                <w:szCs w:val="20"/>
                <w:color w:val="auto"/>
              </w:rPr>
            </w:pPr>
            <w:r>
              <w:rPr>
                <w:rFonts w:ascii="Arial" w:cs="Arial" w:eastAsia="Arial" w:hAnsi="Arial"/>
                <w:sz w:val="16"/>
                <w:szCs w:val="16"/>
                <w:color w:val="auto"/>
              </w:rPr>
              <w:t>6</w:t>
            </w:r>
          </w:p>
        </w:tc>
        <w:tc>
          <w:tcPr>
            <w:tcW w:w="600" w:type="dxa"/>
            <w:vAlign w:val="bottom"/>
          </w:tcPr>
          <w:p>
            <w:pPr>
              <w:jc w:val="right"/>
              <w:spacing w:after="0"/>
              <w:rPr>
                <w:sz w:val="20"/>
                <w:szCs w:val="20"/>
                <w:color w:val="auto"/>
              </w:rPr>
            </w:pPr>
            <w:r>
              <w:rPr>
                <w:rFonts w:ascii="Arial" w:cs="Arial" w:eastAsia="Arial" w:hAnsi="Arial"/>
                <w:sz w:val="16"/>
                <w:szCs w:val="16"/>
                <w:color w:val="auto"/>
              </w:rPr>
              <w:t>825</w:t>
            </w:r>
          </w:p>
        </w:tc>
        <w:tc>
          <w:tcPr>
            <w:tcW w:w="8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971</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277</w:t>
            </w: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1,248</w:t>
            </w:r>
          </w:p>
        </w:tc>
        <w:tc>
          <w:tcPr>
            <w:tcW w:w="0" w:type="dxa"/>
            <w:vAlign w:val="bottom"/>
          </w:tcPr>
          <w:p>
            <w:pPr>
              <w:spacing w:after="0"/>
              <w:rPr>
                <w:sz w:val="1"/>
                <w:szCs w:val="1"/>
                <w:color w:val="auto"/>
              </w:rPr>
            </w:pPr>
          </w:p>
        </w:tc>
      </w:tr>
      <w:tr>
        <w:trPr>
          <w:trHeight w:val="216"/>
        </w:trPr>
        <w:tc>
          <w:tcPr>
            <w:tcW w:w="2660" w:type="dxa"/>
            <w:vAlign w:val="bottom"/>
          </w:tcPr>
          <w:p>
            <w:pPr>
              <w:ind w:left="140"/>
              <w:spacing w:after="0"/>
              <w:rPr>
                <w:sz w:val="20"/>
                <w:szCs w:val="20"/>
                <w:color w:val="auto"/>
              </w:rPr>
            </w:pPr>
            <w:r>
              <w:rPr>
                <w:rFonts w:ascii="Arial" w:cs="Arial" w:eastAsia="Arial" w:hAnsi="Arial"/>
                <w:sz w:val="16"/>
                <w:szCs w:val="16"/>
                <w:color w:val="auto"/>
              </w:rPr>
              <w:t>Revisions</w:t>
            </w:r>
          </w:p>
        </w:tc>
        <w:tc>
          <w:tcPr>
            <w:tcW w:w="740" w:type="dxa"/>
            <w:vAlign w:val="bottom"/>
          </w:tcPr>
          <w:p>
            <w:pPr>
              <w:jc w:val="right"/>
              <w:ind w:right="80"/>
              <w:spacing w:after="0"/>
              <w:rPr>
                <w:sz w:val="20"/>
                <w:szCs w:val="20"/>
                <w:color w:val="auto"/>
              </w:rPr>
            </w:pPr>
            <w:r>
              <w:rPr>
                <w:rFonts w:ascii="Arial" w:cs="Arial" w:eastAsia="Arial" w:hAnsi="Arial"/>
                <w:sz w:val="16"/>
                <w:szCs w:val="16"/>
                <w:color w:val="auto"/>
              </w:rPr>
              <w:t>38</w:t>
            </w:r>
          </w:p>
        </w:tc>
        <w:tc>
          <w:tcPr>
            <w:tcW w:w="84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w:t>
            </w: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(1)</w:t>
            </w:r>
          </w:p>
        </w:tc>
        <w:tc>
          <w:tcPr>
            <w:tcW w:w="600" w:type="dxa"/>
            <w:vAlign w:val="bottom"/>
          </w:tcPr>
          <w:p>
            <w:pPr>
              <w:jc w:val="right"/>
              <w:spacing w:after="0"/>
              <w:rPr>
                <w:sz w:val="20"/>
                <w:szCs w:val="20"/>
                <w:color w:val="auto"/>
              </w:rPr>
            </w:pPr>
            <w:r>
              <w:rPr>
                <w:rFonts w:ascii="Arial" w:cs="Arial" w:eastAsia="Arial" w:hAnsi="Arial"/>
                <w:sz w:val="16"/>
                <w:szCs w:val="16"/>
                <w:color w:val="auto"/>
              </w:rPr>
              <w:t>(8)</w:t>
            </w:r>
          </w:p>
        </w:tc>
        <w:tc>
          <w:tcPr>
            <w:tcW w:w="860" w:type="dxa"/>
            <w:vAlign w:val="bottom"/>
          </w:tcPr>
          <w:p>
            <w:pPr>
              <w:jc w:val="center"/>
              <w:ind w:left="300"/>
              <w:spacing w:after="0"/>
              <w:rPr>
                <w:sz w:val="20"/>
                <w:szCs w:val="20"/>
                <w:color w:val="auto"/>
              </w:rPr>
            </w:pPr>
            <w:r>
              <w:rPr>
                <w:rFonts w:ascii="Arial" w:cs="Arial" w:eastAsia="Arial" w:hAnsi="Arial"/>
                <w:sz w:val="16"/>
                <w:szCs w:val="16"/>
                <w:color w:val="auto"/>
                <w:w w:val="9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31</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w:t>
            </w: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16"/>
        </w:trPr>
        <w:tc>
          <w:tcPr>
            <w:tcW w:w="2660" w:type="dxa"/>
            <w:vAlign w:val="bottom"/>
          </w:tcPr>
          <w:p>
            <w:pPr>
              <w:ind w:left="140"/>
              <w:spacing w:after="0"/>
              <w:rPr>
                <w:sz w:val="20"/>
                <w:szCs w:val="20"/>
                <w:color w:val="auto"/>
              </w:rPr>
            </w:pPr>
            <w:r>
              <w:rPr>
                <w:rFonts w:ascii="Arial" w:cs="Arial" w:eastAsia="Arial" w:hAnsi="Arial"/>
                <w:sz w:val="16"/>
                <w:szCs w:val="16"/>
                <w:color w:val="auto"/>
              </w:rPr>
              <w:t>Improved recovery</w:t>
            </w:r>
          </w:p>
        </w:tc>
        <w:tc>
          <w:tcPr>
            <w:tcW w:w="7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center"/>
              <w:ind w:left="300"/>
              <w:spacing w:after="0"/>
              <w:rPr>
                <w:sz w:val="20"/>
                <w:szCs w:val="20"/>
                <w:color w:val="auto"/>
              </w:rPr>
            </w:pPr>
            <w:r>
              <w:rPr>
                <w:rFonts w:ascii="Arial" w:cs="Arial" w:eastAsia="Arial" w:hAnsi="Arial"/>
                <w:sz w:val="16"/>
                <w:szCs w:val="16"/>
                <w:color w:val="auto"/>
                <w:w w:val="99"/>
              </w:rPr>
              <w:t>—</w:t>
            </w:r>
          </w:p>
        </w:tc>
        <w:tc>
          <w:tcPr>
            <w:tcW w:w="6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660" w:type="dxa"/>
            <w:vAlign w:val="bottom"/>
          </w:tcPr>
          <w:p>
            <w:pPr>
              <w:ind w:left="140"/>
              <w:spacing w:after="0"/>
              <w:rPr>
                <w:sz w:val="20"/>
                <w:szCs w:val="20"/>
                <w:color w:val="auto"/>
              </w:rPr>
            </w:pPr>
            <w:r>
              <w:rPr>
                <w:rFonts w:ascii="Arial" w:cs="Arial" w:eastAsia="Arial" w:hAnsi="Arial"/>
                <w:sz w:val="16"/>
                <w:szCs w:val="16"/>
                <w:color w:val="auto"/>
              </w:rPr>
              <w:t>Purchases</w:t>
            </w:r>
          </w:p>
        </w:tc>
        <w:tc>
          <w:tcPr>
            <w:tcW w:w="7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center"/>
              <w:ind w:left="300"/>
              <w:spacing w:after="0"/>
              <w:rPr>
                <w:sz w:val="20"/>
                <w:szCs w:val="20"/>
                <w:color w:val="auto"/>
              </w:rPr>
            </w:pPr>
            <w:r>
              <w:rPr>
                <w:rFonts w:ascii="Arial" w:cs="Arial" w:eastAsia="Arial" w:hAnsi="Arial"/>
                <w:sz w:val="16"/>
                <w:szCs w:val="16"/>
                <w:color w:val="auto"/>
                <w:w w:val="99"/>
              </w:rPr>
              <w:t>—</w:t>
            </w:r>
          </w:p>
        </w:tc>
        <w:tc>
          <w:tcPr>
            <w:tcW w:w="6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660" w:type="dxa"/>
            <w:vAlign w:val="bottom"/>
          </w:tcPr>
          <w:p>
            <w:pPr>
              <w:ind w:left="140"/>
              <w:spacing w:after="0"/>
              <w:rPr>
                <w:sz w:val="20"/>
                <w:szCs w:val="20"/>
                <w:color w:val="auto"/>
              </w:rPr>
            </w:pPr>
            <w:r>
              <w:rPr>
                <w:rFonts w:ascii="Arial" w:cs="Arial" w:eastAsia="Arial" w:hAnsi="Arial"/>
                <w:sz w:val="16"/>
                <w:szCs w:val="16"/>
                <w:color w:val="auto"/>
              </w:rPr>
              <w:t>Sales</w:t>
            </w:r>
          </w:p>
        </w:tc>
        <w:tc>
          <w:tcPr>
            <w:tcW w:w="7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center"/>
              <w:ind w:left="300"/>
              <w:spacing w:after="0"/>
              <w:rPr>
                <w:sz w:val="20"/>
                <w:szCs w:val="20"/>
                <w:color w:val="auto"/>
              </w:rPr>
            </w:pPr>
            <w:r>
              <w:rPr>
                <w:rFonts w:ascii="Arial" w:cs="Arial" w:eastAsia="Arial" w:hAnsi="Arial"/>
                <w:sz w:val="16"/>
                <w:szCs w:val="16"/>
                <w:color w:val="auto"/>
                <w:w w:val="99"/>
              </w:rPr>
              <w:t>—</w:t>
            </w:r>
          </w:p>
        </w:tc>
        <w:tc>
          <w:tcPr>
            <w:tcW w:w="6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660" w:type="dxa"/>
            <w:vAlign w:val="bottom"/>
          </w:tcPr>
          <w:p>
            <w:pPr>
              <w:ind w:left="140"/>
              <w:spacing w:after="0"/>
              <w:rPr>
                <w:sz w:val="20"/>
                <w:szCs w:val="20"/>
                <w:color w:val="auto"/>
              </w:rPr>
            </w:pPr>
            <w:r>
              <w:rPr>
                <w:rFonts w:ascii="Arial" w:cs="Arial" w:eastAsia="Arial" w:hAnsi="Arial"/>
                <w:sz w:val="16"/>
                <w:szCs w:val="16"/>
                <w:color w:val="auto"/>
              </w:rPr>
              <w:t>Extensions/discoveries</w:t>
            </w:r>
          </w:p>
        </w:tc>
        <w:tc>
          <w:tcPr>
            <w:tcW w:w="740" w:type="dxa"/>
            <w:vAlign w:val="bottom"/>
          </w:tcPr>
          <w:p>
            <w:pPr>
              <w:jc w:val="right"/>
              <w:ind w:right="80"/>
              <w:spacing w:after="0"/>
              <w:rPr>
                <w:sz w:val="20"/>
                <w:szCs w:val="20"/>
                <w:color w:val="auto"/>
              </w:rPr>
            </w:pPr>
            <w:r>
              <w:rPr>
                <w:rFonts w:ascii="Arial" w:cs="Arial" w:eastAsia="Arial" w:hAnsi="Arial"/>
                <w:sz w:val="16"/>
                <w:szCs w:val="16"/>
                <w:color w:val="auto"/>
              </w:rPr>
              <w:t>2</w:t>
            </w:r>
          </w:p>
        </w:tc>
        <w:tc>
          <w:tcPr>
            <w:tcW w:w="84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center"/>
              <w:ind w:left="300"/>
              <w:spacing w:after="0"/>
              <w:rPr>
                <w:sz w:val="20"/>
                <w:szCs w:val="20"/>
                <w:color w:val="auto"/>
              </w:rPr>
            </w:pPr>
            <w:r>
              <w:rPr>
                <w:rFonts w:ascii="Arial" w:cs="Arial" w:eastAsia="Arial" w:hAnsi="Arial"/>
                <w:sz w:val="16"/>
                <w:szCs w:val="16"/>
                <w:color w:val="auto"/>
                <w:w w:val="9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6"/>
        </w:trPr>
        <w:tc>
          <w:tcPr>
            <w:tcW w:w="2660" w:type="dxa"/>
            <w:vAlign w:val="bottom"/>
          </w:tcPr>
          <w:p>
            <w:pPr>
              <w:ind w:left="140"/>
              <w:spacing w:after="0"/>
              <w:rPr>
                <w:sz w:val="20"/>
                <w:szCs w:val="20"/>
                <w:color w:val="auto"/>
              </w:rPr>
            </w:pPr>
            <w:r>
              <w:rPr>
                <w:rFonts w:ascii="Arial" w:cs="Arial" w:eastAsia="Arial" w:hAnsi="Arial"/>
                <w:sz w:val="16"/>
                <w:szCs w:val="16"/>
                <w:color w:val="auto"/>
              </w:rPr>
              <w:t>Production</w:t>
            </w:r>
          </w:p>
        </w:tc>
        <w:tc>
          <w:tcPr>
            <w:tcW w:w="7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(16)</w:t>
            </w:r>
          </w:p>
        </w:tc>
        <w:tc>
          <w:tcPr>
            <w:tcW w:w="8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8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w:t>
            </w:r>
          </w:p>
        </w:tc>
        <w:tc>
          <w:tcPr>
            <w:tcW w:w="860" w:type="dxa"/>
            <w:vAlign w:val="bottom"/>
            <w:tcBorders>
              <w:bottom w:val="single" w:sz="8" w:color="auto"/>
            </w:tcBorders>
          </w:tcPr>
          <w:p>
            <w:pPr>
              <w:jc w:val="center"/>
              <w:ind w:left="300"/>
              <w:spacing w:after="0"/>
              <w:rPr>
                <w:sz w:val="20"/>
                <w:szCs w:val="20"/>
                <w:color w:val="auto"/>
              </w:rPr>
            </w:pPr>
            <w:r>
              <w:rPr>
                <w:rFonts w:ascii="Arial" w:cs="Arial" w:eastAsia="Arial" w:hAnsi="Arial"/>
                <w:sz w:val="16"/>
                <w:szCs w:val="16"/>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w:t>
            </w:r>
          </w:p>
        </w:tc>
        <w:tc>
          <w:tcPr>
            <w:tcW w:w="8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8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210"/>
        </w:trPr>
        <w:tc>
          <w:tcPr>
            <w:tcW w:w="2660" w:type="dxa"/>
            <w:vAlign w:val="bottom"/>
          </w:tcPr>
          <w:p>
            <w:pPr>
              <w:ind w:left="20"/>
              <w:spacing w:after="0"/>
              <w:rPr>
                <w:sz w:val="20"/>
                <w:szCs w:val="20"/>
                <w:color w:val="auto"/>
              </w:rPr>
            </w:pPr>
            <w:r>
              <w:rPr>
                <w:rFonts w:ascii="Arial" w:cs="Arial" w:eastAsia="Arial" w:hAnsi="Arial"/>
                <w:sz w:val="16"/>
                <w:szCs w:val="16"/>
                <w:color w:val="auto"/>
              </w:rPr>
              <w:t>December 31, 2021</w:t>
            </w:r>
          </w:p>
        </w:tc>
        <w:tc>
          <w:tcPr>
            <w:tcW w:w="740" w:type="dxa"/>
            <w:vAlign w:val="bottom"/>
          </w:tcPr>
          <w:p>
            <w:pPr>
              <w:jc w:val="right"/>
              <w:ind w:right="80"/>
              <w:spacing w:after="0"/>
              <w:rPr>
                <w:sz w:val="20"/>
                <w:szCs w:val="20"/>
                <w:color w:val="auto"/>
              </w:rPr>
            </w:pPr>
            <w:r>
              <w:rPr>
                <w:rFonts w:ascii="Arial" w:cs="Arial" w:eastAsia="Arial" w:hAnsi="Arial"/>
                <w:sz w:val="16"/>
                <w:szCs w:val="16"/>
                <w:color w:val="auto"/>
              </w:rPr>
              <w:t>155</w:t>
            </w:r>
          </w:p>
        </w:tc>
        <w:tc>
          <w:tcPr>
            <w:tcW w:w="84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10</w:t>
            </w:r>
          </w:p>
        </w:tc>
        <w:tc>
          <w:tcPr>
            <w:tcW w:w="820" w:type="dxa"/>
            <w:vAlign w:val="bottom"/>
          </w:tcPr>
          <w:p>
            <w:pPr>
              <w:jc w:val="right"/>
              <w:ind w:right="100"/>
              <w:spacing w:after="0"/>
              <w:rPr>
                <w:sz w:val="20"/>
                <w:szCs w:val="20"/>
                <w:color w:val="auto"/>
              </w:rPr>
            </w:pPr>
            <w:r>
              <w:rPr>
                <w:rFonts w:ascii="Arial" w:cs="Arial" w:eastAsia="Arial" w:hAnsi="Arial"/>
                <w:sz w:val="16"/>
                <w:szCs w:val="16"/>
                <w:color w:val="auto"/>
              </w:rPr>
              <w:t>5</w:t>
            </w:r>
          </w:p>
        </w:tc>
        <w:tc>
          <w:tcPr>
            <w:tcW w:w="600" w:type="dxa"/>
            <w:vAlign w:val="bottom"/>
          </w:tcPr>
          <w:p>
            <w:pPr>
              <w:jc w:val="right"/>
              <w:spacing w:after="0"/>
              <w:rPr>
                <w:sz w:val="20"/>
                <w:szCs w:val="20"/>
                <w:color w:val="auto"/>
              </w:rPr>
            </w:pPr>
            <w:r>
              <w:rPr>
                <w:rFonts w:ascii="Arial" w:cs="Arial" w:eastAsia="Arial" w:hAnsi="Arial"/>
                <w:sz w:val="16"/>
                <w:szCs w:val="16"/>
                <w:color w:val="auto"/>
              </w:rPr>
              <w:t>741</w:t>
            </w:r>
          </w:p>
        </w:tc>
        <w:tc>
          <w:tcPr>
            <w:tcW w:w="860" w:type="dxa"/>
            <w:vAlign w:val="bottom"/>
          </w:tcPr>
          <w:p>
            <w:pPr>
              <w:jc w:val="center"/>
              <w:ind w:left="300"/>
              <w:spacing w:after="0"/>
              <w:rPr>
                <w:sz w:val="20"/>
                <w:szCs w:val="20"/>
                <w:color w:val="auto"/>
              </w:rPr>
            </w:pPr>
            <w:r>
              <w:rPr>
                <w:rFonts w:ascii="Arial" w:cs="Arial" w:eastAsia="Arial" w:hAnsi="Arial"/>
                <w:sz w:val="16"/>
                <w:szCs w:val="16"/>
                <w:color w:val="auto"/>
                <w:w w:val="9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911</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270</w:t>
            </w: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1,181</w:t>
            </w:r>
          </w:p>
        </w:tc>
        <w:tc>
          <w:tcPr>
            <w:tcW w:w="0" w:type="dxa"/>
            <w:vAlign w:val="bottom"/>
          </w:tcPr>
          <w:p>
            <w:pPr>
              <w:spacing w:after="0"/>
              <w:rPr>
                <w:sz w:val="1"/>
                <w:szCs w:val="1"/>
                <w:color w:val="auto"/>
              </w:rPr>
            </w:pPr>
          </w:p>
        </w:tc>
      </w:tr>
      <w:tr>
        <w:trPr>
          <w:trHeight w:val="152"/>
        </w:trPr>
        <w:tc>
          <w:tcPr>
            <w:tcW w:w="2660" w:type="dxa"/>
            <w:vAlign w:val="bottom"/>
          </w:tcPr>
          <w:p>
            <w:pPr>
              <w:ind w:left="20"/>
              <w:spacing w:after="0" w:line="152" w:lineRule="exact"/>
              <w:rPr>
                <w:sz w:val="20"/>
                <w:szCs w:val="20"/>
                <w:color w:val="auto"/>
              </w:rPr>
            </w:pPr>
            <w:r>
              <w:rPr>
                <w:rFonts w:ascii="Arial" w:cs="Arial" w:eastAsia="Arial" w:hAnsi="Arial"/>
                <w:sz w:val="16"/>
                <w:szCs w:val="16"/>
                <w:color w:val="auto"/>
              </w:rPr>
              <w:t>Total liquids proved reserves at</w:t>
            </w:r>
          </w:p>
        </w:tc>
        <w:tc>
          <w:tcPr>
            <w:tcW w:w="740" w:type="dxa"/>
            <w:vAlign w:val="bottom"/>
            <w:tcBorders>
              <w:top w:val="single" w:sz="8" w:color="auto"/>
            </w:tcBorders>
            <w:vMerge w:val="restart"/>
          </w:tcPr>
          <w:p>
            <w:pPr>
              <w:jc w:val="right"/>
              <w:ind w:right="80"/>
              <w:spacing w:after="0"/>
              <w:rPr>
                <w:sz w:val="20"/>
                <w:szCs w:val="20"/>
                <w:color w:val="auto"/>
              </w:rPr>
            </w:pPr>
            <w:r>
              <w:rPr>
                <w:rFonts w:ascii="Arial" w:cs="Arial" w:eastAsia="Arial" w:hAnsi="Arial"/>
                <w:sz w:val="16"/>
                <w:szCs w:val="16"/>
                <w:color w:val="auto"/>
              </w:rPr>
              <w:t>2,462</w:t>
            </w:r>
          </w:p>
        </w:tc>
        <w:tc>
          <w:tcPr>
            <w:tcW w:w="840" w:type="dxa"/>
            <w:vAlign w:val="bottom"/>
            <w:tcBorders>
              <w:top w:val="single" w:sz="8" w:color="auto"/>
            </w:tcBorders>
            <w:vMerge w:val="restart"/>
          </w:tcPr>
          <w:p>
            <w:pPr>
              <w:jc w:val="right"/>
              <w:ind w:right="81"/>
              <w:spacing w:after="0"/>
              <w:rPr>
                <w:sz w:val="20"/>
                <w:szCs w:val="20"/>
                <w:color w:val="auto"/>
              </w:rPr>
            </w:pPr>
            <w:r>
              <w:rPr>
                <w:rFonts w:ascii="Arial" w:cs="Arial" w:eastAsia="Arial" w:hAnsi="Arial"/>
                <w:sz w:val="16"/>
                <w:szCs w:val="16"/>
                <w:color w:val="auto"/>
              </w:rPr>
              <w:t>769</w:t>
            </w:r>
          </w:p>
        </w:tc>
        <w:tc>
          <w:tcPr>
            <w:tcW w:w="6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13</w:t>
            </w:r>
          </w:p>
        </w:tc>
        <w:tc>
          <w:tcPr>
            <w:tcW w:w="820" w:type="dxa"/>
            <w:vAlign w:val="bottom"/>
            <w:tcBorders>
              <w:top w:val="single" w:sz="8" w:color="auto"/>
            </w:tcBorders>
            <w:vMerge w:val="restart"/>
          </w:tcPr>
          <w:p>
            <w:pPr>
              <w:jc w:val="right"/>
              <w:ind w:right="100"/>
              <w:spacing w:after="0"/>
              <w:rPr>
                <w:sz w:val="20"/>
                <w:szCs w:val="20"/>
                <w:color w:val="auto"/>
              </w:rPr>
            </w:pPr>
            <w:r>
              <w:rPr>
                <w:rFonts w:ascii="Arial" w:cs="Arial" w:eastAsia="Arial" w:hAnsi="Arial"/>
                <w:sz w:val="16"/>
                <w:szCs w:val="16"/>
                <w:color w:val="auto"/>
              </w:rPr>
              <w:t>340</w:t>
            </w:r>
          </w:p>
        </w:tc>
        <w:tc>
          <w:tcPr>
            <w:tcW w:w="6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3,778</w:t>
            </w:r>
          </w:p>
        </w:tc>
        <w:tc>
          <w:tcPr>
            <w:tcW w:w="860" w:type="dxa"/>
            <w:vAlign w:val="bottom"/>
            <w:tcBorders>
              <w:top w:val="single" w:sz="8" w:color="auto"/>
            </w:tcBorders>
            <w:vMerge w:val="restart"/>
          </w:tcPr>
          <w:p>
            <w:pPr>
              <w:jc w:val="center"/>
              <w:ind w:left="300"/>
              <w:spacing w:after="0"/>
              <w:rPr>
                <w:sz w:val="20"/>
                <w:szCs w:val="20"/>
                <w:color w:val="auto"/>
              </w:rPr>
            </w:pPr>
            <w:r>
              <w:rPr>
                <w:rFonts w:ascii="Arial" w:cs="Arial" w:eastAsia="Arial" w:hAnsi="Arial"/>
                <w:sz w:val="16"/>
                <w:szCs w:val="16"/>
                <w:color w:val="auto"/>
                <w:w w:val="89"/>
              </w:rPr>
              <w:t>74</w:t>
            </w:r>
          </w:p>
        </w:tc>
        <w:tc>
          <w:tcPr>
            <w:tcW w:w="5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7,436</w:t>
            </w:r>
          </w:p>
        </w:tc>
        <w:tc>
          <w:tcPr>
            <w:tcW w:w="80" w:type="dxa"/>
            <w:vAlign w:val="bottom"/>
          </w:tcPr>
          <w:p>
            <w:pPr>
              <w:spacing w:after="0"/>
              <w:rPr>
                <w:sz w:val="13"/>
                <w:szCs w:val="13"/>
                <w:color w:val="auto"/>
              </w:rPr>
            </w:pP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1,406</w:t>
            </w:r>
          </w:p>
        </w:tc>
        <w:tc>
          <w:tcPr>
            <w:tcW w:w="80" w:type="dxa"/>
            <w:vAlign w:val="bottom"/>
          </w:tcPr>
          <w:p>
            <w:pPr>
              <w:spacing w:after="0"/>
              <w:rPr>
                <w:sz w:val="13"/>
                <w:szCs w:val="13"/>
                <w:color w:val="auto"/>
              </w:rPr>
            </w:pPr>
          </w:p>
        </w:tc>
        <w:tc>
          <w:tcPr>
            <w:tcW w:w="7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2,894</w:t>
            </w:r>
          </w:p>
        </w:tc>
        <w:tc>
          <w:tcPr>
            <w:tcW w:w="80" w:type="dxa"/>
            <w:vAlign w:val="bottom"/>
          </w:tcPr>
          <w:p>
            <w:pPr>
              <w:spacing w:after="0"/>
              <w:rPr>
                <w:sz w:val="13"/>
                <w:szCs w:val="13"/>
                <w:color w:val="auto"/>
              </w:rPr>
            </w:pPr>
          </w:p>
        </w:tc>
        <w:tc>
          <w:tcPr>
            <w:tcW w:w="7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438</w:t>
            </w:r>
          </w:p>
        </w:tc>
        <w:tc>
          <w:tcPr>
            <w:tcW w:w="80" w:type="dxa"/>
            <w:vAlign w:val="bottom"/>
          </w:tcPr>
          <w:p>
            <w:pPr>
              <w:spacing w:after="0"/>
              <w:rPr>
                <w:sz w:val="13"/>
                <w:szCs w:val="13"/>
                <w:color w:val="auto"/>
              </w:rPr>
            </w:pPr>
          </w:p>
        </w:tc>
        <w:tc>
          <w:tcPr>
            <w:tcW w:w="7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12,174</w:t>
            </w:r>
          </w:p>
        </w:tc>
        <w:tc>
          <w:tcPr>
            <w:tcW w:w="0" w:type="dxa"/>
            <w:vAlign w:val="bottom"/>
          </w:tcPr>
          <w:p>
            <w:pPr>
              <w:spacing w:after="0"/>
              <w:rPr>
                <w:sz w:val="1"/>
                <w:szCs w:val="1"/>
                <w:color w:val="auto"/>
              </w:rPr>
            </w:pPr>
          </w:p>
        </w:tc>
      </w:tr>
      <w:tr>
        <w:trPr>
          <w:trHeight w:val="214"/>
        </w:trPr>
        <w:tc>
          <w:tcPr>
            <w:tcW w:w="2660" w:type="dxa"/>
            <w:vAlign w:val="bottom"/>
          </w:tcPr>
          <w:p>
            <w:pPr>
              <w:ind w:left="100"/>
              <w:spacing w:after="0"/>
              <w:rPr>
                <w:sz w:val="20"/>
                <w:szCs w:val="20"/>
                <w:color w:val="auto"/>
              </w:rPr>
            </w:pPr>
            <w:r>
              <w:rPr>
                <w:rFonts w:ascii="Arial" w:cs="Arial" w:eastAsia="Arial" w:hAnsi="Arial"/>
                <w:sz w:val="16"/>
                <w:szCs w:val="16"/>
                <w:color w:val="auto"/>
              </w:rPr>
              <w:t>December 31, 2021</w:t>
            </w:r>
          </w:p>
        </w:tc>
        <w:tc>
          <w:tcPr>
            <w:tcW w:w="740" w:type="dxa"/>
            <w:vAlign w:val="bottom"/>
            <w:tcBorders>
              <w:bottom w:val="single" w:sz="8" w:color="auto"/>
            </w:tcBorders>
            <w:vMerge w:val="continue"/>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600" w:type="dxa"/>
            <w:vAlign w:val="bottom"/>
            <w:tcBorders>
              <w:bottom w:val="single" w:sz="8" w:color="auto"/>
            </w:tcBorders>
            <w:vMerge w:val="continue"/>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5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118" w:name="page119"/>
    <w:bookmarkEnd w:id="118"/>
    <w:p>
      <w:pPr>
        <w:ind w:left="20"/>
        <w:spacing w:after="0"/>
        <w:rPr>
          <w:sz w:val="20"/>
          <w:szCs w:val="20"/>
          <w:color w:val="auto"/>
        </w:rPr>
      </w:pPr>
      <w:r>
        <w:rPr>
          <w:rFonts w:ascii="Arial" w:cs="Arial" w:eastAsia="Arial" w:hAnsi="Arial"/>
          <w:sz w:val="16"/>
          <w:szCs w:val="16"/>
          <w:b w:val="1"/>
          <w:bCs w:val="1"/>
          <w:color w:val="auto"/>
        </w:rPr>
        <w:t>Crude Oil, Natural Gas Liquids, Bitumen and Synthetic Oil Proved Reserves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380" w:type="dxa"/>
            <w:vAlign w:val="bottom"/>
            <w:gridSpan w:val="3"/>
            <w:vMerge w:val="restart"/>
          </w:tcPr>
          <w:p>
            <w:pPr>
              <w:jc w:val="right"/>
              <w:ind w:right="60"/>
              <w:spacing w:after="0"/>
              <w:rPr>
                <w:sz w:val="20"/>
                <w:szCs w:val="20"/>
                <w:color w:val="auto"/>
              </w:rPr>
            </w:pPr>
            <w:r>
              <w:rPr>
                <w:rFonts w:ascii="Arial" w:cs="Arial" w:eastAsia="Arial" w:hAnsi="Arial"/>
                <w:sz w:val="14"/>
                <w:szCs w:val="14"/>
                <w:color w:val="auto"/>
              </w:rPr>
              <w:t>Crude Oil and Natural Gas Liquids</w:t>
            </w:r>
          </w:p>
        </w:tc>
        <w:tc>
          <w:tcPr>
            <w:tcW w:w="10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color w:val="auto"/>
                <w:w w:val="93"/>
              </w:rPr>
              <w:t>Bitumen</w:t>
            </w:r>
          </w:p>
        </w:tc>
        <w:tc>
          <w:tcPr>
            <w:tcW w:w="100" w:type="dxa"/>
            <w:vAlign w:val="bottom"/>
            <w:vMerge w:val="restart"/>
          </w:tcPr>
          <w:p>
            <w:pPr>
              <w:spacing w:after="0"/>
              <w:rPr>
                <w:sz w:val="14"/>
                <w:szCs w:val="14"/>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Synthetic</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64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3"/>
            <w:vMerge w:val="continue"/>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Oil</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640" w:type="dxa"/>
            <w:vAlign w:val="bottom"/>
          </w:tcPr>
          <w:p>
            <w:pPr>
              <w:spacing w:after="0"/>
              <w:rPr>
                <w:sz w:val="12"/>
                <w:szCs w:val="12"/>
                <w:color w:val="auto"/>
              </w:rPr>
            </w:pPr>
          </w:p>
        </w:tc>
        <w:tc>
          <w:tcPr>
            <w:tcW w:w="760" w:type="dxa"/>
            <w:vAlign w:val="bottom"/>
            <w:vMerge w:val="restart"/>
          </w:tcPr>
          <w:p>
            <w:pPr>
              <w:jc w:val="right"/>
              <w:ind w:right="140"/>
              <w:spacing w:after="0"/>
              <w:rPr>
                <w:sz w:val="20"/>
                <w:szCs w:val="20"/>
                <w:color w:val="auto"/>
              </w:rPr>
            </w:pPr>
            <w:r>
              <w:rPr>
                <w:rFonts w:ascii="Arial" w:cs="Arial" w:eastAsia="Arial" w:hAnsi="Arial"/>
                <w:sz w:val="14"/>
                <w:szCs w:val="14"/>
                <w:color w:val="auto"/>
              </w:rPr>
              <w:t>United</w:t>
            </w:r>
          </w:p>
        </w:tc>
        <w:tc>
          <w:tcPr>
            <w:tcW w:w="860" w:type="dxa"/>
            <w:vAlign w:val="bottom"/>
          </w:tcPr>
          <w:p>
            <w:pPr>
              <w:jc w:val="center"/>
              <w:spacing w:after="0" w:line="145" w:lineRule="exact"/>
              <w:rPr>
                <w:sz w:val="20"/>
                <w:szCs w:val="20"/>
                <w:color w:val="auto"/>
              </w:rPr>
            </w:pPr>
            <w:r>
              <w:rPr>
                <w:rFonts w:ascii="Arial" w:cs="Arial" w:eastAsia="Arial" w:hAnsi="Arial"/>
                <w:sz w:val="14"/>
                <w:szCs w:val="14"/>
                <w:color w:val="auto"/>
                <w:w w:val="86"/>
              </w:rPr>
              <w:t>Canada/</w:t>
            </w: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vMerge w:val="restart"/>
          </w:tcPr>
          <w:p>
            <w:pPr>
              <w:jc w:val="right"/>
              <w:ind w:right="220"/>
              <w:spacing w:after="0"/>
              <w:rPr>
                <w:sz w:val="20"/>
                <w:szCs w:val="20"/>
                <w:color w:val="auto"/>
              </w:rPr>
            </w:pPr>
            <w:r>
              <w:rPr>
                <w:rFonts w:ascii="Arial" w:cs="Arial" w:eastAsia="Arial" w:hAnsi="Arial"/>
                <w:sz w:val="14"/>
                <w:szCs w:val="14"/>
                <w:color w:val="auto"/>
              </w:rPr>
              <w:t>Australia/</w:t>
            </w: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gridSpan w:val="2"/>
          </w:tcPr>
          <w:p>
            <w:pPr>
              <w:jc w:val="center"/>
              <w:ind w:right="100"/>
              <w:spacing w:after="0" w:line="145" w:lineRule="exact"/>
              <w:rPr>
                <w:sz w:val="20"/>
                <w:szCs w:val="20"/>
                <w:color w:val="auto"/>
              </w:rPr>
            </w:pPr>
            <w:r>
              <w:rPr>
                <w:rFonts w:ascii="Arial" w:cs="Arial" w:eastAsia="Arial" w:hAnsi="Arial"/>
                <w:sz w:val="14"/>
                <w:szCs w:val="14"/>
                <w:color w:val="auto"/>
                <w:w w:val="90"/>
              </w:rPr>
              <w:t>Canada/</w:t>
            </w:r>
          </w:p>
        </w:tc>
        <w:tc>
          <w:tcPr>
            <w:tcW w:w="940" w:type="dxa"/>
            <w:vAlign w:val="bottom"/>
            <w:gridSpan w:val="2"/>
          </w:tcPr>
          <w:p>
            <w:pPr>
              <w:jc w:val="center"/>
              <w:ind w:right="100"/>
              <w:spacing w:after="0" w:line="145" w:lineRule="exact"/>
              <w:rPr>
                <w:sz w:val="20"/>
                <w:szCs w:val="20"/>
                <w:color w:val="auto"/>
              </w:rPr>
            </w:pPr>
            <w:r>
              <w:rPr>
                <w:rFonts w:ascii="Arial" w:cs="Arial" w:eastAsia="Arial" w:hAnsi="Arial"/>
                <w:sz w:val="14"/>
                <w:szCs w:val="14"/>
                <w:color w:val="auto"/>
                <w:w w:val="90"/>
              </w:rPr>
              <w:t>Canada/</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64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Arial" w:cs="Arial" w:eastAsia="Arial" w:hAnsi="Arial"/>
                <w:sz w:val="14"/>
                <w:szCs w:val="14"/>
                <w:color w:val="auto"/>
                <w:w w:val="96"/>
              </w:rPr>
              <w:t>Other</w:t>
            </w:r>
          </w:p>
        </w:tc>
        <w:tc>
          <w:tcPr>
            <w:tcW w:w="820" w:type="dxa"/>
            <w:vAlign w:val="bottom"/>
            <w:vMerge w:val="restart"/>
          </w:tcPr>
          <w:p>
            <w:pPr>
              <w:jc w:val="right"/>
              <w:ind w:right="160"/>
              <w:spacing w:after="0"/>
              <w:rPr>
                <w:sz w:val="20"/>
                <w:szCs w:val="20"/>
                <w:color w:val="auto"/>
              </w:rPr>
            </w:pPr>
            <w:r>
              <w:rPr>
                <w:rFonts w:ascii="Arial" w:cs="Arial" w:eastAsia="Arial" w:hAnsi="Arial"/>
                <w:sz w:val="14"/>
                <w:szCs w:val="14"/>
                <w:color w:val="auto"/>
              </w:rPr>
              <w:t>Europe</w:t>
            </w:r>
          </w:p>
        </w:tc>
        <w:tc>
          <w:tcPr>
            <w:tcW w:w="820" w:type="dxa"/>
            <w:vAlign w:val="bottom"/>
            <w:vMerge w:val="restart"/>
          </w:tcPr>
          <w:p>
            <w:pPr>
              <w:jc w:val="right"/>
              <w:ind w:right="200"/>
              <w:spacing w:after="0"/>
              <w:rPr>
                <w:sz w:val="20"/>
                <w:szCs w:val="20"/>
                <w:color w:val="auto"/>
              </w:rPr>
            </w:pPr>
            <w:r>
              <w:rPr>
                <w:rFonts w:ascii="Arial" w:cs="Arial" w:eastAsia="Arial" w:hAnsi="Arial"/>
                <w:sz w:val="14"/>
                <w:szCs w:val="14"/>
                <w:color w:val="auto"/>
              </w:rPr>
              <w:t>Africa</w:t>
            </w:r>
          </w:p>
        </w:tc>
        <w:tc>
          <w:tcPr>
            <w:tcW w:w="740" w:type="dxa"/>
            <w:vAlign w:val="bottom"/>
            <w:vMerge w:val="restart"/>
          </w:tcPr>
          <w:p>
            <w:pPr>
              <w:jc w:val="right"/>
              <w:ind w:right="200"/>
              <w:spacing w:after="0"/>
              <w:rPr>
                <w:sz w:val="20"/>
                <w:szCs w:val="20"/>
                <w:color w:val="auto"/>
              </w:rPr>
            </w:pPr>
            <w:r>
              <w:rPr>
                <w:rFonts w:ascii="Arial" w:cs="Arial" w:eastAsia="Arial" w:hAnsi="Arial"/>
                <w:sz w:val="14"/>
                <w:szCs w:val="14"/>
                <w:color w:val="auto"/>
              </w:rPr>
              <w:t>Asia</w:t>
            </w:r>
          </w:p>
        </w:tc>
        <w:tc>
          <w:tcPr>
            <w:tcW w:w="1020" w:type="dxa"/>
            <w:vAlign w:val="bottom"/>
            <w:vMerge w:val="continue"/>
          </w:tcPr>
          <w:p>
            <w:pPr>
              <w:spacing w:after="0"/>
              <w:rPr>
                <w:sz w:val="11"/>
                <w:szCs w:val="11"/>
                <w:color w:val="auto"/>
              </w:rPr>
            </w:pPr>
          </w:p>
        </w:tc>
        <w:tc>
          <w:tcPr>
            <w:tcW w:w="660" w:type="dxa"/>
            <w:vAlign w:val="bottom"/>
            <w:vMerge w:val="restart"/>
          </w:tcPr>
          <w:p>
            <w:pPr>
              <w:jc w:val="right"/>
              <w:ind w:right="140"/>
              <w:spacing w:after="0"/>
              <w:rPr>
                <w:sz w:val="20"/>
                <w:szCs w:val="20"/>
                <w:color w:val="auto"/>
              </w:rPr>
            </w:pPr>
            <w:r>
              <w:rPr>
                <w:rFonts w:ascii="Arial" w:cs="Arial" w:eastAsia="Arial" w:hAnsi="Arial"/>
                <w:sz w:val="14"/>
                <w:szCs w:val="14"/>
                <w:color w:val="auto"/>
              </w:rPr>
              <w:t>Total</w:t>
            </w:r>
          </w:p>
        </w:tc>
        <w:tc>
          <w:tcPr>
            <w:tcW w:w="340" w:type="dxa"/>
            <w:vAlign w:val="bottom"/>
          </w:tcPr>
          <w:p>
            <w:pPr>
              <w:spacing w:after="0"/>
              <w:rPr>
                <w:sz w:val="11"/>
                <w:szCs w:val="11"/>
                <w:color w:val="auto"/>
              </w:rPr>
            </w:pPr>
          </w:p>
        </w:tc>
        <w:tc>
          <w:tcPr>
            <w:tcW w:w="860" w:type="dxa"/>
            <w:vAlign w:val="bottom"/>
            <w:gridSpan w:val="2"/>
          </w:tcPr>
          <w:p>
            <w:pPr>
              <w:jc w:val="center"/>
              <w:ind w:right="100"/>
              <w:spacing w:after="0" w:line="135" w:lineRule="exact"/>
              <w:rPr>
                <w:sz w:val="20"/>
                <w:szCs w:val="20"/>
                <w:color w:val="auto"/>
              </w:rPr>
            </w:pPr>
            <w:r>
              <w:rPr>
                <w:rFonts w:ascii="Arial" w:cs="Arial" w:eastAsia="Arial" w:hAnsi="Arial"/>
                <w:sz w:val="14"/>
                <w:szCs w:val="14"/>
                <w:color w:val="auto"/>
                <w:w w:val="91"/>
              </w:rPr>
              <w:t>Other</w:t>
            </w:r>
          </w:p>
        </w:tc>
        <w:tc>
          <w:tcPr>
            <w:tcW w:w="940" w:type="dxa"/>
            <w:vAlign w:val="bottom"/>
            <w:gridSpan w:val="2"/>
          </w:tcPr>
          <w:p>
            <w:pPr>
              <w:jc w:val="center"/>
              <w:ind w:right="100"/>
              <w:spacing w:after="0" w:line="135" w:lineRule="exact"/>
              <w:rPr>
                <w:sz w:val="20"/>
                <w:szCs w:val="20"/>
                <w:color w:val="auto"/>
              </w:rPr>
            </w:pPr>
            <w:r>
              <w:rPr>
                <w:rFonts w:ascii="Arial" w:cs="Arial" w:eastAsia="Arial" w:hAnsi="Arial"/>
                <w:sz w:val="14"/>
                <w:szCs w:val="14"/>
                <w:color w:val="auto"/>
                <w:w w:val="91"/>
              </w:rPr>
              <w:t>Other</w:t>
            </w:r>
          </w:p>
        </w:tc>
        <w:tc>
          <w:tcPr>
            <w:tcW w:w="780" w:type="dxa"/>
            <w:vAlign w:val="bottom"/>
            <w:vMerge w:val="restart"/>
          </w:tcPr>
          <w:p>
            <w:pPr>
              <w:jc w:val="right"/>
              <w:ind w:right="16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86"/>
        </w:trPr>
        <w:tc>
          <w:tcPr>
            <w:tcW w:w="26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color w:val="auto"/>
              </w:rPr>
              <w:t>States</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Americas</w:t>
            </w:r>
          </w:p>
        </w:tc>
        <w:tc>
          <w:tcPr>
            <w:tcW w:w="82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color w:val="auto"/>
              </w:rPr>
              <w:t>Oceania</w:t>
            </w:r>
          </w:p>
        </w:tc>
        <w:tc>
          <w:tcPr>
            <w:tcW w:w="66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color w:val="auto"/>
                <w:w w:val="95"/>
              </w:rPr>
              <w:t>Americas</w:t>
            </w:r>
          </w:p>
        </w:tc>
        <w:tc>
          <w:tcPr>
            <w:tcW w:w="9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color w:val="auto"/>
                <w:w w:val="95"/>
              </w:rPr>
              <w:t>Americas</w:t>
            </w: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6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760" w:type="dxa"/>
            <w:vAlign w:val="bottom"/>
            <w:gridSpan w:val="2"/>
          </w:tcPr>
          <w:p>
            <w:pPr>
              <w:jc w:val="right"/>
              <w:ind w:right="60"/>
              <w:spacing w:after="0"/>
              <w:rPr>
                <w:sz w:val="20"/>
                <w:szCs w:val="20"/>
                <w:color w:val="auto"/>
              </w:rPr>
            </w:pPr>
            <w:r>
              <w:rPr>
                <w:rFonts w:ascii="Arial" w:cs="Arial" w:eastAsia="Arial" w:hAnsi="Arial"/>
                <w:sz w:val="14"/>
                <w:szCs w:val="14"/>
                <w:i w:val="1"/>
                <w:iCs w:val="1"/>
                <w:color w:val="auto"/>
              </w:rPr>
              <w:t>(millions of barrels)</w:t>
            </w: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640" w:type="dxa"/>
            <w:vAlign w:val="bottom"/>
          </w:tcPr>
          <w:p>
            <w:pPr>
              <w:ind w:left="20"/>
              <w:spacing w:after="0"/>
              <w:rPr>
                <w:sz w:val="20"/>
                <w:szCs w:val="20"/>
                <w:color w:val="auto"/>
              </w:rPr>
            </w:pPr>
            <w:r>
              <w:rPr>
                <w:rFonts w:ascii="Arial" w:cs="Arial" w:eastAsia="Arial" w:hAnsi="Arial"/>
                <w:sz w:val="16"/>
                <w:szCs w:val="16"/>
                <w:color w:val="auto"/>
              </w:rPr>
              <w:t>Proved developed reserves, as of</w:t>
            </w:r>
          </w:p>
        </w:tc>
        <w:tc>
          <w:tcPr>
            <w:tcW w:w="7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640" w:type="dxa"/>
            <w:vAlign w:val="bottom"/>
          </w:tcPr>
          <w:p>
            <w:pPr>
              <w:ind w:left="180"/>
              <w:spacing w:after="0"/>
              <w:rPr>
                <w:sz w:val="20"/>
                <w:szCs w:val="20"/>
                <w:color w:val="auto"/>
              </w:rPr>
            </w:pPr>
            <w:r>
              <w:rPr>
                <w:rFonts w:ascii="Arial" w:cs="Arial" w:eastAsia="Arial" w:hAnsi="Arial"/>
                <w:sz w:val="16"/>
                <w:szCs w:val="16"/>
                <w:color w:val="auto"/>
              </w:rPr>
              <w:t>December 31, 2019</w:t>
            </w:r>
          </w:p>
        </w:tc>
        <w:tc>
          <w:tcPr>
            <w:tcW w:w="7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40" w:type="dxa"/>
            <w:vAlign w:val="bottom"/>
          </w:tcPr>
          <w:p>
            <w:pPr>
              <w:ind w:left="480"/>
              <w:spacing w:after="0"/>
              <w:rPr>
                <w:sz w:val="20"/>
                <w:szCs w:val="20"/>
                <w:color w:val="auto"/>
              </w:rPr>
            </w:pPr>
            <w:r>
              <w:rPr>
                <w:rFonts w:ascii="Arial" w:cs="Arial" w:eastAsia="Arial" w:hAnsi="Arial"/>
                <w:sz w:val="16"/>
                <w:szCs w:val="16"/>
                <w:color w:val="auto"/>
              </w:rPr>
              <w:t>Consolidated subsidiaries</w:t>
            </w:r>
          </w:p>
        </w:tc>
        <w:tc>
          <w:tcPr>
            <w:tcW w:w="760" w:type="dxa"/>
            <w:vAlign w:val="bottom"/>
          </w:tcPr>
          <w:p>
            <w:pPr>
              <w:jc w:val="right"/>
              <w:ind w:right="60"/>
              <w:spacing w:after="0"/>
              <w:rPr>
                <w:sz w:val="20"/>
                <w:szCs w:val="20"/>
                <w:color w:val="auto"/>
              </w:rPr>
            </w:pPr>
            <w:r>
              <w:rPr>
                <w:rFonts w:ascii="Arial" w:cs="Arial" w:eastAsia="Arial" w:hAnsi="Arial"/>
                <w:sz w:val="16"/>
                <w:szCs w:val="16"/>
                <w:color w:val="auto"/>
              </w:rPr>
              <w:t>1,655</w:t>
            </w:r>
          </w:p>
        </w:tc>
        <w:tc>
          <w:tcPr>
            <w:tcW w:w="860" w:type="dxa"/>
            <w:vAlign w:val="bottom"/>
          </w:tcPr>
          <w:p>
            <w:pPr>
              <w:jc w:val="right"/>
              <w:ind w:right="61"/>
              <w:spacing w:after="0"/>
              <w:rPr>
                <w:sz w:val="20"/>
                <w:szCs w:val="20"/>
                <w:color w:val="auto"/>
              </w:rPr>
            </w:pPr>
            <w:r>
              <w:rPr>
                <w:rFonts w:ascii="Arial" w:cs="Arial" w:eastAsia="Arial" w:hAnsi="Arial"/>
                <w:sz w:val="16"/>
                <w:szCs w:val="16"/>
                <w:color w:val="auto"/>
              </w:rPr>
              <w:t>195</w:t>
            </w:r>
          </w:p>
        </w:tc>
        <w:tc>
          <w:tcPr>
            <w:tcW w:w="820" w:type="dxa"/>
            <w:vAlign w:val="bottom"/>
          </w:tcPr>
          <w:p>
            <w:pPr>
              <w:jc w:val="right"/>
              <w:ind w:right="100"/>
              <w:spacing w:after="0"/>
              <w:rPr>
                <w:sz w:val="20"/>
                <w:szCs w:val="20"/>
                <w:color w:val="auto"/>
              </w:rPr>
            </w:pPr>
            <w:r>
              <w:rPr>
                <w:rFonts w:ascii="Arial" w:cs="Arial" w:eastAsia="Arial" w:hAnsi="Arial"/>
                <w:sz w:val="16"/>
                <w:szCs w:val="16"/>
                <w:color w:val="auto"/>
              </w:rPr>
              <w:t>23</w:t>
            </w:r>
          </w:p>
        </w:tc>
        <w:tc>
          <w:tcPr>
            <w:tcW w:w="820" w:type="dxa"/>
            <w:vAlign w:val="bottom"/>
          </w:tcPr>
          <w:p>
            <w:pPr>
              <w:jc w:val="right"/>
              <w:ind w:right="120"/>
              <w:spacing w:after="0"/>
              <w:rPr>
                <w:sz w:val="20"/>
                <w:szCs w:val="20"/>
                <w:color w:val="auto"/>
              </w:rPr>
            </w:pPr>
            <w:r>
              <w:rPr>
                <w:rFonts w:ascii="Arial" w:cs="Arial" w:eastAsia="Arial" w:hAnsi="Arial"/>
                <w:sz w:val="16"/>
                <w:szCs w:val="16"/>
                <w:color w:val="auto"/>
              </w:rPr>
              <w:t>419</w:t>
            </w:r>
          </w:p>
        </w:tc>
        <w:tc>
          <w:tcPr>
            <w:tcW w:w="740" w:type="dxa"/>
            <w:vAlign w:val="bottom"/>
          </w:tcPr>
          <w:p>
            <w:pPr>
              <w:jc w:val="right"/>
              <w:ind w:right="60"/>
              <w:spacing w:after="0"/>
              <w:rPr>
                <w:sz w:val="20"/>
                <w:szCs w:val="20"/>
                <w:color w:val="auto"/>
              </w:rPr>
            </w:pPr>
            <w:r>
              <w:rPr>
                <w:rFonts w:ascii="Arial" w:cs="Arial" w:eastAsia="Arial" w:hAnsi="Arial"/>
                <w:sz w:val="16"/>
                <w:szCs w:val="16"/>
                <w:color w:val="auto"/>
              </w:rPr>
              <w:t>2,309</w:t>
            </w:r>
          </w:p>
        </w:tc>
        <w:tc>
          <w:tcPr>
            <w:tcW w:w="1020" w:type="dxa"/>
            <w:vAlign w:val="bottom"/>
          </w:tcPr>
          <w:p>
            <w:pPr>
              <w:jc w:val="right"/>
              <w:ind w:right="180"/>
              <w:spacing w:after="0"/>
              <w:rPr>
                <w:sz w:val="20"/>
                <w:szCs w:val="20"/>
                <w:color w:val="auto"/>
              </w:rPr>
            </w:pPr>
            <w:r>
              <w:rPr>
                <w:rFonts w:ascii="Arial" w:cs="Arial" w:eastAsia="Arial" w:hAnsi="Arial"/>
                <w:sz w:val="16"/>
                <w:szCs w:val="16"/>
                <w:color w:val="auto"/>
              </w:rPr>
              <w:t>90</w:t>
            </w:r>
          </w:p>
        </w:tc>
        <w:tc>
          <w:tcPr>
            <w:tcW w:w="660" w:type="dxa"/>
            <w:vAlign w:val="bottom"/>
          </w:tcPr>
          <w:p>
            <w:pPr>
              <w:jc w:val="right"/>
              <w:spacing w:after="0"/>
              <w:rPr>
                <w:sz w:val="20"/>
                <w:szCs w:val="20"/>
                <w:color w:val="auto"/>
              </w:rPr>
            </w:pPr>
            <w:r>
              <w:rPr>
                <w:rFonts w:ascii="Arial" w:cs="Arial" w:eastAsia="Arial" w:hAnsi="Arial"/>
                <w:sz w:val="16"/>
                <w:szCs w:val="16"/>
                <w:color w:val="auto"/>
              </w:rPr>
              <w:t>4,691</w:t>
            </w: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3,528</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415</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8,634</w:t>
            </w:r>
          </w:p>
        </w:tc>
        <w:tc>
          <w:tcPr>
            <w:tcW w:w="0" w:type="dxa"/>
            <w:vAlign w:val="bottom"/>
          </w:tcPr>
          <w:p>
            <w:pPr>
              <w:spacing w:after="0"/>
              <w:rPr>
                <w:sz w:val="1"/>
                <w:szCs w:val="1"/>
                <w:color w:val="auto"/>
              </w:rPr>
            </w:pPr>
          </w:p>
        </w:tc>
      </w:tr>
      <w:tr>
        <w:trPr>
          <w:trHeight w:val="216"/>
        </w:trPr>
        <w:tc>
          <w:tcPr>
            <w:tcW w:w="2640" w:type="dxa"/>
            <w:vAlign w:val="bottom"/>
          </w:tcPr>
          <w:p>
            <w:pPr>
              <w:ind w:left="480"/>
              <w:spacing w:after="0"/>
              <w:rPr>
                <w:sz w:val="20"/>
                <w:szCs w:val="20"/>
                <w:color w:val="auto"/>
              </w:rPr>
            </w:pPr>
            <w:r>
              <w:rPr>
                <w:rFonts w:ascii="Arial" w:cs="Arial" w:eastAsia="Arial" w:hAnsi="Arial"/>
                <w:sz w:val="16"/>
                <w:szCs w:val="16"/>
                <w:color w:val="auto"/>
              </w:rPr>
              <w:t>Equity companies</w:t>
            </w:r>
          </w:p>
        </w:tc>
        <w:tc>
          <w:tcPr>
            <w:tcW w:w="760" w:type="dxa"/>
            <w:vAlign w:val="bottom"/>
          </w:tcPr>
          <w:p>
            <w:pPr>
              <w:jc w:val="right"/>
              <w:ind w:right="60"/>
              <w:spacing w:after="0"/>
              <w:rPr>
                <w:sz w:val="20"/>
                <w:szCs w:val="20"/>
                <w:color w:val="auto"/>
              </w:rPr>
            </w:pPr>
            <w:r>
              <w:rPr>
                <w:rFonts w:ascii="Arial" w:cs="Arial" w:eastAsia="Arial" w:hAnsi="Arial"/>
                <w:sz w:val="16"/>
                <w:szCs w:val="16"/>
                <w:color w:val="auto"/>
              </w:rPr>
              <w:t>200</w:t>
            </w:r>
          </w:p>
        </w:tc>
        <w:tc>
          <w:tcPr>
            <w:tcW w:w="8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00"/>
              <w:spacing w:after="0"/>
              <w:rPr>
                <w:sz w:val="20"/>
                <w:szCs w:val="20"/>
                <w:color w:val="auto"/>
              </w:rPr>
            </w:pPr>
            <w:r>
              <w:rPr>
                <w:rFonts w:ascii="Arial" w:cs="Arial" w:eastAsia="Arial" w:hAnsi="Arial"/>
                <w:sz w:val="16"/>
                <w:szCs w:val="16"/>
                <w:color w:val="auto"/>
              </w:rPr>
              <w:t>13</w:t>
            </w:r>
          </w:p>
        </w:tc>
        <w:tc>
          <w:tcPr>
            <w:tcW w:w="82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60"/>
              <w:spacing w:after="0"/>
              <w:rPr>
                <w:sz w:val="20"/>
                <w:szCs w:val="20"/>
                <w:color w:val="auto"/>
              </w:rPr>
            </w:pPr>
            <w:r>
              <w:rPr>
                <w:rFonts w:ascii="Arial" w:cs="Arial" w:eastAsia="Arial" w:hAnsi="Arial"/>
                <w:sz w:val="16"/>
                <w:szCs w:val="16"/>
                <w:color w:val="auto"/>
              </w:rPr>
              <w:t>727</w:t>
            </w:r>
          </w:p>
        </w:tc>
        <w:tc>
          <w:tcPr>
            <w:tcW w:w="102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940</w:t>
            </w:r>
          </w:p>
        </w:tc>
        <w:tc>
          <w:tcPr>
            <w:tcW w:w="3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940</w:t>
            </w:r>
          </w:p>
        </w:tc>
        <w:tc>
          <w:tcPr>
            <w:tcW w:w="0" w:type="dxa"/>
            <w:vAlign w:val="bottom"/>
          </w:tcPr>
          <w:p>
            <w:pPr>
              <w:spacing w:after="0"/>
              <w:rPr>
                <w:sz w:val="1"/>
                <w:szCs w:val="1"/>
                <w:color w:val="auto"/>
              </w:rPr>
            </w:pPr>
          </w:p>
        </w:tc>
      </w:tr>
      <w:tr>
        <w:trPr>
          <w:trHeight w:val="388"/>
        </w:trPr>
        <w:tc>
          <w:tcPr>
            <w:tcW w:w="2640" w:type="dxa"/>
            <w:vAlign w:val="bottom"/>
          </w:tcPr>
          <w:p>
            <w:pPr>
              <w:ind w:left="20"/>
              <w:spacing w:after="0"/>
              <w:rPr>
                <w:sz w:val="20"/>
                <w:szCs w:val="20"/>
                <w:color w:val="auto"/>
              </w:rPr>
            </w:pPr>
            <w:r>
              <w:rPr>
                <w:rFonts w:ascii="Arial" w:cs="Arial" w:eastAsia="Arial" w:hAnsi="Arial"/>
                <w:sz w:val="16"/>
                <w:szCs w:val="16"/>
                <w:color w:val="auto"/>
              </w:rPr>
              <w:t>Proved undeveloped reserves, as of</w:t>
            </w: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640" w:type="dxa"/>
            <w:vAlign w:val="bottom"/>
          </w:tcPr>
          <w:p>
            <w:pPr>
              <w:ind w:left="180"/>
              <w:spacing w:after="0"/>
              <w:rPr>
                <w:sz w:val="20"/>
                <w:szCs w:val="20"/>
                <w:color w:val="auto"/>
              </w:rPr>
            </w:pPr>
            <w:r>
              <w:rPr>
                <w:rFonts w:ascii="Arial" w:cs="Arial" w:eastAsia="Arial" w:hAnsi="Arial"/>
                <w:sz w:val="16"/>
                <w:szCs w:val="16"/>
                <w:color w:val="auto"/>
              </w:rPr>
              <w:t>December 31, 2019</w:t>
            </w:r>
          </w:p>
        </w:tc>
        <w:tc>
          <w:tcPr>
            <w:tcW w:w="7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40" w:type="dxa"/>
            <w:vAlign w:val="bottom"/>
          </w:tcPr>
          <w:p>
            <w:pPr>
              <w:ind w:left="480"/>
              <w:spacing w:after="0"/>
              <w:rPr>
                <w:sz w:val="20"/>
                <w:szCs w:val="20"/>
                <w:color w:val="auto"/>
              </w:rPr>
            </w:pPr>
            <w:r>
              <w:rPr>
                <w:rFonts w:ascii="Arial" w:cs="Arial" w:eastAsia="Arial" w:hAnsi="Arial"/>
                <w:sz w:val="16"/>
                <w:szCs w:val="16"/>
                <w:color w:val="auto"/>
              </w:rPr>
              <w:t>Consolidated subsidiaries</w:t>
            </w:r>
          </w:p>
        </w:tc>
        <w:tc>
          <w:tcPr>
            <w:tcW w:w="760" w:type="dxa"/>
            <w:vAlign w:val="bottom"/>
          </w:tcPr>
          <w:p>
            <w:pPr>
              <w:jc w:val="right"/>
              <w:ind w:right="60"/>
              <w:spacing w:after="0"/>
              <w:rPr>
                <w:sz w:val="20"/>
                <w:szCs w:val="20"/>
                <w:color w:val="auto"/>
              </w:rPr>
            </w:pPr>
            <w:r>
              <w:rPr>
                <w:rFonts w:ascii="Arial" w:cs="Arial" w:eastAsia="Arial" w:hAnsi="Arial"/>
                <w:sz w:val="16"/>
                <w:szCs w:val="16"/>
                <w:color w:val="auto"/>
              </w:rPr>
              <w:t>2,474</w:t>
            </w:r>
          </w:p>
        </w:tc>
        <w:tc>
          <w:tcPr>
            <w:tcW w:w="860" w:type="dxa"/>
            <w:vAlign w:val="bottom"/>
          </w:tcPr>
          <w:p>
            <w:pPr>
              <w:jc w:val="right"/>
              <w:ind w:right="61"/>
              <w:spacing w:after="0"/>
              <w:rPr>
                <w:sz w:val="20"/>
                <w:szCs w:val="20"/>
                <w:color w:val="auto"/>
              </w:rPr>
            </w:pPr>
            <w:r>
              <w:rPr>
                <w:rFonts w:ascii="Arial" w:cs="Arial" w:eastAsia="Arial" w:hAnsi="Arial"/>
                <w:sz w:val="16"/>
                <w:szCs w:val="16"/>
                <w:color w:val="auto"/>
              </w:rPr>
              <w:t>381</w:t>
            </w:r>
          </w:p>
        </w:tc>
        <w:tc>
          <w:tcPr>
            <w:tcW w:w="820" w:type="dxa"/>
            <w:vAlign w:val="bottom"/>
          </w:tcPr>
          <w:p>
            <w:pPr>
              <w:jc w:val="right"/>
              <w:ind w:right="100"/>
              <w:spacing w:after="0"/>
              <w:rPr>
                <w:sz w:val="20"/>
                <w:szCs w:val="20"/>
                <w:color w:val="auto"/>
              </w:rPr>
            </w:pPr>
            <w:r>
              <w:rPr>
                <w:rFonts w:ascii="Arial" w:cs="Arial" w:eastAsia="Arial" w:hAnsi="Arial"/>
                <w:sz w:val="16"/>
                <w:szCs w:val="16"/>
                <w:color w:val="auto"/>
              </w:rPr>
              <w:t>29</w:t>
            </w:r>
          </w:p>
        </w:tc>
        <w:tc>
          <w:tcPr>
            <w:tcW w:w="820" w:type="dxa"/>
            <w:vAlign w:val="bottom"/>
          </w:tcPr>
          <w:p>
            <w:pPr>
              <w:jc w:val="right"/>
              <w:ind w:right="120"/>
              <w:spacing w:after="0"/>
              <w:rPr>
                <w:sz w:val="20"/>
                <w:szCs w:val="20"/>
                <w:color w:val="auto"/>
              </w:rPr>
            </w:pPr>
            <w:r>
              <w:rPr>
                <w:rFonts w:ascii="Arial" w:cs="Arial" w:eastAsia="Arial" w:hAnsi="Arial"/>
                <w:sz w:val="16"/>
                <w:szCs w:val="16"/>
                <w:color w:val="auto"/>
              </w:rPr>
              <w:t>68</w:t>
            </w:r>
          </w:p>
        </w:tc>
        <w:tc>
          <w:tcPr>
            <w:tcW w:w="740" w:type="dxa"/>
            <w:vAlign w:val="bottom"/>
          </w:tcPr>
          <w:p>
            <w:pPr>
              <w:jc w:val="right"/>
              <w:ind w:right="60"/>
              <w:spacing w:after="0"/>
              <w:rPr>
                <w:sz w:val="20"/>
                <w:szCs w:val="20"/>
                <w:color w:val="auto"/>
              </w:rPr>
            </w:pPr>
            <w:r>
              <w:rPr>
                <w:rFonts w:ascii="Arial" w:cs="Arial" w:eastAsia="Arial" w:hAnsi="Arial"/>
                <w:sz w:val="16"/>
                <w:szCs w:val="16"/>
                <w:color w:val="auto"/>
              </w:rPr>
              <w:t>1,157</w:t>
            </w:r>
          </w:p>
        </w:tc>
        <w:tc>
          <w:tcPr>
            <w:tcW w:w="1020" w:type="dxa"/>
            <w:vAlign w:val="bottom"/>
          </w:tcPr>
          <w:p>
            <w:pPr>
              <w:jc w:val="right"/>
              <w:ind w:right="180"/>
              <w:spacing w:after="0"/>
              <w:rPr>
                <w:sz w:val="20"/>
                <w:szCs w:val="20"/>
                <w:color w:val="auto"/>
              </w:rPr>
            </w:pPr>
            <w:r>
              <w:rPr>
                <w:rFonts w:ascii="Arial" w:cs="Arial" w:eastAsia="Arial" w:hAnsi="Arial"/>
                <w:sz w:val="16"/>
                <w:szCs w:val="16"/>
                <w:color w:val="auto"/>
              </w:rPr>
              <w:t>35</w:t>
            </w:r>
          </w:p>
        </w:tc>
        <w:tc>
          <w:tcPr>
            <w:tcW w:w="660" w:type="dxa"/>
            <w:vAlign w:val="bottom"/>
          </w:tcPr>
          <w:p>
            <w:pPr>
              <w:jc w:val="right"/>
              <w:spacing w:after="0"/>
              <w:rPr>
                <w:sz w:val="20"/>
                <w:szCs w:val="20"/>
                <w:color w:val="auto"/>
              </w:rPr>
            </w:pPr>
            <w:r>
              <w:rPr>
                <w:rFonts w:ascii="Arial" w:cs="Arial" w:eastAsia="Arial" w:hAnsi="Arial"/>
                <w:sz w:val="16"/>
                <w:szCs w:val="16"/>
                <w:color w:val="auto"/>
              </w:rPr>
              <w:t>4,144</w:t>
            </w: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330</w:t>
            </w: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4,474</w:t>
            </w:r>
          </w:p>
        </w:tc>
        <w:tc>
          <w:tcPr>
            <w:tcW w:w="0" w:type="dxa"/>
            <w:vAlign w:val="bottom"/>
          </w:tcPr>
          <w:p>
            <w:pPr>
              <w:spacing w:after="0"/>
              <w:rPr>
                <w:sz w:val="1"/>
                <w:szCs w:val="1"/>
                <w:color w:val="auto"/>
              </w:rPr>
            </w:pPr>
          </w:p>
        </w:tc>
      </w:tr>
      <w:tr>
        <w:trPr>
          <w:trHeight w:val="216"/>
        </w:trPr>
        <w:tc>
          <w:tcPr>
            <w:tcW w:w="2640" w:type="dxa"/>
            <w:vAlign w:val="bottom"/>
          </w:tcPr>
          <w:p>
            <w:pPr>
              <w:ind w:left="480"/>
              <w:spacing w:after="0"/>
              <w:rPr>
                <w:sz w:val="20"/>
                <w:szCs w:val="20"/>
                <w:color w:val="auto"/>
              </w:rPr>
            </w:pPr>
            <w:r>
              <w:rPr>
                <w:rFonts w:ascii="Arial" w:cs="Arial" w:eastAsia="Arial" w:hAnsi="Arial"/>
                <w:sz w:val="16"/>
                <w:szCs w:val="16"/>
                <w:color w:val="auto"/>
              </w:rPr>
              <w:t>Equity companies</w:t>
            </w:r>
          </w:p>
        </w:tc>
        <w:tc>
          <w:tcPr>
            <w:tcW w:w="760" w:type="dxa"/>
            <w:vAlign w:val="bottom"/>
          </w:tcPr>
          <w:p>
            <w:pPr>
              <w:jc w:val="right"/>
              <w:ind w:right="60"/>
              <w:spacing w:after="0"/>
              <w:rPr>
                <w:sz w:val="20"/>
                <w:szCs w:val="20"/>
                <w:color w:val="auto"/>
              </w:rPr>
            </w:pPr>
            <w:r>
              <w:rPr>
                <w:rFonts w:ascii="Arial" w:cs="Arial" w:eastAsia="Arial" w:hAnsi="Arial"/>
                <w:sz w:val="16"/>
                <w:szCs w:val="16"/>
                <w:color w:val="auto"/>
              </w:rPr>
              <w:t>60</w:t>
            </w:r>
          </w:p>
        </w:tc>
        <w:tc>
          <w:tcPr>
            <w:tcW w:w="8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00"/>
              <w:spacing w:after="0"/>
              <w:rPr>
                <w:sz w:val="20"/>
                <w:szCs w:val="20"/>
                <w:color w:val="auto"/>
              </w:rPr>
            </w:pPr>
            <w:r>
              <w:rPr>
                <w:rFonts w:ascii="Arial" w:cs="Arial" w:eastAsia="Arial" w:hAnsi="Arial"/>
                <w:sz w:val="16"/>
                <w:szCs w:val="16"/>
                <w:color w:val="auto"/>
              </w:rPr>
              <w:t>1</w:t>
            </w:r>
          </w:p>
        </w:tc>
        <w:tc>
          <w:tcPr>
            <w:tcW w:w="820" w:type="dxa"/>
            <w:vAlign w:val="bottom"/>
          </w:tcPr>
          <w:p>
            <w:pPr>
              <w:jc w:val="right"/>
              <w:ind w:right="120"/>
              <w:spacing w:after="0"/>
              <w:rPr>
                <w:sz w:val="20"/>
                <w:szCs w:val="20"/>
                <w:color w:val="auto"/>
              </w:rPr>
            </w:pPr>
            <w:r>
              <w:rPr>
                <w:rFonts w:ascii="Arial" w:cs="Arial" w:eastAsia="Arial" w:hAnsi="Arial"/>
                <w:sz w:val="16"/>
                <w:szCs w:val="16"/>
                <w:color w:val="auto"/>
              </w:rPr>
              <w:t>6</w:t>
            </w:r>
          </w:p>
        </w:tc>
        <w:tc>
          <w:tcPr>
            <w:tcW w:w="740" w:type="dxa"/>
            <w:vAlign w:val="bottom"/>
          </w:tcPr>
          <w:p>
            <w:pPr>
              <w:jc w:val="right"/>
              <w:ind w:right="60"/>
              <w:spacing w:after="0"/>
              <w:rPr>
                <w:sz w:val="20"/>
                <w:szCs w:val="20"/>
                <w:color w:val="auto"/>
              </w:rPr>
            </w:pPr>
            <w:r>
              <w:rPr>
                <w:rFonts w:ascii="Arial" w:cs="Arial" w:eastAsia="Arial" w:hAnsi="Arial"/>
                <w:sz w:val="16"/>
                <w:szCs w:val="16"/>
                <w:color w:val="auto"/>
              </w:rPr>
              <w:t>483</w:t>
            </w:r>
          </w:p>
        </w:tc>
        <w:tc>
          <w:tcPr>
            <w:tcW w:w="102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550</w:t>
            </w:r>
          </w:p>
        </w:tc>
        <w:tc>
          <w:tcPr>
            <w:tcW w:w="3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550</w:t>
            </w:r>
          </w:p>
        </w:tc>
        <w:tc>
          <w:tcPr>
            <w:tcW w:w="0" w:type="dxa"/>
            <w:vAlign w:val="bottom"/>
          </w:tcPr>
          <w:p>
            <w:pPr>
              <w:spacing w:after="0"/>
              <w:rPr>
                <w:sz w:val="1"/>
                <w:szCs w:val="1"/>
                <w:color w:val="auto"/>
              </w:rPr>
            </w:pPr>
          </w:p>
        </w:tc>
      </w:tr>
      <w:tr>
        <w:trPr>
          <w:trHeight w:val="152"/>
        </w:trPr>
        <w:tc>
          <w:tcPr>
            <w:tcW w:w="2640" w:type="dxa"/>
            <w:vAlign w:val="bottom"/>
          </w:tcPr>
          <w:p>
            <w:pPr>
              <w:ind w:left="20"/>
              <w:spacing w:after="0" w:line="152" w:lineRule="exact"/>
              <w:rPr>
                <w:sz w:val="20"/>
                <w:szCs w:val="20"/>
                <w:color w:val="auto"/>
              </w:rPr>
            </w:pPr>
            <w:r>
              <w:rPr>
                <w:rFonts w:ascii="Arial" w:cs="Arial" w:eastAsia="Arial" w:hAnsi="Arial"/>
                <w:sz w:val="16"/>
                <w:szCs w:val="16"/>
                <w:color w:val="auto"/>
              </w:rPr>
              <w:t>Total liquids proved reserves at</w:t>
            </w:r>
          </w:p>
        </w:tc>
        <w:tc>
          <w:tcPr>
            <w:tcW w:w="760" w:type="dxa"/>
            <w:vAlign w:val="bottom"/>
            <w:tcBorders>
              <w:top w:val="single" w:sz="8" w:color="auto"/>
            </w:tcBorders>
            <w:vMerge w:val="restart"/>
          </w:tcPr>
          <w:p>
            <w:pPr>
              <w:jc w:val="right"/>
              <w:ind w:right="60"/>
              <w:spacing w:after="0"/>
              <w:rPr>
                <w:sz w:val="20"/>
                <w:szCs w:val="20"/>
                <w:color w:val="auto"/>
              </w:rPr>
            </w:pPr>
            <w:r>
              <w:rPr>
                <w:rFonts w:ascii="Arial" w:cs="Arial" w:eastAsia="Arial" w:hAnsi="Arial"/>
                <w:sz w:val="16"/>
                <w:szCs w:val="16"/>
                <w:color w:val="auto"/>
              </w:rPr>
              <w:t>4,389</w:t>
            </w:r>
          </w:p>
        </w:tc>
        <w:tc>
          <w:tcPr>
            <w:tcW w:w="860" w:type="dxa"/>
            <w:vAlign w:val="bottom"/>
            <w:tcBorders>
              <w:top w:val="single" w:sz="8" w:color="auto"/>
            </w:tcBorders>
            <w:vMerge w:val="restart"/>
          </w:tcPr>
          <w:p>
            <w:pPr>
              <w:jc w:val="right"/>
              <w:ind w:right="61"/>
              <w:spacing w:after="0"/>
              <w:rPr>
                <w:sz w:val="20"/>
                <w:szCs w:val="20"/>
                <w:color w:val="auto"/>
              </w:rPr>
            </w:pPr>
            <w:r>
              <w:rPr>
                <w:rFonts w:ascii="Arial" w:cs="Arial" w:eastAsia="Arial" w:hAnsi="Arial"/>
                <w:sz w:val="16"/>
                <w:szCs w:val="16"/>
                <w:color w:val="auto"/>
              </w:rPr>
              <w:t>576</w:t>
            </w:r>
          </w:p>
        </w:tc>
        <w:tc>
          <w:tcPr>
            <w:tcW w:w="820" w:type="dxa"/>
            <w:vAlign w:val="bottom"/>
            <w:tcBorders>
              <w:top w:val="single" w:sz="8" w:color="auto"/>
            </w:tcBorders>
            <w:vMerge w:val="restart"/>
          </w:tcPr>
          <w:p>
            <w:pPr>
              <w:jc w:val="right"/>
              <w:ind w:right="100"/>
              <w:spacing w:after="0"/>
              <w:rPr>
                <w:sz w:val="20"/>
                <w:szCs w:val="20"/>
                <w:color w:val="auto"/>
              </w:rPr>
            </w:pPr>
            <w:r>
              <w:rPr>
                <w:rFonts w:ascii="Arial" w:cs="Arial" w:eastAsia="Arial" w:hAnsi="Arial"/>
                <w:sz w:val="16"/>
                <w:szCs w:val="16"/>
                <w:color w:val="auto"/>
              </w:rPr>
              <w:t>66</w:t>
            </w:r>
          </w:p>
        </w:tc>
        <w:tc>
          <w:tcPr>
            <w:tcW w:w="820" w:type="dxa"/>
            <w:vAlign w:val="bottom"/>
            <w:tcBorders>
              <w:top w:val="single" w:sz="8" w:color="auto"/>
            </w:tcBorders>
            <w:vMerge w:val="restart"/>
          </w:tcPr>
          <w:p>
            <w:pPr>
              <w:jc w:val="right"/>
              <w:ind w:right="120"/>
              <w:spacing w:after="0"/>
              <w:rPr>
                <w:sz w:val="20"/>
                <w:szCs w:val="20"/>
                <w:color w:val="auto"/>
              </w:rPr>
            </w:pPr>
            <w:r>
              <w:rPr>
                <w:rFonts w:ascii="Arial" w:cs="Arial" w:eastAsia="Arial" w:hAnsi="Arial"/>
                <w:sz w:val="16"/>
                <w:szCs w:val="16"/>
                <w:color w:val="auto"/>
              </w:rPr>
              <w:t>493</w:t>
            </w:r>
          </w:p>
        </w:tc>
        <w:tc>
          <w:tcPr>
            <w:tcW w:w="740" w:type="dxa"/>
            <w:vAlign w:val="bottom"/>
            <w:tcBorders>
              <w:top w:val="single" w:sz="8" w:color="auto"/>
            </w:tcBorders>
            <w:vMerge w:val="restart"/>
          </w:tcPr>
          <w:p>
            <w:pPr>
              <w:jc w:val="right"/>
              <w:ind w:right="60"/>
              <w:spacing w:after="0"/>
              <w:rPr>
                <w:sz w:val="20"/>
                <w:szCs w:val="20"/>
                <w:color w:val="auto"/>
              </w:rPr>
            </w:pPr>
            <w:r>
              <w:rPr>
                <w:rFonts w:ascii="Arial" w:cs="Arial" w:eastAsia="Arial" w:hAnsi="Arial"/>
                <w:sz w:val="16"/>
                <w:szCs w:val="16"/>
                <w:color w:val="auto"/>
              </w:rPr>
              <w:t>4,676</w:t>
            </w:r>
          </w:p>
        </w:tc>
        <w:tc>
          <w:tcPr>
            <w:tcW w:w="1020" w:type="dxa"/>
            <w:vAlign w:val="bottom"/>
            <w:tcBorders>
              <w:top w:val="single" w:sz="8" w:color="auto"/>
            </w:tcBorders>
            <w:vMerge w:val="restart"/>
          </w:tcPr>
          <w:p>
            <w:pPr>
              <w:jc w:val="right"/>
              <w:ind w:right="180"/>
              <w:spacing w:after="0"/>
              <w:rPr>
                <w:sz w:val="20"/>
                <w:szCs w:val="20"/>
                <w:color w:val="auto"/>
              </w:rPr>
            </w:pPr>
            <w:r>
              <w:rPr>
                <w:rFonts w:ascii="Arial" w:cs="Arial" w:eastAsia="Arial" w:hAnsi="Arial"/>
                <w:sz w:val="16"/>
                <w:szCs w:val="16"/>
                <w:color w:val="auto"/>
              </w:rPr>
              <w:t>125</w:t>
            </w:r>
          </w:p>
        </w:tc>
        <w:tc>
          <w:tcPr>
            <w:tcW w:w="6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10,325</w:t>
            </w:r>
          </w:p>
        </w:tc>
        <w:tc>
          <w:tcPr>
            <w:tcW w:w="340" w:type="dxa"/>
            <w:vAlign w:val="bottom"/>
          </w:tcPr>
          <w:p>
            <w:pPr>
              <w:spacing w:after="0"/>
              <w:rPr>
                <w:sz w:val="13"/>
                <w:szCs w:val="13"/>
                <w:color w:val="auto"/>
              </w:rPr>
            </w:pPr>
          </w:p>
        </w:tc>
        <w:tc>
          <w:tcPr>
            <w:tcW w:w="7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3,858</w:t>
            </w:r>
          </w:p>
        </w:tc>
        <w:tc>
          <w:tcPr>
            <w:tcW w:w="100" w:type="dxa"/>
            <w:vAlign w:val="bottom"/>
          </w:tcPr>
          <w:p>
            <w:pPr>
              <w:spacing w:after="0"/>
              <w:rPr>
                <w:sz w:val="13"/>
                <w:szCs w:val="13"/>
                <w:color w:val="auto"/>
              </w:rPr>
            </w:pP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415</w:t>
            </w:r>
          </w:p>
        </w:tc>
        <w:tc>
          <w:tcPr>
            <w:tcW w:w="120" w:type="dxa"/>
            <w:vAlign w:val="bottom"/>
          </w:tcPr>
          <w:p>
            <w:pPr>
              <w:spacing w:after="0"/>
              <w:rPr>
                <w:sz w:val="13"/>
                <w:szCs w:val="13"/>
                <w:color w:val="auto"/>
              </w:rPr>
            </w:pP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14,598</w:t>
            </w:r>
          </w:p>
        </w:tc>
        <w:tc>
          <w:tcPr>
            <w:tcW w:w="0" w:type="dxa"/>
            <w:vAlign w:val="bottom"/>
          </w:tcPr>
          <w:p>
            <w:pPr>
              <w:spacing w:after="0"/>
              <w:rPr>
                <w:sz w:val="1"/>
                <w:szCs w:val="1"/>
                <w:color w:val="auto"/>
              </w:rPr>
            </w:pPr>
          </w:p>
        </w:tc>
      </w:tr>
      <w:tr>
        <w:trPr>
          <w:trHeight w:val="211"/>
        </w:trPr>
        <w:tc>
          <w:tcPr>
            <w:tcW w:w="2640" w:type="dxa"/>
            <w:vAlign w:val="bottom"/>
          </w:tcPr>
          <w:p>
            <w:pPr>
              <w:ind w:left="180"/>
              <w:spacing w:after="0"/>
              <w:rPr>
                <w:sz w:val="20"/>
                <w:szCs w:val="20"/>
                <w:color w:val="auto"/>
              </w:rPr>
            </w:pPr>
            <w:r>
              <w:rPr>
                <w:rFonts w:ascii="Arial" w:cs="Arial" w:eastAsia="Arial" w:hAnsi="Arial"/>
                <w:sz w:val="16"/>
                <w:szCs w:val="16"/>
                <w:color w:val="auto"/>
              </w:rPr>
              <w:t>December 31, 2019</w:t>
            </w:r>
          </w:p>
        </w:tc>
        <w:tc>
          <w:tcPr>
            <w:tcW w:w="760" w:type="dxa"/>
            <w:vAlign w:val="bottom"/>
            <w:tcBorders>
              <w:bottom w:val="single" w:sz="8" w:color="auto"/>
            </w:tcBorders>
            <w:vMerge w:val="continue"/>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68"/>
        </w:trPr>
        <w:tc>
          <w:tcPr>
            <w:tcW w:w="2640" w:type="dxa"/>
            <w:vAlign w:val="bottom"/>
          </w:tcPr>
          <w:p>
            <w:pPr>
              <w:ind w:left="20"/>
              <w:spacing w:after="0"/>
              <w:rPr>
                <w:sz w:val="20"/>
                <w:szCs w:val="20"/>
                <w:color w:val="auto"/>
              </w:rPr>
            </w:pPr>
            <w:r>
              <w:rPr>
                <w:rFonts w:ascii="Arial" w:cs="Arial" w:eastAsia="Arial" w:hAnsi="Arial"/>
                <w:sz w:val="16"/>
                <w:szCs w:val="16"/>
                <w:color w:val="auto"/>
              </w:rPr>
              <w:t>Proved developed reserves, as of</w:t>
            </w: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640" w:type="dxa"/>
            <w:vAlign w:val="bottom"/>
          </w:tcPr>
          <w:p>
            <w:pPr>
              <w:ind w:left="180"/>
              <w:spacing w:after="0"/>
              <w:rPr>
                <w:sz w:val="20"/>
                <w:szCs w:val="20"/>
                <w:color w:val="auto"/>
              </w:rPr>
            </w:pPr>
            <w:r>
              <w:rPr>
                <w:rFonts w:ascii="Arial" w:cs="Arial" w:eastAsia="Arial" w:hAnsi="Arial"/>
                <w:sz w:val="16"/>
                <w:szCs w:val="16"/>
                <w:color w:val="auto"/>
              </w:rPr>
              <w:t>December 31, 2020</w:t>
            </w:r>
          </w:p>
        </w:tc>
        <w:tc>
          <w:tcPr>
            <w:tcW w:w="7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40" w:type="dxa"/>
            <w:vAlign w:val="bottom"/>
          </w:tcPr>
          <w:p>
            <w:pPr>
              <w:ind w:left="480"/>
              <w:spacing w:after="0"/>
              <w:rPr>
                <w:sz w:val="20"/>
                <w:szCs w:val="20"/>
                <w:color w:val="auto"/>
              </w:rPr>
            </w:pPr>
            <w:r>
              <w:rPr>
                <w:rFonts w:ascii="Arial" w:cs="Arial" w:eastAsia="Arial" w:hAnsi="Arial"/>
                <w:sz w:val="16"/>
                <w:szCs w:val="16"/>
                <w:color w:val="auto"/>
              </w:rPr>
              <w:t>Consolidated subsidiaries</w:t>
            </w:r>
          </w:p>
        </w:tc>
        <w:tc>
          <w:tcPr>
            <w:tcW w:w="760" w:type="dxa"/>
            <w:vAlign w:val="bottom"/>
          </w:tcPr>
          <w:p>
            <w:pPr>
              <w:jc w:val="right"/>
              <w:ind w:right="60"/>
              <w:spacing w:after="0"/>
              <w:rPr>
                <w:sz w:val="20"/>
                <w:szCs w:val="20"/>
                <w:color w:val="auto"/>
              </w:rPr>
            </w:pPr>
            <w:r>
              <w:rPr>
                <w:rFonts w:ascii="Arial" w:cs="Arial" w:eastAsia="Arial" w:hAnsi="Arial"/>
                <w:sz w:val="16"/>
                <w:szCs w:val="16"/>
                <w:color w:val="auto"/>
              </w:rPr>
              <w:t>1,473</w:t>
            </w:r>
          </w:p>
        </w:tc>
        <w:tc>
          <w:tcPr>
            <w:tcW w:w="860" w:type="dxa"/>
            <w:vAlign w:val="bottom"/>
          </w:tcPr>
          <w:p>
            <w:pPr>
              <w:jc w:val="right"/>
              <w:ind w:right="61"/>
              <w:spacing w:after="0"/>
              <w:rPr>
                <w:sz w:val="20"/>
                <w:szCs w:val="20"/>
                <w:color w:val="auto"/>
              </w:rPr>
            </w:pPr>
            <w:r>
              <w:rPr>
                <w:rFonts w:ascii="Arial" w:cs="Arial" w:eastAsia="Arial" w:hAnsi="Arial"/>
                <w:sz w:val="16"/>
                <w:szCs w:val="16"/>
                <w:color w:val="auto"/>
              </w:rPr>
              <w:t>293</w:t>
            </w:r>
          </w:p>
        </w:tc>
        <w:tc>
          <w:tcPr>
            <w:tcW w:w="820" w:type="dxa"/>
            <w:vAlign w:val="bottom"/>
          </w:tcPr>
          <w:p>
            <w:pPr>
              <w:jc w:val="right"/>
              <w:ind w:right="100"/>
              <w:spacing w:after="0"/>
              <w:rPr>
                <w:sz w:val="20"/>
                <w:szCs w:val="20"/>
                <w:color w:val="auto"/>
              </w:rPr>
            </w:pPr>
            <w:r>
              <w:rPr>
                <w:rFonts w:ascii="Arial" w:cs="Arial" w:eastAsia="Arial" w:hAnsi="Arial"/>
                <w:sz w:val="16"/>
                <w:szCs w:val="16"/>
                <w:color w:val="auto"/>
              </w:rPr>
              <w:t>13</w:t>
            </w:r>
          </w:p>
        </w:tc>
        <w:tc>
          <w:tcPr>
            <w:tcW w:w="820" w:type="dxa"/>
            <w:vAlign w:val="bottom"/>
          </w:tcPr>
          <w:p>
            <w:pPr>
              <w:jc w:val="right"/>
              <w:ind w:right="120"/>
              <w:spacing w:after="0"/>
              <w:rPr>
                <w:sz w:val="20"/>
                <w:szCs w:val="20"/>
                <w:color w:val="auto"/>
              </w:rPr>
            </w:pPr>
            <w:r>
              <w:rPr>
                <w:rFonts w:ascii="Arial" w:cs="Arial" w:eastAsia="Arial" w:hAnsi="Arial"/>
                <w:sz w:val="16"/>
                <w:szCs w:val="16"/>
                <w:color w:val="auto"/>
              </w:rPr>
              <w:t>345</w:t>
            </w:r>
          </w:p>
        </w:tc>
        <w:tc>
          <w:tcPr>
            <w:tcW w:w="740" w:type="dxa"/>
            <w:vAlign w:val="bottom"/>
          </w:tcPr>
          <w:p>
            <w:pPr>
              <w:jc w:val="right"/>
              <w:ind w:right="60"/>
              <w:spacing w:after="0"/>
              <w:rPr>
                <w:sz w:val="20"/>
                <w:szCs w:val="20"/>
                <w:color w:val="auto"/>
              </w:rPr>
            </w:pPr>
            <w:r>
              <w:rPr>
                <w:rFonts w:ascii="Arial" w:cs="Arial" w:eastAsia="Arial" w:hAnsi="Arial"/>
                <w:sz w:val="16"/>
                <w:szCs w:val="16"/>
                <w:color w:val="auto"/>
              </w:rPr>
              <w:t>2,299</w:t>
            </w:r>
          </w:p>
        </w:tc>
        <w:tc>
          <w:tcPr>
            <w:tcW w:w="1020" w:type="dxa"/>
            <w:vAlign w:val="bottom"/>
          </w:tcPr>
          <w:p>
            <w:pPr>
              <w:jc w:val="right"/>
              <w:ind w:right="180"/>
              <w:spacing w:after="0"/>
              <w:rPr>
                <w:sz w:val="20"/>
                <w:szCs w:val="20"/>
                <w:color w:val="auto"/>
              </w:rPr>
            </w:pPr>
            <w:r>
              <w:rPr>
                <w:rFonts w:ascii="Arial" w:cs="Arial" w:eastAsia="Arial" w:hAnsi="Arial"/>
                <w:sz w:val="16"/>
                <w:szCs w:val="16"/>
                <w:color w:val="auto"/>
              </w:rPr>
              <w:t>67</w:t>
            </w:r>
          </w:p>
        </w:tc>
        <w:tc>
          <w:tcPr>
            <w:tcW w:w="660" w:type="dxa"/>
            <w:vAlign w:val="bottom"/>
          </w:tcPr>
          <w:p>
            <w:pPr>
              <w:jc w:val="right"/>
              <w:spacing w:after="0"/>
              <w:rPr>
                <w:sz w:val="20"/>
                <w:szCs w:val="20"/>
                <w:color w:val="auto"/>
              </w:rPr>
            </w:pPr>
            <w:r>
              <w:rPr>
                <w:rFonts w:ascii="Arial" w:cs="Arial" w:eastAsia="Arial" w:hAnsi="Arial"/>
                <w:sz w:val="16"/>
                <w:szCs w:val="16"/>
                <w:color w:val="auto"/>
              </w:rPr>
              <w:t>4,490</w:t>
            </w: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311</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4,877</w:t>
            </w:r>
          </w:p>
        </w:tc>
        <w:tc>
          <w:tcPr>
            <w:tcW w:w="0" w:type="dxa"/>
            <w:vAlign w:val="bottom"/>
          </w:tcPr>
          <w:p>
            <w:pPr>
              <w:spacing w:after="0"/>
              <w:rPr>
                <w:sz w:val="1"/>
                <w:szCs w:val="1"/>
                <w:color w:val="auto"/>
              </w:rPr>
            </w:pPr>
          </w:p>
        </w:tc>
      </w:tr>
      <w:tr>
        <w:trPr>
          <w:trHeight w:val="216"/>
        </w:trPr>
        <w:tc>
          <w:tcPr>
            <w:tcW w:w="2640" w:type="dxa"/>
            <w:vAlign w:val="bottom"/>
          </w:tcPr>
          <w:p>
            <w:pPr>
              <w:ind w:left="480"/>
              <w:spacing w:after="0"/>
              <w:rPr>
                <w:sz w:val="20"/>
                <w:szCs w:val="20"/>
                <w:color w:val="auto"/>
              </w:rPr>
            </w:pPr>
            <w:r>
              <w:rPr>
                <w:rFonts w:ascii="Arial" w:cs="Arial" w:eastAsia="Arial" w:hAnsi="Arial"/>
                <w:sz w:val="16"/>
                <w:szCs w:val="16"/>
                <w:color w:val="auto"/>
              </w:rPr>
              <w:t>Equity companies</w:t>
            </w:r>
          </w:p>
        </w:tc>
        <w:tc>
          <w:tcPr>
            <w:tcW w:w="760" w:type="dxa"/>
            <w:vAlign w:val="bottom"/>
          </w:tcPr>
          <w:p>
            <w:pPr>
              <w:jc w:val="right"/>
              <w:ind w:right="60"/>
              <w:spacing w:after="0"/>
              <w:rPr>
                <w:sz w:val="20"/>
                <w:szCs w:val="20"/>
                <w:color w:val="auto"/>
              </w:rPr>
            </w:pPr>
            <w:r>
              <w:rPr>
                <w:rFonts w:ascii="Arial" w:cs="Arial" w:eastAsia="Arial" w:hAnsi="Arial"/>
                <w:sz w:val="16"/>
                <w:szCs w:val="16"/>
                <w:color w:val="auto"/>
              </w:rPr>
              <w:t>111</w:t>
            </w:r>
          </w:p>
        </w:tc>
        <w:tc>
          <w:tcPr>
            <w:tcW w:w="8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00"/>
              <w:spacing w:after="0"/>
              <w:rPr>
                <w:sz w:val="20"/>
                <w:szCs w:val="20"/>
                <w:color w:val="auto"/>
              </w:rPr>
            </w:pPr>
            <w:r>
              <w:rPr>
                <w:rFonts w:ascii="Arial" w:cs="Arial" w:eastAsia="Arial" w:hAnsi="Arial"/>
                <w:sz w:val="16"/>
                <w:szCs w:val="16"/>
                <w:color w:val="auto"/>
              </w:rPr>
              <w:t>8</w:t>
            </w:r>
          </w:p>
        </w:tc>
        <w:tc>
          <w:tcPr>
            <w:tcW w:w="82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60"/>
              <w:spacing w:after="0"/>
              <w:rPr>
                <w:sz w:val="20"/>
                <w:szCs w:val="20"/>
                <w:color w:val="auto"/>
              </w:rPr>
            </w:pPr>
            <w:r>
              <w:rPr>
                <w:rFonts w:ascii="Arial" w:cs="Arial" w:eastAsia="Arial" w:hAnsi="Arial"/>
                <w:sz w:val="16"/>
                <w:szCs w:val="16"/>
                <w:color w:val="auto"/>
              </w:rPr>
              <w:t>646</w:t>
            </w:r>
          </w:p>
        </w:tc>
        <w:tc>
          <w:tcPr>
            <w:tcW w:w="102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765</w:t>
            </w:r>
          </w:p>
        </w:tc>
        <w:tc>
          <w:tcPr>
            <w:tcW w:w="3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765</w:t>
            </w:r>
          </w:p>
        </w:tc>
        <w:tc>
          <w:tcPr>
            <w:tcW w:w="0" w:type="dxa"/>
            <w:vAlign w:val="bottom"/>
          </w:tcPr>
          <w:p>
            <w:pPr>
              <w:spacing w:after="0"/>
              <w:rPr>
                <w:sz w:val="1"/>
                <w:szCs w:val="1"/>
                <w:color w:val="auto"/>
              </w:rPr>
            </w:pPr>
          </w:p>
        </w:tc>
      </w:tr>
      <w:tr>
        <w:trPr>
          <w:trHeight w:val="388"/>
        </w:trPr>
        <w:tc>
          <w:tcPr>
            <w:tcW w:w="2640" w:type="dxa"/>
            <w:vAlign w:val="bottom"/>
          </w:tcPr>
          <w:p>
            <w:pPr>
              <w:ind w:left="20"/>
              <w:spacing w:after="0"/>
              <w:rPr>
                <w:sz w:val="20"/>
                <w:szCs w:val="20"/>
                <w:color w:val="auto"/>
              </w:rPr>
            </w:pPr>
            <w:r>
              <w:rPr>
                <w:rFonts w:ascii="Arial" w:cs="Arial" w:eastAsia="Arial" w:hAnsi="Arial"/>
                <w:sz w:val="16"/>
                <w:szCs w:val="16"/>
                <w:color w:val="auto"/>
              </w:rPr>
              <w:t>Proved undeveloped reserves, as of</w:t>
            </w: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640" w:type="dxa"/>
            <w:vAlign w:val="bottom"/>
          </w:tcPr>
          <w:p>
            <w:pPr>
              <w:ind w:left="180"/>
              <w:spacing w:after="0"/>
              <w:rPr>
                <w:sz w:val="20"/>
                <w:szCs w:val="20"/>
                <w:color w:val="auto"/>
              </w:rPr>
            </w:pPr>
            <w:r>
              <w:rPr>
                <w:rFonts w:ascii="Arial" w:cs="Arial" w:eastAsia="Arial" w:hAnsi="Arial"/>
                <w:sz w:val="16"/>
                <w:szCs w:val="16"/>
                <w:color w:val="auto"/>
              </w:rPr>
              <w:t>December 31, 2020</w:t>
            </w:r>
          </w:p>
        </w:tc>
        <w:tc>
          <w:tcPr>
            <w:tcW w:w="7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40" w:type="dxa"/>
            <w:vAlign w:val="bottom"/>
          </w:tcPr>
          <w:p>
            <w:pPr>
              <w:ind w:left="480"/>
              <w:spacing w:after="0"/>
              <w:rPr>
                <w:sz w:val="20"/>
                <w:szCs w:val="20"/>
                <w:color w:val="auto"/>
              </w:rPr>
            </w:pPr>
            <w:r>
              <w:rPr>
                <w:rFonts w:ascii="Arial" w:cs="Arial" w:eastAsia="Arial" w:hAnsi="Arial"/>
                <w:sz w:val="16"/>
                <w:szCs w:val="16"/>
                <w:color w:val="auto"/>
              </w:rPr>
              <w:t>Consolidated subsidiaries</w:t>
            </w:r>
          </w:p>
        </w:tc>
        <w:tc>
          <w:tcPr>
            <w:tcW w:w="760" w:type="dxa"/>
            <w:vAlign w:val="bottom"/>
          </w:tcPr>
          <w:p>
            <w:pPr>
              <w:jc w:val="right"/>
              <w:ind w:right="60"/>
              <w:spacing w:after="0"/>
              <w:rPr>
                <w:sz w:val="20"/>
                <w:szCs w:val="20"/>
                <w:color w:val="auto"/>
              </w:rPr>
            </w:pPr>
            <w:r>
              <w:rPr>
                <w:rFonts w:ascii="Arial" w:cs="Arial" w:eastAsia="Arial" w:hAnsi="Arial"/>
                <w:sz w:val="16"/>
                <w:szCs w:val="16"/>
                <w:color w:val="auto"/>
              </w:rPr>
              <w:t>1,342</w:t>
            </w:r>
          </w:p>
        </w:tc>
        <w:tc>
          <w:tcPr>
            <w:tcW w:w="860" w:type="dxa"/>
            <w:vAlign w:val="bottom"/>
          </w:tcPr>
          <w:p>
            <w:pPr>
              <w:jc w:val="right"/>
              <w:ind w:right="61"/>
              <w:spacing w:after="0"/>
              <w:rPr>
                <w:sz w:val="20"/>
                <w:szCs w:val="20"/>
                <w:color w:val="auto"/>
              </w:rPr>
            </w:pPr>
            <w:r>
              <w:rPr>
                <w:rFonts w:ascii="Arial" w:cs="Arial" w:eastAsia="Arial" w:hAnsi="Arial"/>
                <w:sz w:val="16"/>
                <w:szCs w:val="16"/>
                <w:color w:val="auto"/>
              </w:rPr>
              <w:t>209</w:t>
            </w:r>
          </w:p>
        </w:tc>
        <w:tc>
          <w:tcPr>
            <w:tcW w:w="820" w:type="dxa"/>
            <w:vAlign w:val="bottom"/>
          </w:tcPr>
          <w:p>
            <w:pPr>
              <w:jc w:val="right"/>
              <w:ind w:right="100"/>
              <w:spacing w:after="0"/>
              <w:rPr>
                <w:sz w:val="20"/>
                <w:szCs w:val="20"/>
                <w:color w:val="auto"/>
              </w:rPr>
            </w:pPr>
            <w:r>
              <w:rPr>
                <w:rFonts w:ascii="Arial" w:cs="Arial" w:eastAsia="Arial" w:hAnsi="Arial"/>
                <w:sz w:val="16"/>
                <w:szCs w:val="16"/>
                <w:color w:val="auto"/>
              </w:rPr>
              <w:t>16</w:t>
            </w:r>
          </w:p>
        </w:tc>
        <w:tc>
          <w:tcPr>
            <w:tcW w:w="820" w:type="dxa"/>
            <w:vAlign w:val="bottom"/>
          </w:tcPr>
          <w:p>
            <w:pPr>
              <w:jc w:val="right"/>
              <w:ind w:right="120"/>
              <w:spacing w:after="0"/>
              <w:rPr>
                <w:sz w:val="20"/>
                <w:szCs w:val="20"/>
                <w:color w:val="auto"/>
              </w:rPr>
            </w:pPr>
            <w:r>
              <w:rPr>
                <w:rFonts w:ascii="Arial" w:cs="Arial" w:eastAsia="Arial" w:hAnsi="Arial"/>
                <w:sz w:val="16"/>
                <w:szCs w:val="16"/>
                <w:color w:val="auto"/>
              </w:rPr>
              <w:t>42</w:t>
            </w:r>
          </w:p>
        </w:tc>
        <w:tc>
          <w:tcPr>
            <w:tcW w:w="740" w:type="dxa"/>
            <w:vAlign w:val="bottom"/>
          </w:tcPr>
          <w:p>
            <w:pPr>
              <w:jc w:val="right"/>
              <w:ind w:right="60"/>
              <w:spacing w:after="0"/>
              <w:rPr>
                <w:sz w:val="20"/>
                <w:szCs w:val="20"/>
                <w:color w:val="auto"/>
              </w:rPr>
            </w:pPr>
            <w:r>
              <w:rPr>
                <w:rFonts w:ascii="Arial" w:cs="Arial" w:eastAsia="Arial" w:hAnsi="Arial"/>
                <w:sz w:val="16"/>
                <w:szCs w:val="16"/>
                <w:color w:val="auto"/>
              </w:rPr>
              <w:t>975</w:t>
            </w:r>
          </w:p>
        </w:tc>
        <w:tc>
          <w:tcPr>
            <w:tcW w:w="1020" w:type="dxa"/>
            <w:vAlign w:val="bottom"/>
          </w:tcPr>
          <w:p>
            <w:pPr>
              <w:jc w:val="right"/>
              <w:ind w:right="180"/>
              <w:spacing w:after="0"/>
              <w:rPr>
                <w:sz w:val="20"/>
                <w:szCs w:val="20"/>
                <w:color w:val="auto"/>
              </w:rPr>
            </w:pPr>
            <w:r>
              <w:rPr>
                <w:rFonts w:ascii="Arial" w:cs="Arial" w:eastAsia="Arial" w:hAnsi="Arial"/>
                <w:sz w:val="16"/>
                <w:szCs w:val="16"/>
                <w:color w:val="auto"/>
              </w:rPr>
              <w:t>38</w:t>
            </w:r>
          </w:p>
        </w:tc>
        <w:tc>
          <w:tcPr>
            <w:tcW w:w="660" w:type="dxa"/>
            <w:vAlign w:val="bottom"/>
          </w:tcPr>
          <w:p>
            <w:pPr>
              <w:jc w:val="right"/>
              <w:spacing w:after="0"/>
              <w:rPr>
                <w:sz w:val="20"/>
                <w:szCs w:val="20"/>
                <w:color w:val="auto"/>
              </w:rPr>
            </w:pPr>
            <w:r>
              <w:rPr>
                <w:rFonts w:ascii="Arial" w:cs="Arial" w:eastAsia="Arial" w:hAnsi="Arial"/>
                <w:sz w:val="16"/>
                <w:szCs w:val="16"/>
                <w:color w:val="auto"/>
              </w:rPr>
              <w:t>2,622</w:t>
            </w: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133</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2,760</w:t>
            </w:r>
          </w:p>
        </w:tc>
        <w:tc>
          <w:tcPr>
            <w:tcW w:w="0" w:type="dxa"/>
            <w:vAlign w:val="bottom"/>
          </w:tcPr>
          <w:p>
            <w:pPr>
              <w:spacing w:after="0"/>
              <w:rPr>
                <w:sz w:val="1"/>
                <w:szCs w:val="1"/>
                <w:color w:val="auto"/>
              </w:rPr>
            </w:pPr>
          </w:p>
        </w:tc>
      </w:tr>
      <w:tr>
        <w:trPr>
          <w:trHeight w:val="216"/>
        </w:trPr>
        <w:tc>
          <w:tcPr>
            <w:tcW w:w="2640" w:type="dxa"/>
            <w:vAlign w:val="bottom"/>
          </w:tcPr>
          <w:p>
            <w:pPr>
              <w:ind w:left="480"/>
              <w:spacing w:after="0"/>
              <w:rPr>
                <w:sz w:val="20"/>
                <w:szCs w:val="20"/>
                <w:color w:val="auto"/>
              </w:rPr>
            </w:pPr>
            <w:r>
              <w:rPr>
                <w:rFonts w:ascii="Arial" w:cs="Arial" w:eastAsia="Arial" w:hAnsi="Arial"/>
                <w:sz w:val="16"/>
                <w:szCs w:val="16"/>
                <w:color w:val="auto"/>
              </w:rPr>
              <w:t>Equity companies</w:t>
            </w:r>
          </w:p>
        </w:tc>
        <w:tc>
          <w:tcPr>
            <w:tcW w:w="760" w:type="dxa"/>
            <w:vAlign w:val="bottom"/>
          </w:tcPr>
          <w:p>
            <w:pPr>
              <w:jc w:val="right"/>
              <w:ind w:right="60"/>
              <w:spacing w:after="0"/>
              <w:rPr>
                <w:sz w:val="20"/>
                <w:szCs w:val="20"/>
                <w:color w:val="auto"/>
              </w:rPr>
            </w:pPr>
            <w:r>
              <w:rPr>
                <w:rFonts w:ascii="Arial" w:cs="Arial" w:eastAsia="Arial" w:hAnsi="Arial"/>
                <w:sz w:val="16"/>
                <w:szCs w:val="16"/>
                <w:color w:val="auto"/>
              </w:rPr>
              <w:t>24</w:t>
            </w:r>
          </w:p>
        </w:tc>
        <w:tc>
          <w:tcPr>
            <w:tcW w:w="8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00"/>
              <w:spacing w:after="0"/>
              <w:rPr>
                <w:sz w:val="20"/>
                <w:szCs w:val="20"/>
                <w:color w:val="auto"/>
              </w:rPr>
            </w:pPr>
            <w:r>
              <w:rPr>
                <w:rFonts w:ascii="Arial" w:cs="Arial" w:eastAsia="Arial" w:hAnsi="Arial"/>
                <w:sz w:val="16"/>
                <w:szCs w:val="16"/>
                <w:color w:val="auto"/>
              </w:rPr>
              <w:t>1</w:t>
            </w:r>
          </w:p>
        </w:tc>
        <w:tc>
          <w:tcPr>
            <w:tcW w:w="820" w:type="dxa"/>
            <w:vAlign w:val="bottom"/>
          </w:tcPr>
          <w:p>
            <w:pPr>
              <w:jc w:val="right"/>
              <w:ind w:right="120"/>
              <w:spacing w:after="0"/>
              <w:rPr>
                <w:sz w:val="20"/>
                <w:szCs w:val="20"/>
                <w:color w:val="auto"/>
              </w:rPr>
            </w:pPr>
            <w:r>
              <w:rPr>
                <w:rFonts w:ascii="Arial" w:cs="Arial" w:eastAsia="Arial" w:hAnsi="Arial"/>
                <w:sz w:val="16"/>
                <w:szCs w:val="16"/>
                <w:color w:val="auto"/>
              </w:rPr>
              <w:t>6</w:t>
            </w:r>
          </w:p>
        </w:tc>
        <w:tc>
          <w:tcPr>
            <w:tcW w:w="740" w:type="dxa"/>
            <w:vAlign w:val="bottom"/>
          </w:tcPr>
          <w:p>
            <w:pPr>
              <w:jc w:val="right"/>
              <w:ind w:right="60"/>
              <w:spacing w:after="0"/>
              <w:rPr>
                <w:sz w:val="20"/>
                <w:szCs w:val="20"/>
                <w:color w:val="auto"/>
              </w:rPr>
            </w:pPr>
            <w:r>
              <w:rPr>
                <w:rFonts w:ascii="Arial" w:cs="Arial" w:eastAsia="Arial" w:hAnsi="Arial"/>
                <w:sz w:val="16"/>
                <w:szCs w:val="16"/>
                <w:color w:val="auto"/>
              </w:rPr>
              <w:t>452</w:t>
            </w:r>
          </w:p>
        </w:tc>
        <w:tc>
          <w:tcPr>
            <w:tcW w:w="102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483</w:t>
            </w:r>
          </w:p>
        </w:tc>
        <w:tc>
          <w:tcPr>
            <w:tcW w:w="3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483</w:t>
            </w:r>
          </w:p>
        </w:tc>
        <w:tc>
          <w:tcPr>
            <w:tcW w:w="0" w:type="dxa"/>
            <w:vAlign w:val="bottom"/>
          </w:tcPr>
          <w:p>
            <w:pPr>
              <w:spacing w:after="0"/>
              <w:rPr>
                <w:sz w:val="1"/>
                <w:szCs w:val="1"/>
                <w:color w:val="auto"/>
              </w:rPr>
            </w:pPr>
          </w:p>
        </w:tc>
      </w:tr>
      <w:tr>
        <w:trPr>
          <w:trHeight w:val="152"/>
        </w:trPr>
        <w:tc>
          <w:tcPr>
            <w:tcW w:w="2640" w:type="dxa"/>
            <w:vAlign w:val="bottom"/>
          </w:tcPr>
          <w:p>
            <w:pPr>
              <w:ind w:left="20"/>
              <w:spacing w:after="0" w:line="152" w:lineRule="exact"/>
              <w:rPr>
                <w:sz w:val="20"/>
                <w:szCs w:val="20"/>
                <w:color w:val="auto"/>
              </w:rPr>
            </w:pPr>
            <w:r>
              <w:rPr>
                <w:rFonts w:ascii="Arial" w:cs="Arial" w:eastAsia="Arial" w:hAnsi="Arial"/>
                <w:sz w:val="16"/>
                <w:szCs w:val="16"/>
                <w:color w:val="auto"/>
              </w:rPr>
              <w:t>Total liquids proved reserves at</w:t>
            </w:r>
          </w:p>
        </w:tc>
        <w:tc>
          <w:tcPr>
            <w:tcW w:w="760" w:type="dxa"/>
            <w:vAlign w:val="bottom"/>
            <w:tcBorders>
              <w:top w:val="single" w:sz="8" w:color="auto"/>
            </w:tcBorders>
            <w:vMerge w:val="restart"/>
          </w:tcPr>
          <w:p>
            <w:pPr>
              <w:jc w:val="right"/>
              <w:ind w:right="60"/>
              <w:spacing w:after="0"/>
              <w:rPr>
                <w:sz w:val="20"/>
                <w:szCs w:val="20"/>
                <w:color w:val="auto"/>
              </w:rPr>
            </w:pPr>
            <w:r>
              <w:rPr>
                <w:rFonts w:ascii="Arial" w:cs="Arial" w:eastAsia="Arial" w:hAnsi="Arial"/>
                <w:sz w:val="16"/>
                <w:szCs w:val="16"/>
                <w:color w:val="auto"/>
              </w:rPr>
              <w:t>2,950</w:t>
            </w:r>
          </w:p>
        </w:tc>
        <w:tc>
          <w:tcPr>
            <w:tcW w:w="860" w:type="dxa"/>
            <w:vAlign w:val="bottom"/>
            <w:tcBorders>
              <w:top w:val="single" w:sz="8" w:color="auto"/>
            </w:tcBorders>
            <w:vMerge w:val="restart"/>
          </w:tcPr>
          <w:p>
            <w:pPr>
              <w:jc w:val="right"/>
              <w:ind w:right="61"/>
              <w:spacing w:after="0"/>
              <w:rPr>
                <w:sz w:val="20"/>
                <w:szCs w:val="20"/>
                <w:color w:val="auto"/>
              </w:rPr>
            </w:pPr>
            <w:r>
              <w:rPr>
                <w:rFonts w:ascii="Arial" w:cs="Arial" w:eastAsia="Arial" w:hAnsi="Arial"/>
                <w:sz w:val="16"/>
                <w:szCs w:val="16"/>
                <w:color w:val="auto"/>
              </w:rPr>
              <w:t>502</w:t>
            </w:r>
          </w:p>
        </w:tc>
        <w:tc>
          <w:tcPr>
            <w:tcW w:w="820" w:type="dxa"/>
            <w:vAlign w:val="bottom"/>
            <w:tcBorders>
              <w:top w:val="single" w:sz="8" w:color="auto"/>
            </w:tcBorders>
            <w:vMerge w:val="restart"/>
          </w:tcPr>
          <w:p>
            <w:pPr>
              <w:jc w:val="right"/>
              <w:ind w:right="100"/>
              <w:spacing w:after="0"/>
              <w:rPr>
                <w:sz w:val="20"/>
                <w:szCs w:val="20"/>
                <w:color w:val="auto"/>
              </w:rPr>
            </w:pPr>
            <w:r>
              <w:rPr>
                <w:rFonts w:ascii="Arial" w:cs="Arial" w:eastAsia="Arial" w:hAnsi="Arial"/>
                <w:sz w:val="16"/>
                <w:szCs w:val="16"/>
                <w:color w:val="auto"/>
              </w:rPr>
              <w:t>38</w:t>
            </w:r>
          </w:p>
        </w:tc>
        <w:tc>
          <w:tcPr>
            <w:tcW w:w="820" w:type="dxa"/>
            <w:vAlign w:val="bottom"/>
            <w:tcBorders>
              <w:top w:val="single" w:sz="8" w:color="auto"/>
            </w:tcBorders>
            <w:vMerge w:val="restart"/>
          </w:tcPr>
          <w:p>
            <w:pPr>
              <w:jc w:val="right"/>
              <w:ind w:right="120"/>
              <w:spacing w:after="0"/>
              <w:rPr>
                <w:sz w:val="20"/>
                <w:szCs w:val="20"/>
                <w:color w:val="auto"/>
              </w:rPr>
            </w:pPr>
            <w:r>
              <w:rPr>
                <w:rFonts w:ascii="Arial" w:cs="Arial" w:eastAsia="Arial" w:hAnsi="Arial"/>
                <w:sz w:val="16"/>
                <w:szCs w:val="16"/>
                <w:color w:val="auto"/>
              </w:rPr>
              <w:t>393</w:t>
            </w:r>
          </w:p>
        </w:tc>
        <w:tc>
          <w:tcPr>
            <w:tcW w:w="740" w:type="dxa"/>
            <w:vAlign w:val="bottom"/>
            <w:tcBorders>
              <w:top w:val="single" w:sz="8" w:color="auto"/>
            </w:tcBorders>
            <w:vMerge w:val="restart"/>
          </w:tcPr>
          <w:p>
            <w:pPr>
              <w:jc w:val="right"/>
              <w:ind w:right="60"/>
              <w:spacing w:after="0"/>
              <w:rPr>
                <w:sz w:val="20"/>
                <w:szCs w:val="20"/>
                <w:color w:val="auto"/>
              </w:rPr>
            </w:pPr>
            <w:r>
              <w:rPr>
                <w:rFonts w:ascii="Arial" w:cs="Arial" w:eastAsia="Arial" w:hAnsi="Arial"/>
                <w:sz w:val="16"/>
                <w:szCs w:val="16"/>
                <w:color w:val="auto"/>
              </w:rPr>
              <w:t>4,372</w:t>
            </w:r>
          </w:p>
        </w:tc>
        <w:tc>
          <w:tcPr>
            <w:tcW w:w="1020" w:type="dxa"/>
            <w:vAlign w:val="bottom"/>
            <w:tcBorders>
              <w:top w:val="single" w:sz="8" w:color="auto"/>
            </w:tcBorders>
            <w:vMerge w:val="restart"/>
          </w:tcPr>
          <w:p>
            <w:pPr>
              <w:jc w:val="right"/>
              <w:ind w:right="180"/>
              <w:spacing w:after="0"/>
              <w:rPr>
                <w:sz w:val="20"/>
                <w:szCs w:val="20"/>
                <w:color w:val="auto"/>
              </w:rPr>
            </w:pPr>
            <w:r>
              <w:rPr>
                <w:rFonts w:ascii="Arial" w:cs="Arial" w:eastAsia="Arial" w:hAnsi="Arial"/>
                <w:sz w:val="16"/>
                <w:szCs w:val="16"/>
                <w:color w:val="auto"/>
              </w:rPr>
              <w:t>105</w:t>
            </w:r>
          </w:p>
        </w:tc>
        <w:tc>
          <w:tcPr>
            <w:tcW w:w="6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8,360</w:t>
            </w:r>
          </w:p>
        </w:tc>
        <w:tc>
          <w:tcPr>
            <w:tcW w:w="340" w:type="dxa"/>
            <w:vAlign w:val="bottom"/>
          </w:tcPr>
          <w:p>
            <w:pPr>
              <w:spacing w:after="0"/>
              <w:rPr>
                <w:sz w:val="13"/>
                <w:szCs w:val="13"/>
                <w:color w:val="auto"/>
              </w:rPr>
            </w:pPr>
          </w:p>
        </w:tc>
        <w:tc>
          <w:tcPr>
            <w:tcW w:w="7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13"/>
                <w:szCs w:val="13"/>
                <w:color w:val="auto"/>
              </w:rPr>
            </w:pP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444</w:t>
            </w:r>
          </w:p>
        </w:tc>
        <w:tc>
          <w:tcPr>
            <w:tcW w:w="120" w:type="dxa"/>
            <w:vAlign w:val="bottom"/>
          </w:tcPr>
          <w:p>
            <w:pPr>
              <w:spacing w:after="0"/>
              <w:rPr>
                <w:sz w:val="13"/>
                <w:szCs w:val="13"/>
                <w:color w:val="auto"/>
              </w:rPr>
            </w:pP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8,885</w:t>
            </w:r>
          </w:p>
        </w:tc>
        <w:tc>
          <w:tcPr>
            <w:tcW w:w="0" w:type="dxa"/>
            <w:vAlign w:val="bottom"/>
          </w:tcPr>
          <w:p>
            <w:pPr>
              <w:spacing w:after="0"/>
              <w:rPr>
                <w:sz w:val="1"/>
                <w:szCs w:val="1"/>
                <w:color w:val="auto"/>
              </w:rPr>
            </w:pPr>
          </w:p>
        </w:tc>
      </w:tr>
      <w:tr>
        <w:trPr>
          <w:trHeight w:val="211"/>
        </w:trPr>
        <w:tc>
          <w:tcPr>
            <w:tcW w:w="2640" w:type="dxa"/>
            <w:vAlign w:val="bottom"/>
          </w:tcPr>
          <w:p>
            <w:pPr>
              <w:ind w:left="180"/>
              <w:spacing w:after="0"/>
              <w:rPr>
                <w:sz w:val="20"/>
                <w:szCs w:val="20"/>
                <w:color w:val="auto"/>
              </w:rPr>
            </w:pPr>
            <w:r>
              <w:rPr>
                <w:rFonts w:ascii="Arial" w:cs="Arial" w:eastAsia="Arial" w:hAnsi="Arial"/>
                <w:sz w:val="16"/>
                <w:szCs w:val="16"/>
                <w:color w:val="auto"/>
              </w:rPr>
              <w:t>December 31, 2020</w:t>
            </w:r>
          </w:p>
        </w:tc>
        <w:tc>
          <w:tcPr>
            <w:tcW w:w="760" w:type="dxa"/>
            <w:vAlign w:val="bottom"/>
            <w:tcBorders>
              <w:bottom w:val="single" w:sz="8" w:color="auto"/>
            </w:tcBorders>
            <w:vMerge w:val="continue"/>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68"/>
        </w:trPr>
        <w:tc>
          <w:tcPr>
            <w:tcW w:w="2640" w:type="dxa"/>
            <w:vAlign w:val="bottom"/>
          </w:tcPr>
          <w:p>
            <w:pPr>
              <w:ind w:left="20"/>
              <w:spacing w:after="0"/>
              <w:rPr>
                <w:sz w:val="20"/>
                <w:szCs w:val="20"/>
                <w:color w:val="auto"/>
              </w:rPr>
            </w:pPr>
            <w:r>
              <w:rPr>
                <w:rFonts w:ascii="Arial" w:cs="Arial" w:eastAsia="Arial" w:hAnsi="Arial"/>
                <w:sz w:val="16"/>
                <w:szCs w:val="16"/>
                <w:color w:val="auto"/>
              </w:rPr>
              <w:t>Proved developed reserves, as of</w:t>
            </w: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640" w:type="dxa"/>
            <w:vAlign w:val="bottom"/>
          </w:tcPr>
          <w:p>
            <w:pPr>
              <w:ind w:left="180"/>
              <w:spacing w:after="0"/>
              <w:rPr>
                <w:sz w:val="20"/>
                <w:szCs w:val="20"/>
                <w:color w:val="auto"/>
              </w:rPr>
            </w:pPr>
            <w:r>
              <w:rPr>
                <w:rFonts w:ascii="Arial" w:cs="Arial" w:eastAsia="Arial" w:hAnsi="Arial"/>
                <w:sz w:val="16"/>
                <w:szCs w:val="16"/>
                <w:color w:val="auto"/>
              </w:rPr>
              <w:t>December 31, 2021</w:t>
            </w:r>
          </w:p>
        </w:tc>
        <w:tc>
          <w:tcPr>
            <w:tcW w:w="7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40" w:type="dxa"/>
            <w:vAlign w:val="bottom"/>
          </w:tcPr>
          <w:p>
            <w:pPr>
              <w:ind w:left="480"/>
              <w:spacing w:after="0"/>
              <w:rPr>
                <w:sz w:val="20"/>
                <w:szCs w:val="20"/>
                <w:color w:val="auto"/>
              </w:rPr>
            </w:pPr>
            <w:r>
              <w:rPr>
                <w:rFonts w:ascii="Arial" w:cs="Arial" w:eastAsia="Arial" w:hAnsi="Arial"/>
                <w:sz w:val="16"/>
                <w:szCs w:val="16"/>
                <w:color w:val="auto"/>
              </w:rPr>
              <w:t>Consolidated subsidiaries</w:t>
            </w:r>
          </w:p>
        </w:tc>
        <w:tc>
          <w:tcPr>
            <w:tcW w:w="760" w:type="dxa"/>
            <w:vAlign w:val="bottom"/>
          </w:tcPr>
          <w:p>
            <w:pPr>
              <w:jc w:val="right"/>
              <w:ind w:right="60"/>
              <w:spacing w:after="0"/>
              <w:rPr>
                <w:sz w:val="20"/>
                <w:szCs w:val="20"/>
                <w:color w:val="auto"/>
              </w:rPr>
            </w:pPr>
            <w:r>
              <w:rPr>
                <w:rFonts w:ascii="Arial" w:cs="Arial" w:eastAsia="Arial" w:hAnsi="Arial"/>
                <w:sz w:val="16"/>
                <w:szCs w:val="16"/>
                <w:color w:val="auto"/>
              </w:rPr>
              <w:t>1,663</w:t>
            </w:r>
          </w:p>
        </w:tc>
        <w:tc>
          <w:tcPr>
            <w:tcW w:w="860" w:type="dxa"/>
            <w:vAlign w:val="bottom"/>
          </w:tcPr>
          <w:p>
            <w:pPr>
              <w:jc w:val="right"/>
              <w:ind w:right="61"/>
              <w:spacing w:after="0"/>
              <w:rPr>
                <w:sz w:val="20"/>
                <w:szCs w:val="20"/>
                <w:color w:val="auto"/>
              </w:rPr>
            </w:pPr>
            <w:r>
              <w:rPr>
                <w:rFonts w:ascii="Arial" w:cs="Arial" w:eastAsia="Arial" w:hAnsi="Arial"/>
                <w:sz w:val="16"/>
                <w:szCs w:val="16"/>
                <w:color w:val="auto"/>
              </w:rPr>
              <w:t>268</w:t>
            </w:r>
          </w:p>
        </w:tc>
        <w:tc>
          <w:tcPr>
            <w:tcW w:w="820" w:type="dxa"/>
            <w:vAlign w:val="bottom"/>
          </w:tcPr>
          <w:p>
            <w:pPr>
              <w:jc w:val="right"/>
              <w:ind w:right="100"/>
              <w:spacing w:after="0"/>
              <w:rPr>
                <w:sz w:val="20"/>
                <w:szCs w:val="20"/>
                <w:color w:val="auto"/>
              </w:rPr>
            </w:pPr>
            <w:r>
              <w:rPr>
                <w:rFonts w:ascii="Arial" w:cs="Arial" w:eastAsia="Arial" w:hAnsi="Arial"/>
                <w:sz w:val="16"/>
                <w:szCs w:val="16"/>
                <w:color w:val="auto"/>
              </w:rPr>
              <w:t>3</w:t>
            </w:r>
          </w:p>
        </w:tc>
        <w:tc>
          <w:tcPr>
            <w:tcW w:w="820" w:type="dxa"/>
            <w:vAlign w:val="bottom"/>
          </w:tcPr>
          <w:p>
            <w:pPr>
              <w:jc w:val="right"/>
              <w:ind w:right="120"/>
              <w:spacing w:after="0"/>
              <w:rPr>
                <w:sz w:val="20"/>
                <w:szCs w:val="20"/>
                <w:color w:val="auto"/>
              </w:rPr>
            </w:pPr>
            <w:r>
              <w:rPr>
                <w:rFonts w:ascii="Arial" w:cs="Arial" w:eastAsia="Arial" w:hAnsi="Arial"/>
                <w:sz w:val="16"/>
                <w:szCs w:val="16"/>
                <w:color w:val="auto"/>
              </w:rPr>
              <w:t>330</w:t>
            </w:r>
          </w:p>
        </w:tc>
        <w:tc>
          <w:tcPr>
            <w:tcW w:w="740" w:type="dxa"/>
            <w:vAlign w:val="bottom"/>
          </w:tcPr>
          <w:p>
            <w:pPr>
              <w:jc w:val="right"/>
              <w:ind w:right="60"/>
              <w:spacing w:after="0"/>
              <w:rPr>
                <w:sz w:val="20"/>
                <w:szCs w:val="20"/>
                <w:color w:val="auto"/>
              </w:rPr>
            </w:pPr>
            <w:r>
              <w:rPr>
                <w:rFonts w:ascii="Arial" w:cs="Arial" w:eastAsia="Arial" w:hAnsi="Arial"/>
                <w:sz w:val="16"/>
                <w:szCs w:val="16"/>
                <w:color w:val="auto"/>
              </w:rPr>
              <w:t>2,154</w:t>
            </w:r>
          </w:p>
        </w:tc>
        <w:tc>
          <w:tcPr>
            <w:tcW w:w="1020" w:type="dxa"/>
            <w:vAlign w:val="bottom"/>
          </w:tcPr>
          <w:p>
            <w:pPr>
              <w:jc w:val="right"/>
              <w:ind w:right="180"/>
              <w:spacing w:after="0"/>
              <w:rPr>
                <w:sz w:val="20"/>
                <w:szCs w:val="20"/>
                <w:color w:val="auto"/>
              </w:rPr>
            </w:pPr>
            <w:r>
              <w:rPr>
                <w:rFonts w:ascii="Arial" w:cs="Arial" w:eastAsia="Arial" w:hAnsi="Arial"/>
                <w:sz w:val="16"/>
                <w:szCs w:val="16"/>
                <w:color w:val="auto"/>
              </w:rPr>
              <w:t>63</w:t>
            </w:r>
          </w:p>
        </w:tc>
        <w:tc>
          <w:tcPr>
            <w:tcW w:w="660" w:type="dxa"/>
            <w:vAlign w:val="bottom"/>
          </w:tcPr>
          <w:p>
            <w:pPr>
              <w:jc w:val="right"/>
              <w:spacing w:after="0"/>
              <w:rPr>
                <w:sz w:val="20"/>
                <w:szCs w:val="20"/>
                <w:color w:val="auto"/>
              </w:rPr>
            </w:pPr>
            <w:r>
              <w:rPr>
                <w:rFonts w:ascii="Arial" w:cs="Arial" w:eastAsia="Arial" w:hAnsi="Arial"/>
                <w:sz w:val="16"/>
                <w:szCs w:val="16"/>
                <w:color w:val="auto"/>
              </w:rPr>
              <w:t>4,481</w:t>
            </w: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2,635</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326</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7,442</w:t>
            </w:r>
          </w:p>
        </w:tc>
        <w:tc>
          <w:tcPr>
            <w:tcW w:w="0" w:type="dxa"/>
            <w:vAlign w:val="bottom"/>
          </w:tcPr>
          <w:p>
            <w:pPr>
              <w:spacing w:after="0"/>
              <w:rPr>
                <w:sz w:val="1"/>
                <w:szCs w:val="1"/>
                <w:color w:val="auto"/>
              </w:rPr>
            </w:pPr>
          </w:p>
        </w:tc>
      </w:tr>
      <w:tr>
        <w:trPr>
          <w:trHeight w:val="216"/>
        </w:trPr>
        <w:tc>
          <w:tcPr>
            <w:tcW w:w="2640" w:type="dxa"/>
            <w:vAlign w:val="bottom"/>
          </w:tcPr>
          <w:p>
            <w:pPr>
              <w:ind w:left="480"/>
              <w:spacing w:after="0"/>
              <w:rPr>
                <w:sz w:val="20"/>
                <w:szCs w:val="20"/>
                <w:color w:val="auto"/>
              </w:rPr>
            </w:pPr>
            <w:r>
              <w:rPr>
                <w:rFonts w:ascii="Arial" w:cs="Arial" w:eastAsia="Arial" w:hAnsi="Arial"/>
                <w:sz w:val="16"/>
                <w:szCs w:val="16"/>
                <w:color w:val="auto"/>
              </w:rPr>
              <w:t>Equity companies</w:t>
            </w:r>
          </w:p>
        </w:tc>
        <w:tc>
          <w:tcPr>
            <w:tcW w:w="760" w:type="dxa"/>
            <w:vAlign w:val="bottom"/>
          </w:tcPr>
          <w:p>
            <w:pPr>
              <w:jc w:val="right"/>
              <w:ind w:right="60"/>
              <w:spacing w:after="0"/>
              <w:rPr>
                <w:sz w:val="20"/>
                <w:szCs w:val="20"/>
                <w:color w:val="auto"/>
              </w:rPr>
            </w:pPr>
            <w:r>
              <w:rPr>
                <w:rFonts w:ascii="Arial" w:cs="Arial" w:eastAsia="Arial" w:hAnsi="Arial"/>
                <w:sz w:val="16"/>
                <w:szCs w:val="16"/>
                <w:color w:val="auto"/>
              </w:rPr>
              <w:t>133</w:t>
            </w:r>
          </w:p>
        </w:tc>
        <w:tc>
          <w:tcPr>
            <w:tcW w:w="8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00"/>
              <w:spacing w:after="0"/>
              <w:rPr>
                <w:sz w:val="20"/>
                <w:szCs w:val="20"/>
                <w:color w:val="auto"/>
              </w:rPr>
            </w:pPr>
            <w:r>
              <w:rPr>
                <w:rFonts w:ascii="Arial" w:cs="Arial" w:eastAsia="Arial" w:hAnsi="Arial"/>
                <w:sz w:val="16"/>
                <w:szCs w:val="16"/>
                <w:color w:val="auto"/>
              </w:rPr>
              <w:t>10</w:t>
            </w:r>
          </w:p>
        </w:tc>
        <w:tc>
          <w:tcPr>
            <w:tcW w:w="82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60"/>
              <w:spacing w:after="0"/>
              <w:rPr>
                <w:sz w:val="20"/>
                <w:szCs w:val="20"/>
                <w:color w:val="auto"/>
              </w:rPr>
            </w:pPr>
            <w:r>
              <w:rPr>
                <w:rFonts w:ascii="Arial" w:cs="Arial" w:eastAsia="Arial" w:hAnsi="Arial"/>
                <w:sz w:val="16"/>
                <w:szCs w:val="16"/>
                <w:color w:val="auto"/>
              </w:rPr>
              <w:t>474</w:t>
            </w:r>
          </w:p>
        </w:tc>
        <w:tc>
          <w:tcPr>
            <w:tcW w:w="102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617</w:t>
            </w:r>
          </w:p>
        </w:tc>
        <w:tc>
          <w:tcPr>
            <w:tcW w:w="3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617</w:t>
            </w:r>
          </w:p>
        </w:tc>
        <w:tc>
          <w:tcPr>
            <w:tcW w:w="0" w:type="dxa"/>
            <w:vAlign w:val="bottom"/>
          </w:tcPr>
          <w:p>
            <w:pPr>
              <w:spacing w:after="0"/>
              <w:rPr>
                <w:sz w:val="1"/>
                <w:szCs w:val="1"/>
                <w:color w:val="auto"/>
              </w:rPr>
            </w:pPr>
          </w:p>
        </w:tc>
      </w:tr>
      <w:tr>
        <w:trPr>
          <w:trHeight w:val="388"/>
        </w:trPr>
        <w:tc>
          <w:tcPr>
            <w:tcW w:w="2640" w:type="dxa"/>
            <w:vAlign w:val="bottom"/>
          </w:tcPr>
          <w:p>
            <w:pPr>
              <w:ind w:left="20"/>
              <w:spacing w:after="0"/>
              <w:rPr>
                <w:sz w:val="20"/>
                <w:szCs w:val="20"/>
                <w:color w:val="auto"/>
              </w:rPr>
            </w:pPr>
            <w:r>
              <w:rPr>
                <w:rFonts w:ascii="Arial" w:cs="Arial" w:eastAsia="Arial" w:hAnsi="Arial"/>
                <w:sz w:val="16"/>
                <w:szCs w:val="16"/>
                <w:color w:val="auto"/>
              </w:rPr>
              <w:t>Proved undeveloped reserves, as of</w:t>
            </w: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640" w:type="dxa"/>
            <w:vAlign w:val="bottom"/>
          </w:tcPr>
          <w:p>
            <w:pPr>
              <w:ind w:left="180"/>
              <w:spacing w:after="0"/>
              <w:rPr>
                <w:sz w:val="20"/>
                <w:szCs w:val="20"/>
                <w:color w:val="auto"/>
              </w:rPr>
            </w:pPr>
            <w:r>
              <w:rPr>
                <w:rFonts w:ascii="Arial" w:cs="Arial" w:eastAsia="Arial" w:hAnsi="Arial"/>
                <w:sz w:val="16"/>
                <w:szCs w:val="16"/>
                <w:color w:val="auto"/>
              </w:rPr>
              <w:t>December 31, 2021</w:t>
            </w:r>
          </w:p>
        </w:tc>
        <w:tc>
          <w:tcPr>
            <w:tcW w:w="7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40" w:type="dxa"/>
            <w:vAlign w:val="bottom"/>
          </w:tcPr>
          <w:p>
            <w:pPr>
              <w:ind w:left="480"/>
              <w:spacing w:after="0"/>
              <w:rPr>
                <w:sz w:val="20"/>
                <w:szCs w:val="20"/>
                <w:color w:val="auto"/>
              </w:rPr>
            </w:pPr>
            <w:r>
              <w:rPr>
                <w:rFonts w:ascii="Arial" w:cs="Arial" w:eastAsia="Arial" w:hAnsi="Arial"/>
                <w:sz w:val="16"/>
                <w:szCs w:val="16"/>
                <w:color w:val="auto"/>
              </w:rPr>
              <w:t>Consolidated subsidiaries</w:t>
            </w:r>
          </w:p>
        </w:tc>
        <w:tc>
          <w:tcPr>
            <w:tcW w:w="760" w:type="dxa"/>
            <w:vAlign w:val="bottom"/>
          </w:tcPr>
          <w:p>
            <w:pPr>
              <w:jc w:val="right"/>
              <w:ind w:right="60"/>
              <w:spacing w:after="0"/>
              <w:rPr>
                <w:sz w:val="20"/>
                <w:szCs w:val="20"/>
                <w:color w:val="auto"/>
              </w:rPr>
            </w:pPr>
            <w:r>
              <w:rPr>
                <w:rFonts w:ascii="Arial" w:cs="Arial" w:eastAsia="Arial" w:hAnsi="Arial"/>
                <w:sz w:val="16"/>
                <w:szCs w:val="16"/>
                <w:color w:val="auto"/>
              </w:rPr>
              <w:t>1,621</w:t>
            </w:r>
          </w:p>
        </w:tc>
        <w:tc>
          <w:tcPr>
            <w:tcW w:w="860" w:type="dxa"/>
            <w:vAlign w:val="bottom"/>
          </w:tcPr>
          <w:p>
            <w:pPr>
              <w:jc w:val="right"/>
              <w:ind w:right="61"/>
              <w:spacing w:after="0"/>
              <w:rPr>
                <w:sz w:val="20"/>
                <w:szCs w:val="20"/>
                <w:color w:val="auto"/>
              </w:rPr>
            </w:pPr>
            <w:r>
              <w:rPr>
                <w:rFonts w:ascii="Arial" w:cs="Arial" w:eastAsia="Arial" w:hAnsi="Arial"/>
                <w:sz w:val="16"/>
                <w:szCs w:val="16"/>
                <w:color w:val="auto"/>
              </w:rPr>
              <w:t>508</w:t>
            </w:r>
          </w:p>
        </w:tc>
        <w:tc>
          <w:tcPr>
            <w:tcW w:w="82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20"/>
              <w:spacing w:after="0"/>
              <w:rPr>
                <w:sz w:val="20"/>
                <w:szCs w:val="20"/>
                <w:color w:val="auto"/>
              </w:rPr>
            </w:pPr>
            <w:r>
              <w:rPr>
                <w:rFonts w:ascii="Arial" w:cs="Arial" w:eastAsia="Arial" w:hAnsi="Arial"/>
                <w:sz w:val="16"/>
                <w:szCs w:val="16"/>
                <w:color w:val="auto"/>
              </w:rPr>
              <w:t>31</w:t>
            </w:r>
          </w:p>
        </w:tc>
        <w:tc>
          <w:tcPr>
            <w:tcW w:w="740" w:type="dxa"/>
            <w:vAlign w:val="bottom"/>
          </w:tcPr>
          <w:p>
            <w:pPr>
              <w:jc w:val="right"/>
              <w:ind w:right="60"/>
              <w:spacing w:after="0"/>
              <w:rPr>
                <w:sz w:val="20"/>
                <w:szCs w:val="20"/>
                <w:color w:val="auto"/>
              </w:rPr>
            </w:pPr>
            <w:r>
              <w:rPr>
                <w:rFonts w:ascii="Arial" w:cs="Arial" w:eastAsia="Arial" w:hAnsi="Arial"/>
                <w:sz w:val="16"/>
                <w:szCs w:val="16"/>
                <w:color w:val="auto"/>
              </w:rPr>
              <w:t>988</w:t>
            </w:r>
          </w:p>
        </w:tc>
        <w:tc>
          <w:tcPr>
            <w:tcW w:w="1020" w:type="dxa"/>
            <w:vAlign w:val="bottom"/>
          </w:tcPr>
          <w:p>
            <w:pPr>
              <w:jc w:val="right"/>
              <w:ind w:right="180"/>
              <w:spacing w:after="0"/>
              <w:rPr>
                <w:sz w:val="20"/>
                <w:szCs w:val="20"/>
                <w:color w:val="auto"/>
              </w:rPr>
            </w:pPr>
            <w:r>
              <w:rPr>
                <w:rFonts w:ascii="Arial" w:cs="Arial" w:eastAsia="Arial" w:hAnsi="Arial"/>
                <w:sz w:val="16"/>
                <w:szCs w:val="16"/>
                <w:color w:val="auto"/>
              </w:rPr>
              <w:t>32</w:t>
            </w:r>
          </w:p>
        </w:tc>
        <w:tc>
          <w:tcPr>
            <w:tcW w:w="660" w:type="dxa"/>
            <w:vAlign w:val="bottom"/>
          </w:tcPr>
          <w:p>
            <w:pPr>
              <w:jc w:val="right"/>
              <w:spacing w:after="0"/>
              <w:rPr>
                <w:sz w:val="20"/>
                <w:szCs w:val="20"/>
                <w:color w:val="auto"/>
              </w:rPr>
            </w:pPr>
            <w:r>
              <w:rPr>
                <w:rFonts w:ascii="Arial" w:cs="Arial" w:eastAsia="Arial" w:hAnsi="Arial"/>
                <w:sz w:val="16"/>
                <w:szCs w:val="16"/>
                <w:color w:val="auto"/>
              </w:rPr>
              <w:t>3,180</w:t>
            </w: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259</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112</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3,551</w:t>
            </w:r>
          </w:p>
        </w:tc>
        <w:tc>
          <w:tcPr>
            <w:tcW w:w="0" w:type="dxa"/>
            <w:vAlign w:val="bottom"/>
          </w:tcPr>
          <w:p>
            <w:pPr>
              <w:spacing w:after="0"/>
              <w:rPr>
                <w:sz w:val="1"/>
                <w:szCs w:val="1"/>
                <w:color w:val="auto"/>
              </w:rPr>
            </w:pPr>
          </w:p>
        </w:tc>
      </w:tr>
      <w:tr>
        <w:trPr>
          <w:trHeight w:val="216"/>
        </w:trPr>
        <w:tc>
          <w:tcPr>
            <w:tcW w:w="2640" w:type="dxa"/>
            <w:vAlign w:val="bottom"/>
          </w:tcPr>
          <w:p>
            <w:pPr>
              <w:ind w:left="480"/>
              <w:spacing w:after="0"/>
              <w:rPr>
                <w:sz w:val="20"/>
                <w:szCs w:val="20"/>
                <w:color w:val="auto"/>
              </w:rPr>
            </w:pPr>
            <w:r>
              <w:rPr>
                <w:rFonts w:ascii="Arial" w:cs="Arial" w:eastAsia="Arial" w:hAnsi="Arial"/>
                <w:sz w:val="16"/>
                <w:szCs w:val="16"/>
                <w:color w:val="auto"/>
              </w:rPr>
              <w:t>Equity companies</w:t>
            </w:r>
          </w:p>
        </w:tc>
        <w:tc>
          <w:tcPr>
            <w:tcW w:w="760" w:type="dxa"/>
            <w:vAlign w:val="bottom"/>
          </w:tcPr>
          <w:p>
            <w:pPr>
              <w:jc w:val="right"/>
              <w:ind w:right="60"/>
              <w:spacing w:after="0"/>
              <w:rPr>
                <w:sz w:val="20"/>
                <w:szCs w:val="20"/>
                <w:color w:val="auto"/>
              </w:rPr>
            </w:pPr>
            <w:r>
              <w:rPr>
                <w:rFonts w:ascii="Arial" w:cs="Arial" w:eastAsia="Arial" w:hAnsi="Arial"/>
                <w:sz w:val="16"/>
                <w:szCs w:val="16"/>
                <w:color w:val="auto"/>
              </w:rPr>
              <w:t>28</w:t>
            </w:r>
          </w:p>
        </w:tc>
        <w:tc>
          <w:tcPr>
            <w:tcW w:w="8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20"/>
              <w:spacing w:after="0"/>
              <w:rPr>
                <w:sz w:val="20"/>
                <w:szCs w:val="20"/>
                <w:color w:val="auto"/>
              </w:rPr>
            </w:pPr>
            <w:r>
              <w:rPr>
                <w:rFonts w:ascii="Arial" w:cs="Arial" w:eastAsia="Arial" w:hAnsi="Arial"/>
                <w:sz w:val="16"/>
                <w:szCs w:val="16"/>
                <w:color w:val="auto"/>
              </w:rPr>
              <w:t>5</w:t>
            </w:r>
          </w:p>
        </w:tc>
        <w:tc>
          <w:tcPr>
            <w:tcW w:w="740" w:type="dxa"/>
            <w:vAlign w:val="bottom"/>
          </w:tcPr>
          <w:p>
            <w:pPr>
              <w:jc w:val="right"/>
              <w:ind w:right="60"/>
              <w:spacing w:after="0"/>
              <w:rPr>
                <w:sz w:val="20"/>
                <w:szCs w:val="20"/>
                <w:color w:val="auto"/>
              </w:rPr>
            </w:pPr>
            <w:r>
              <w:rPr>
                <w:rFonts w:ascii="Arial" w:cs="Arial" w:eastAsia="Arial" w:hAnsi="Arial"/>
                <w:sz w:val="16"/>
                <w:szCs w:val="16"/>
                <w:color w:val="auto"/>
              </w:rPr>
              <w:t>531</w:t>
            </w:r>
          </w:p>
        </w:tc>
        <w:tc>
          <w:tcPr>
            <w:tcW w:w="102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564</w:t>
            </w:r>
          </w:p>
        </w:tc>
        <w:tc>
          <w:tcPr>
            <w:tcW w:w="3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564</w:t>
            </w:r>
          </w:p>
        </w:tc>
        <w:tc>
          <w:tcPr>
            <w:tcW w:w="0" w:type="dxa"/>
            <w:vAlign w:val="bottom"/>
          </w:tcPr>
          <w:p>
            <w:pPr>
              <w:spacing w:after="0"/>
              <w:rPr>
                <w:sz w:val="1"/>
                <w:szCs w:val="1"/>
                <w:color w:val="auto"/>
              </w:rPr>
            </w:pPr>
          </w:p>
        </w:tc>
      </w:tr>
      <w:tr>
        <w:trPr>
          <w:trHeight w:val="152"/>
        </w:trPr>
        <w:tc>
          <w:tcPr>
            <w:tcW w:w="2640" w:type="dxa"/>
            <w:vAlign w:val="bottom"/>
          </w:tcPr>
          <w:p>
            <w:pPr>
              <w:ind w:left="20"/>
              <w:spacing w:after="0" w:line="152" w:lineRule="exact"/>
              <w:rPr>
                <w:sz w:val="20"/>
                <w:szCs w:val="20"/>
                <w:color w:val="auto"/>
              </w:rPr>
            </w:pPr>
            <w:r>
              <w:rPr>
                <w:rFonts w:ascii="Arial" w:cs="Arial" w:eastAsia="Arial" w:hAnsi="Arial"/>
                <w:sz w:val="16"/>
                <w:szCs w:val="16"/>
                <w:color w:val="auto"/>
              </w:rPr>
              <w:t>Total liquids proved reserves at</w:t>
            </w:r>
          </w:p>
        </w:tc>
        <w:tc>
          <w:tcPr>
            <w:tcW w:w="760" w:type="dxa"/>
            <w:vAlign w:val="bottom"/>
            <w:tcBorders>
              <w:top w:val="single" w:sz="8" w:color="auto"/>
            </w:tcBorders>
            <w:vMerge w:val="restart"/>
          </w:tcPr>
          <w:p>
            <w:pPr>
              <w:jc w:val="right"/>
              <w:ind w:right="60"/>
              <w:spacing w:after="0"/>
              <w:rPr>
                <w:sz w:val="20"/>
                <w:szCs w:val="20"/>
                <w:color w:val="auto"/>
              </w:rPr>
            </w:pPr>
            <w:r>
              <w:rPr>
                <w:rFonts w:ascii="Arial" w:cs="Arial" w:eastAsia="Arial" w:hAnsi="Arial"/>
                <w:sz w:val="16"/>
                <w:szCs w:val="16"/>
                <w:color w:val="auto"/>
              </w:rPr>
              <w:t>3,445</w:t>
            </w:r>
          </w:p>
        </w:tc>
        <w:tc>
          <w:tcPr>
            <w:tcW w:w="860" w:type="dxa"/>
            <w:vAlign w:val="bottom"/>
            <w:tcBorders>
              <w:top w:val="single" w:sz="8" w:color="auto"/>
            </w:tcBorders>
            <w:vMerge w:val="restart"/>
          </w:tcPr>
          <w:p>
            <w:pPr>
              <w:jc w:val="right"/>
              <w:ind w:right="61"/>
              <w:spacing w:after="0"/>
              <w:rPr>
                <w:sz w:val="20"/>
                <w:szCs w:val="20"/>
                <w:color w:val="auto"/>
              </w:rPr>
            </w:pPr>
            <w:r>
              <w:rPr>
                <w:rFonts w:ascii="Arial" w:cs="Arial" w:eastAsia="Arial" w:hAnsi="Arial"/>
                <w:sz w:val="16"/>
                <w:szCs w:val="16"/>
                <w:color w:val="auto"/>
              </w:rPr>
              <w:t>776</w:t>
            </w:r>
          </w:p>
        </w:tc>
        <w:tc>
          <w:tcPr>
            <w:tcW w:w="820" w:type="dxa"/>
            <w:vAlign w:val="bottom"/>
            <w:tcBorders>
              <w:top w:val="single" w:sz="8" w:color="auto"/>
            </w:tcBorders>
            <w:vMerge w:val="restart"/>
          </w:tcPr>
          <w:p>
            <w:pPr>
              <w:jc w:val="right"/>
              <w:ind w:right="100"/>
              <w:spacing w:after="0"/>
              <w:rPr>
                <w:sz w:val="20"/>
                <w:szCs w:val="20"/>
                <w:color w:val="auto"/>
              </w:rPr>
            </w:pPr>
            <w:r>
              <w:rPr>
                <w:rFonts w:ascii="Arial" w:cs="Arial" w:eastAsia="Arial" w:hAnsi="Arial"/>
                <w:sz w:val="16"/>
                <w:szCs w:val="16"/>
                <w:color w:val="auto"/>
              </w:rPr>
              <w:t>13</w:t>
            </w:r>
          </w:p>
        </w:tc>
        <w:tc>
          <w:tcPr>
            <w:tcW w:w="820" w:type="dxa"/>
            <w:vAlign w:val="bottom"/>
            <w:tcBorders>
              <w:top w:val="single" w:sz="8" w:color="auto"/>
            </w:tcBorders>
            <w:vMerge w:val="restart"/>
          </w:tcPr>
          <w:p>
            <w:pPr>
              <w:jc w:val="right"/>
              <w:ind w:right="120"/>
              <w:spacing w:after="0"/>
              <w:rPr>
                <w:sz w:val="20"/>
                <w:szCs w:val="20"/>
                <w:color w:val="auto"/>
              </w:rPr>
            </w:pPr>
            <w:r>
              <w:rPr>
                <w:rFonts w:ascii="Arial" w:cs="Arial" w:eastAsia="Arial" w:hAnsi="Arial"/>
                <w:sz w:val="16"/>
                <w:szCs w:val="16"/>
                <w:color w:val="auto"/>
              </w:rPr>
              <w:t>366</w:t>
            </w:r>
          </w:p>
        </w:tc>
        <w:tc>
          <w:tcPr>
            <w:tcW w:w="740" w:type="dxa"/>
            <w:vAlign w:val="bottom"/>
            <w:tcBorders>
              <w:top w:val="single" w:sz="8" w:color="auto"/>
            </w:tcBorders>
            <w:vMerge w:val="restart"/>
          </w:tcPr>
          <w:p>
            <w:pPr>
              <w:jc w:val="right"/>
              <w:ind w:right="60"/>
              <w:spacing w:after="0"/>
              <w:rPr>
                <w:sz w:val="20"/>
                <w:szCs w:val="20"/>
                <w:color w:val="auto"/>
              </w:rPr>
            </w:pPr>
            <w:r>
              <w:rPr>
                <w:rFonts w:ascii="Arial" w:cs="Arial" w:eastAsia="Arial" w:hAnsi="Arial"/>
                <w:sz w:val="16"/>
                <w:szCs w:val="16"/>
                <w:color w:val="auto"/>
              </w:rPr>
              <w:t>4,147</w:t>
            </w:r>
          </w:p>
        </w:tc>
        <w:tc>
          <w:tcPr>
            <w:tcW w:w="1020" w:type="dxa"/>
            <w:vAlign w:val="bottom"/>
            <w:tcBorders>
              <w:top w:val="single" w:sz="8" w:color="auto"/>
            </w:tcBorders>
            <w:vMerge w:val="restart"/>
          </w:tcPr>
          <w:p>
            <w:pPr>
              <w:jc w:val="right"/>
              <w:ind w:right="180"/>
              <w:spacing w:after="0"/>
              <w:rPr>
                <w:sz w:val="20"/>
                <w:szCs w:val="20"/>
                <w:color w:val="auto"/>
              </w:rPr>
            </w:pPr>
            <w:r>
              <w:rPr>
                <w:rFonts w:ascii="Arial" w:cs="Arial" w:eastAsia="Arial" w:hAnsi="Arial"/>
                <w:sz w:val="16"/>
                <w:szCs w:val="16"/>
                <w:color w:val="auto"/>
              </w:rPr>
              <w:t>95</w:t>
            </w:r>
          </w:p>
        </w:tc>
        <w:tc>
          <w:tcPr>
            <w:tcW w:w="6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8,842</w:t>
            </w:r>
          </w:p>
        </w:tc>
        <w:tc>
          <w:tcPr>
            <w:tcW w:w="340" w:type="dxa"/>
            <w:vAlign w:val="bottom"/>
            <w:vMerge w:val="restart"/>
          </w:tcPr>
          <w:p>
            <w:pPr>
              <w:jc w:val="right"/>
              <w:ind w:right="146"/>
              <w:spacing w:after="0"/>
              <w:rPr>
                <w:sz w:val="20"/>
                <w:szCs w:val="20"/>
                <w:color w:val="auto"/>
              </w:rPr>
            </w:pPr>
            <w:r>
              <w:rPr>
                <w:rFonts w:ascii="Arial" w:cs="Arial" w:eastAsia="Arial" w:hAnsi="Arial"/>
                <w:sz w:val="11"/>
                <w:szCs w:val="11"/>
                <w:i w:val="1"/>
                <w:iCs w:val="1"/>
                <w:color w:val="auto"/>
                <w:w w:val="88"/>
              </w:rPr>
              <w:t>(1)</w:t>
            </w:r>
          </w:p>
        </w:tc>
        <w:tc>
          <w:tcPr>
            <w:tcW w:w="7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2,894</w:t>
            </w:r>
          </w:p>
        </w:tc>
        <w:tc>
          <w:tcPr>
            <w:tcW w:w="100" w:type="dxa"/>
            <w:vAlign w:val="bottom"/>
          </w:tcPr>
          <w:p>
            <w:pPr>
              <w:spacing w:after="0"/>
              <w:rPr>
                <w:sz w:val="13"/>
                <w:szCs w:val="13"/>
                <w:color w:val="auto"/>
              </w:rPr>
            </w:pP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438</w:t>
            </w:r>
          </w:p>
        </w:tc>
        <w:tc>
          <w:tcPr>
            <w:tcW w:w="120" w:type="dxa"/>
            <w:vAlign w:val="bottom"/>
          </w:tcPr>
          <w:p>
            <w:pPr>
              <w:spacing w:after="0"/>
              <w:rPr>
                <w:sz w:val="13"/>
                <w:szCs w:val="13"/>
                <w:color w:val="auto"/>
              </w:rPr>
            </w:pP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12,174</w:t>
            </w:r>
          </w:p>
        </w:tc>
        <w:tc>
          <w:tcPr>
            <w:tcW w:w="0" w:type="dxa"/>
            <w:vAlign w:val="bottom"/>
          </w:tcPr>
          <w:p>
            <w:pPr>
              <w:spacing w:after="0"/>
              <w:rPr>
                <w:sz w:val="1"/>
                <w:szCs w:val="1"/>
                <w:color w:val="auto"/>
              </w:rPr>
            </w:pPr>
          </w:p>
        </w:tc>
      </w:tr>
      <w:tr>
        <w:trPr>
          <w:trHeight w:val="214"/>
        </w:trPr>
        <w:tc>
          <w:tcPr>
            <w:tcW w:w="2640" w:type="dxa"/>
            <w:vAlign w:val="bottom"/>
          </w:tcPr>
          <w:p>
            <w:pPr>
              <w:ind w:left="180"/>
              <w:spacing w:after="0"/>
              <w:rPr>
                <w:sz w:val="20"/>
                <w:szCs w:val="20"/>
                <w:color w:val="auto"/>
              </w:rPr>
            </w:pPr>
            <w:r>
              <w:rPr>
                <w:rFonts w:ascii="Arial" w:cs="Arial" w:eastAsia="Arial" w:hAnsi="Arial"/>
                <w:sz w:val="16"/>
                <w:szCs w:val="16"/>
                <w:color w:val="auto"/>
              </w:rPr>
              <w:t>December 31, 2021</w:t>
            </w:r>
          </w:p>
        </w:tc>
        <w:tc>
          <w:tcPr>
            <w:tcW w:w="760" w:type="dxa"/>
            <w:vAlign w:val="bottom"/>
            <w:tcBorders>
              <w:bottom w:val="single" w:sz="8" w:color="auto"/>
            </w:tcBorders>
            <w:vMerge w:val="continue"/>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340" w:type="dxa"/>
            <w:vAlign w:val="bottom"/>
            <w:vMerge w:val="continue"/>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340" w:hanging="332"/>
        <w:spacing w:after="0" w:line="275" w:lineRule="auto"/>
        <w:tabs>
          <w:tab w:leader="none" w:pos="340" w:val="left"/>
        </w:tabs>
        <w:numPr>
          <w:ilvl w:val="0"/>
          <w:numId w:val="33"/>
        </w:numPr>
        <w:rPr>
          <w:rFonts w:ascii="Arial" w:cs="Arial" w:eastAsia="Arial" w:hAnsi="Arial"/>
          <w:sz w:val="16"/>
          <w:szCs w:val="16"/>
          <w:i w:val="1"/>
          <w:iCs w:val="1"/>
          <w:color w:val="auto"/>
        </w:rPr>
      </w:pPr>
      <w:r>
        <w:rPr>
          <w:rFonts w:ascii="Arial" w:cs="Arial" w:eastAsia="Arial" w:hAnsi="Arial"/>
          <w:sz w:val="16"/>
          <w:szCs w:val="16"/>
          <w:i w:val="1"/>
          <w:iCs w:val="1"/>
          <w:color w:val="auto"/>
        </w:rPr>
        <w:t>See previous pages for natural gas liquids proved reserves attributable to consolidated subsidiaries and equity companies. For additional information on natural gas liquids proved reserves see Item 2. Properties in ExxonMobil’s 2021 Form 10-K.</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sectPr>
      </w:pPr>
    </w:p>
    <w:bookmarkStart w:id="119" w:name="page120"/>
    <w:bookmarkEnd w:id="119"/>
    <w:p>
      <w:pPr>
        <w:ind w:left="20"/>
        <w:spacing w:after="0"/>
        <w:rPr>
          <w:sz w:val="20"/>
          <w:szCs w:val="20"/>
          <w:color w:val="auto"/>
        </w:rPr>
      </w:pPr>
      <w:r>
        <w:rPr>
          <w:rFonts w:ascii="Arial" w:cs="Arial" w:eastAsia="Arial" w:hAnsi="Arial"/>
          <w:sz w:val="16"/>
          <w:szCs w:val="16"/>
          <w:b w:val="1"/>
          <w:bCs w:val="1"/>
          <w:color w:val="auto"/>
        </w:rPr>
        <w:t>Natural Gas and Oil-Equivalent Proved Reserves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9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60" w:type="dxa"/>
            <w:vAlign w:val="bottom"/>
          </w:tcPr>
          <w:p>
            <w:pPr>
              <w:jc w:val="right"/>
              <w:ind w:right="240"/>
              <w:spacing w:after="0"/>
              <w:rPr>
                <w:sz w:val="20"/>
                <w:szCs w:val="20"/>
                <w:color w:val="auto"/>
              </w:rPr>
            </w:pPr>
            <w:r>
              <w:rPr>
                <w:rFonts w:ascii="Arial" w:cs="Arial" w:eastAsia="Arial" w:hAnsi="Arial"/>
                <w:sz w:val="14"/>
                <w:szCs w:val="14"/>
                <w:color w:val="auto"/>
                <w:w w:val="96"/>
              </w:rPr>
              <w:t>Natural Gas</w:t>
            </w:r>
          </w:p>
        </w:tc>
        <w:tc>
          <w:tcPr>
            <w:tcW w:w="6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39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Oil-Equivalent</w:t>
            </w:r>
          </w:p>
        </w:tc>
        <w:tc>
          <w:tcPr>
            <w:tcW w:w="0" w:type="dxa"/>
            <w:vAlign w:val="bottom"/>
          </w:tcPr>
          <w:p>
            <w:pPr>
              <w:spacing w:after="0"/>
              <w:rPr>
                <w:sz w:val="1"/>
                <w:szCs w:val="1"/>
                <w:color w:val="auto"/>
              </w:rPr>
            </w:pPr>
          </w:p>
        </w:tc>
      </w:tr>
      <w:tr>
        <w:trPr>
          <w:trHeight w:val="128"/>
        </w:trPr>
        <w:tc>
          <w:tcPr>
            <w:tcW w:w="3900" w:type="dxa"/>
            <w:vAlign w:val="bottom"/>
          </w:tcPr>
          <w:p>
            <w:pPr>
              <w:spacing w:after="0"/>
              <w:rPr>
                <w:sz w:val="11"/>
                <w:szCs w:val="11"/>
                <w:color w:val="auto"/>
              </w:rPr>
            </w:pPr>
          </w:p>
        </w:tc>
        <w:tc>
          <w:tcPr>
            <w:tcW w:w="860" w:type="dxa"/>
            <w:vAlign w:val="bottom"/>
            <w:vMerge w:val="restart"/>
          </w:tcPr>
          <w:p>
            <w:pPr>
              <w:jc w:val="right"/>
              <w:ind w:right="220"/>
              <w:spacing w:after="0"/>
              <w:rPr>
                <w:sz w:val="20"/>
                <w:szCs w:val="20"/>
                <w:color w:val="auto"/>
              </w:rPr>
            </w:pPr>
            <w:r>
              <w:rPr>
                <w:rFonts w:ascii="Arial" w:cs="Arial" w:eastAsia="Arial" w:hAnsi="Arial"/>
                <w:sz w:val="14"/>
                <w:szCs w:val="14"/>
                <w:color w:val="auto"/>
              </w:rPr>
              <w:t>United</w:t>
            </w:r>
          </w:p>
        </w:tc>
        <w:tc>
          <w:tcPr>
            <w:tcW w:w="940" w:type="dxa"/>
            <w:vAlign w:val="bottom"/>
          </w:tcPr>
          <w:p>
            <w:pPr>
              <w:jc w:val="center"/>
              <w:ind w:right="40"/>
              <w:spacing w:after="0" w:line="129" w:lineRule="exact"/>
              <w:rPr>
                <w:sz w:val="20"/>
                <w:szCs w:val="20"/>
                <w:color w:val="auto"/>
              </w:rPr>
            </w:pPr>
            <w:r>
              <w:rPr>
                <w:rFonts w:ascii="Arial" w:cs="Arial" w:eastAsia="Arial" w:hAnsi="Arial"/>
                <w:sz w:val="14"/>
                <w:szCs w:val="14"/>
                <w:color w:val="auto"/>
                <w:w w:val="86"/>
              </w:rPr>
              <w:t>Canada/</w:t>
            </w: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80" w:type="dxa"/>
            <w:vAlign w:val="bottom"/>
            <w:vMerge w:val="restart"/>
          </w:tcPr>
          <w:p>
            <w:pPr>
              <w:jc w:val="right"/>
              <w:ind w:right="200"/>
              <w:spacing w:after="0"/>
              <w:rPr>
                <w:sz w:val="20"/>
                <w:szCs w:val="20"/>
                <w:color w:val="auto"/>
              </w:rPr>
            </w:pPr>
            <w:r>
              <w:rPr>
                <w:rFonts w:ascii="Arial" w:cs="Arial" w:eastAsia="Arial" w:hAnsi="Arial"/>
                <w:sz w:val="14"/>
                <w:szCs w:val="14"/>
                <w:color w:val="auto"/>
              </w:rPr>
              <w:t>Australia/</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0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940" w:type="dxa"/>
            <w:vAlign w:val="bottom"/>
          </w:tcPr>
          <w:p>
            <w:pPr>
              <w:jc w:val="center"/>
              <w:ind w:right="40"/>
              <w:spacing w:after="0" w:line="135" w:lineRule="exact"/>
              <w:rPr>
                <w:sz w:val="20"/>
                <w:szCs w:val="20"/>
                <w:color w:val="auto"/>
              </w:rPr>
            </w:pPr>
            <w:r>
              <w:rPr>
                <w:rFonts w:ascii="Arial" w:cs="Arial" w:eastAsia="Arial" w:hAnsi="Arial"/>
                <w:sz w:val="14"/>
                <w:szCs w:val="14"/>
                <w:color w:val="auto"/>
                <w:w w:val="96"/>
              </w:rPr>
              <w:t>Other</w:t>
            </w:r>
          </w:p>
        </w:tc>
        <w:tc>
          <w:tcPr>
            <w:tcW w:w="780" w:type="dxa"/>
            <w:vAlign w:val="bottom"/>
            <w:vMerge w:val="restart"/>
          </w:tcPr>
          <w:p>
            <w:pPr>
              <w:jc w:val="right"/>
              <w:ind w:right="120"/>
              <w:spacing w:after="0"/>
              <w:rPr>
                <w:sz w:val="20"/>
                <w:szCs w:val="20"/>
                <w:color w:val="auto"/>
              </w:rPr>
            </w:pPr>
            <w:r>
              <w:rPr>
                <w:rFonts w:ascii="Arial" w:cs="Arial" w:eastAsia="Arial" w:hAnsi="Arial"/>
                <w:sz w:val="14"/>
                <w:szCs w:val="14"/>
                <w:color w:val="auto"/>
              </w:rPr>
              <w:t>Europe</w:t>
            </w:r>
          </w:p>
        </w:tc>
        <w:tc>
          <w:tcPr>
            <w:tcW w:w="1060" w:type="dxa"/>
            <w:vAlign w:val="bottom"/>
            <w:vMerge w:val="restart"/>
          </w:tcPr>
          <w:p>
            <w:pPr>
              <w:jc w:val="right"/>
              <w:ind w:right="340"/>
              <w:spacing w:after="0"/>
              <w:rPr>
                <w:sz w:val="20"/>
                <w:szCs w:val="20"/>
                <w:color w:val="auto"/>
              </w:rPr>
            </w:pPr>
            <w:r>
              <w:rPr>
                <w:rFonts w:ascii="Arial" w:cs="Arial" w:eastAsia="Arial" w:hAnsi="Arial"/>
                <w:sz w:val="14"/>
                <w:szCs w:val="14"/>
                <w:color w:val="auto"/>
              </w:rPr>
              <w:t>Africa</w:t>
            </w:r>
          </w:p>
        </w:tc>
        <w:tc>
          <w:tcPr>
            <w:tcW w:w="660" w:type="dxa"/>
            <w:vAlign w:val="bottom"/>
            <w:vMerge w:val="restart"/>
          </w:tcPr>
          <w:p>
            <w:pPr>
              <w:jc w:val="right"/>
              <w:ind w:right="239"/>
              <w:spacing w:after="0"/>
              <w:rPr>
                <w:sz w:val="20"/>
                <w:szCs w:val="20"/>
                <w:color w:val="auto"/>
              </w:rPr>
            </w:pPr>
            <w:r>
              <w:rPr>
                <w:rFonts w:ascii="Arial" w:cs="Arial" w:eastAsia="Arial" w:hAnsi="Arial"/>
                <w:sz w:val="14"/>
                <w:szCs w:val="14"/>
                <w:color w:val="auto"/>
              </w:rPr>
              <w:t>Asia</w:t>
            </w:r>
          </w:p>
        </w:tc>
        <w:tc>
          <w:tcPr>
            <w:tcW w:w="980" w:type="dxa"/>
            <w:vAlign w:val="bottom"/>
            <w:vMerge w:val="continue"/>
          </w:tcPr>
          <w:p>
            <w:pPr>
              <w:spacing w:after="0"/>
              <w:rPr>
                <w:sz w:val="11"/>
                <w:szCs w:val="11"/>
                <w:color w:val="auto"/>
              </w:rPr>
            </w:pPr>
          </w:p>
        </w:tc>
        <w:tc>
          <w:tcPr>
            <w:tcW w:w="800" w:type="dxa"/>
            <w:vAlign w:val="bottom"/>
            <w:gridSpan w:val="2"/>
            <w:vMerge w:val="restart"/>
          </w:tcPr>
          <w:p>
            <w:pPr>
              <w:ind w:left="180"/>
              <w:spacing w:after="0"/>
              <w:rPr>
                <w:sz w:val="20"/>
                <w:szCs w:val="20"/>
                <w:color w:val="auto"/>
              </w:rPr>
            </w:pPr>
            <w:r>
              <w:rPr>
                <w:rFonts w:ascii="Arial" w:cs="Arial" w:eastAsia="Arial" w:hAnsi="Arial"/>
                <w:sz w:val="14"/>
                <w:szCs w:val="14"/>
                <w:color w:val="auto"/>
              </w:rPr>
              <w:t>Total</w:t>
            </w:r>
          </w:p>
        </w:tc>
        <w:tc>
          <w:tcPr>
            <w:tcW w:w="12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88"/>
        </w:trPr>
        <w:tc>
          <w:tcPr>
            <w:tcW w:w="3900" w:type="dxa"/>
            <w:vAlign w:val="bottom"/>
          </w:tcPr>
          <w:p>
            <w:pPr>
              <w:spacing w:after="0"/>
              <w:rPr>
                <w:sz w:val="16"/>
                <w:szCs w:val="16"/>
                <w:color w:val="auto"/>
              </w:rPr>
            </w:pPr>
          </w:p>
        </w:tc>
        <w:tc>
          <w:tcPr>
            <w:tcW w:w="860" w:type="dxa"/>
            <w:vAlign w:val="bottom"/>
          </w:tcPr>
          <w:p>
            <w:pPr>
              <w:jc w:val="right"/>
              <w:ind w:right="240"/>
              <w:spacing w:after="0"/>
              <w:rPr>
                <w:sz w:val="20"/>
                <w:szCs w:val="20"/>
                <w:color w:val="auto"/>
              </w:rPr>
            </w:pPr>
            <w:r>
              <w:rPr>
                <w:rFonts w:ascii="Arial" w:cs="Arial" w:eastAsia="Arial" w:hAnsi="Arial"/>
                <w:sz w:val="14"/>
                <w:szCs w:val="14"/>
                <w:color w:val="auto"/>
              </w:rPr>
              <w:t>States</w:t>
            </w:r>
          </w:p>
        </w:tc>
        <w:tc>
          <w:tcPr>
            <w:tcW w:w="940" w:type="dxa"/>
            <w:vAlign w:val="bottom"/>
          </w:tcPr>
          <w:p>
            <w:pPr>
              <w:jc w:val="center"/>
              <w:ind w:right="40"/>
              <w:spacing w:after="0"/>
              <w:rPr>
                <w:sz w:val="20"/>
                <w:szCs w:val="20"/>
                <w:color w:val="auto"/>
              </w:rPr>
            </w:pPr>
            <w:r>
              <w:rPr>
                <w:rFonts w:ascii="Arial" w:cs="Arial" w:eastAsia="Arial" w:hAnsi="Arial"/>
                <w:sz w:val="14"/>
                <w:szCs w:val="14"/>
                <w:color w:val="auto"/>
                <w:w w:val="92"/>
              </w:rPr>
              <w:t>Americas</w:t>
            </w:r>
          </w:p>
        </w:tc>
        <w:tc>
          <w:tcPr>
            <w:tcW w:w="780" w:type="dxa"/>
            <w:vAlign w:val="bottom"/>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980" w:type="dxa"/>
            <w:vAlign w:val="bottom"/>
          </w:tcPr>
          <w:p>
            <w:pPr>
              <w:jc w:val="right"/>
              <w:ind w:right="240"/>
              <w:spacing w:after="0"/>
              <w:rPr>
                <w:sz w:val="20"/>
                <w:szCs w:val="20"/>
                <w:color w:val="auto"/>
              </w:rPr>
            </w:pPr>
            <w:r>
              <w:rPr>
                <w:rFonts w:ascii="Arial" w:cs="Arial" w:eastAsia="Arial" w:hAnsi="Arial"/>
                <w:sz w:val="14"/>
                <w:szCs w:val="14"/>
                <w:color w:val="auto"/>
              </w:rPr>
              <w:t>Oceania</w:t>
            </w:r>
          </w:p>
        </w:tc>
        <w:tc>
          <w:tcPr>
            <w:tcW w:w="800" w:type="dxa"/>
            <w:vAlign w:val="bottom"/>
            <w:gridSpan w:val="2"/>
            <w:vMerge w:val="continue"/>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4"/>
              </w:rPr>
              <w:t xml:space="preserve">All Products </w:t>
            </w:r>
            <w:r>
              <w:rPr>
                <w:rFonts w:ascii="Arial" w:cs="Arial" w:eastAsia="Arial" w:hAnsi="Arial"/>
                <w:sz w:val="14"/>
                <w:szCs w:val="14"/>
                <w:b w:val="1"/>
                <w:bCs w:val="1"/>
                <w:i w:val="1"/>
                <w:iCs w:val="1"/>
                <w:color w:val="auto"/>
                <w:w w:val="94"/>
              </w:rPr>
              <w:t>(1)</w:t>
            </w:r>
          </w:p>
        </w:tc>
        <w:tc>
          <w:tcPr>
            <w:tcW w:w="0" w:type="dxa"/>
            <w:vAlign w:val="bottom"/>
          </w:tcPr>
          <w:p>
            <w:pPr>
              <w:spacing w:after="0"/>
              <w:rPr>
                <w:sz w:val="1"/>
                <w:szCs w:val="1"/>
                <w:color w:val="auto"/>
              </w:rPr>
            </w:pPr>
          </w:p>
        </w:tc>
      </w:tr>
      <w:tr>
        <w:trPr>
          <w:trHeight w:val="130"/>
        </w:trPr>
        <w:tc>
          <w:tcPr>
            <w:tcW w:w="39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840" w:type="dxa"/>
            <w:vAlign w:val="bottom"/>
            <w:tcBorders>
              <w:top w:val="single" w:sz="8" w:color="auto"/>
            </w:tcBorders>
            <w:gridSpan w:val="2"/>
          </w:tcPr>
          <w:p>
            <w:pPr>
              <w:jc w:val="right"/>
              <w:spacing w:after="0" w:line="130" w:lineRule="exact"/>
              <w:rPr>
                <w:sz w:val="20"/>
                <w:szCs w:val="20"/>
                <w:color w:val="auto"/>
              </w:rPr>
            </w:pPr>
            <w:r>
              <w:rPr>
                <w:rFonts w:ascii="Arial" w:cs="Arial" w:eastAsia="Arial" w:hAnsi="Arial"/>
                <w:sz w:val="14"/>
                <w:szCs w:val="14"/>
                <w:i w:val="1"/>
                <w:iCs w:val="1"/>
                <w:color w:val="auto"/>
              </w:rPr>
              <w:t>(billions of cubic feet)</w:t>
            </w:r>
          </w:p>
        </w:tc>
        <w:tc>
          <w:tcPr>
            <w:tcW w:w="66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Borders>
              <w:top w:val="single" w:sz="8" w:color="auto"/>
            </w:tcBorders>
          </w:tcPr>
          <w:p>
            <w:pPr>
              <w:jc w:val="center"/>
              <w:spacing w:after="0" w:line="130" w:lineRule="exact"/>
              <w:rPr>
                <w:sz w:val="20"/>
                <w:szCs w:val="20"/>
                <w:color w:val="auto"/>
              </w:rPr>
            </w:pPr>
            <w:r>
              <w:rPr>
                <w:rFonts w:ascii="Arial" w:cs="Arial" w:eastAsia="Arial" w:hAnsi="Arial"/>
                <w:sz w:val="14"/>
                <w:szCs w:val="14"/>
                <w:i w:val="1"/>
                <w:iCs w:val="1"/>
                <w:color w:val="auto"/>
              </w:rPr>
              <w:t>(millions of oil-</w:t>
            </w:r>
          </w:p>
        </w:tc>
        <w:tc>
          <w:tcPr>
            <w:tcW w:w="0" w:type="dxa"/>
            <w:vAlign w:val="bottom"/>
          </w:tcPr>
          <w:p>
            <w:pPr>
              <w:spacing w:after="0"/>
              <w:rPr>
                <w:sz w:val="1"/>
                <w:szCs w:val="1"/>
                <w:color w:val="auto"/>
              </w:rPr>
            </w:pPr>
          </w:p>
        </w:tc>
      </w:tr>
      <w:tr>
        <w:trPr>
          <w:trHeight w:val="182"/>
        </w:trPr>
        <w:tc>
          <w:tcPr>
            <w:tcW w:w="3900" w:type="dxa"/>
            <w:vAlign w:val="bottom"/>
            <w:vMerge w:val="restart"/>
          </w:tcPr>
          <w:p>
            <w:pPr>
              <w:ind w:left="20"/>
              <w:spacing w:after="0"/>
              <w:rPr>
                <w:sz w:val="20"/>
                <w:szCs w:val="20"/>
                <w:color w:val="auto"/>
              </w:rPr>
            </w:pPr>
            <w:r>
              <w:rPr>
                <w:rFonts w:ascii="Arial" w:cs="Arial" w:eastAsia="Arial" w:hAnsi="Arial"/>
                <w:sz w:val="16"/>
                <w:szCs w:val="16"/>
                <w:color w:val="auto"/>
              </w:rPr>
              <w:t>Net proved developed and undeveloped</w:t>
            </w:r>
          </w:p>
        </w:tc>
        <w:tc>
          <w:tcPr>
            <w:tcW w:w="8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Arial" w:cs="Arial" w:eastAsia="Arial" w:hAnsi="Arial"/>
                <w:sz w:val="14"/>
                <w:szCs w:val="14"/>
                <w:i w:val="1"/>
                <w:iCs w:val="1"/>
                <w:color w:val="auto"/>
                <w:w w:val="95"/>
              </w:rPr>
              <w:t>equivalent barrels)</w:t>
            </w:r>
          </w:p>
        </w:tc>
        <w:tc>
          <w:tcPr>
            <w:tcW w:w="0" w:type="dxa"/>
            <w:vAlign w:val="bottom"/>
          </w:tcPr>
          <w:p>
            <w:pPr>
              <w:spacing w:after="0"/>
              <w:rPr>
                <w:sz w:val="1"/>
                <w:szCs w:val="1"/>
                <w:color w:val="auto"/>
              </w:rPr>
            </w:pPr>
          </w:p>
        </w:tc>
      </w:tr>
      <w:tr>
        <w:trPr>
          <w:trHeight w:val="64"/>
        </w:trPr>
        <w:tc>
          <w:tcPr>
            <w:tcW w:w="390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9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60" w:type="dxa"/>
            <w:vAlign w:val="bottom"/>
          </w:tcPr>
          <w:p>
            <w:pPr>
              <w:spacing w:after="0"/>
              <w:rPr>
                <w:sz w:val="5"/>
                <w:szCs w:val="5"/>
                <w:color w:val="auto"/>
              </w:rPr>
            </w:pPr>
          </w:p>
        </w:tc>
        <w:tc>
          <w:tcPr>
            <w:tcW w:w="98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6"/>
        </w:trPr>
        <w:tc>
          <w:tcPr>
            <w:tcW w:w="3900" w:type="dxa"/>
            <w:vAlign w:val="bottom"/>
          </w:tcPr>
          <w:p>
            <w:pPr>
              <w:ind w:left="20"/>
              <w:spacing w:after="0"/>
              <w:rPr>
                <w:sz w:val="20"/>
                <w:szCs w:val="20"/>
                <w:color w:val="auto"/>
              </w:rPr>
            </w:pPr>
            <w:r>
              <w:rPr>
                <w:rFonts w:ascii="Arial" w:cs="Arial" w:eastAsia="Arial" w:hAnsi="Arial"/>
                <w:sz w:val="16"/>
                <w:szCs w:val="16"/>
                <w:color w:val="auto"/>
              </w:rPr>
              <w:t>reserves of consolidated subsidiaries</w:t>
            </w:r>
          </w:p>
        </w:tc>
        <w:tc>
          <w:tcPr>
            <w:tcW w:w="8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20"/>
              <w:spacing w:after="0"/>
              <w:rPr>
                <w:sz w:val="20"/>
                <w:szCs w:val="20"/>
                <w:color w:val="auto"/>
              </w:rPr>
            </w:pPr>
            <w:r>
              <w:rPr>
                <w:rFonts w:ascii="Arial" w:cs="Arial" w:eastAsia="Arial" w:hAnsi="Arial"/>
                <w:sz w:val="16"/>
                <w:szCs w:val="16"/>
                <w:color w:val="auto"/>
              </w:rPr>
              <w:t>January 1, 2019</w:t>
            </w:r>
          </w:p>
        </w:tc>
        <w:tc>
          <w:tcPr>
            <w:tcW w:w="860" w:type="dxa"/>
            <w:vAlign w:val="bottom"/>
          </w:tcPr>
          <w:p>
            <w:pPr>
              <w:jc w:val="right"/>
              <w:ind w:right="100"/>
              <w:spacing w:after="0"/>
              <w:rPr>
                <w:sz w:val="20"/>
                <w:szCs w:val="20"/>
                <w:color w:val="auto"/>
              </w:rPr>
            </w:pPr>
            <w:r>
              <w:rPr>
                <w:rFonts w:ascii="Arial" w:cs="Arial" w:eastAsia="Arial" w:hAnsi="Arial"/>
                <w:sz w:val="16"/>
                <w:szCs w:val="16"/>
                <w:color w:val="auto"/>
              </w:rPr>
              <w:t>21,403</w:t>
            </w:r>
          </w:p>
        </w:tc>
        <w:tc>
          <w:tcPr>
            <w:tcW w:w="940" w:type="dxa"/>
            <w:vAlign w:val="bottom"/>
          </w:tcPr>
          <w:p>
            <w:pPr>
              <w:jc w:val="right"/>
              <w:ind w:right="100"/>
              <w:spacing w:after="0"/>
              <w:rPr>
                <w:sz w:val="20"/>
                <w:szCs w:val="20"/>
                <w:color w:val="auto"/>
              </w:rPr>
            </w:pPr>
            <w:r>
              <w:rPr>
                <w:rFonts w:ascii="Arial" w:cs="Arial" w:eastAsia="Arial" w:hAnsi="Arial"/>
                <w:sz w:val="16"/>
                <w:szCs w:val="16"/>
                <w:color w:val="auto"/>
              </w:rPr>
              <w:t>1,744</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1,312</w:t>
            </w:r>
          </w:p>
        </w:tc>
        <w:tc>
          <w:tcPr>
            <w:tcW w:w="1060" w:type="dxa"/>
            <w:vAlign w:val="bottom"/>
          </w:tcPr>
          <w:p>
            <w:pPr>
              <w:jc w:val="right"/>
              <w:ind w:right="220"/>
              <w:spacing w:after="0"/>
              <w:rPr>
                <w:sz w:val="20"/>
                <w:szCs w:val="20"/>
                <w:color w:val="auto"/>
              </w:rPr>
            </w:pPr>
            <w:r>
              <w:rPr>
                <w:rFonts w:ascii="Arial" w:cs="Arial" w:eastAsia="Arial" w:hAnsi="Arial"/>
                <w:sz w:val="16"/>
                <w:szCs w:val="16"/>
                <w:color w:val="auto"/>
              </w:rPr>
              <w:t>588</w:t>
            </w:r>
          </w:p>
        </w:tc>
        <w:tc>
          <w:tcPr>
            <w:tcW w:w="660" w:type="dxa"/>
            <w:vAlign w:val="bottom"/>
          </w:tcPr>
          <w:p>
            <w:pPr>
              <w:jc w:val="right"/>
              <w:ind w:right="99"/>
              <w:spacing w:after="0"/>
              <w:rPr>
                <w:sz w:val="20"/>
                <w:szCs w:val="20"/>
                <w:color w:val="auto"/>
              </w:rPr>
            </w:pPr>
            <w:r>
              <w:rPr>
                <w:rFonts w:ascii="Arial" w:cs="Arial" w:eastAsia="Arial" w:hAnsi="Arial"/>
                <w:sz w:val="16"/>
                <w:szCs w:val="16"/>
                <w:color w:val="auto"/>
              </w:rPr>
              <w:t>3,841</w:t>
            </w:r>
          </w:p>
        </w:tc>
        <w:tc>
          <w:tcPr>
            <w:tcW w:w="980" w:type="dxa"/>
            <w:vAlign w:val="bottom"/>
          </w:tcPr>
          <w:p>
            <w:pPr>
              <w:jc w:val="right"/>
              <w:ind w:right="120"/>
              <w:spacing w:after="0"/>
              <w:rPr>
                <w:sz w:val="20"/>
                <w:szCs w:val="20"/>
                <w:color w:val="auto"/>
              </w:rPr>
            </w:pPr>
            <w:r>
              <w:rPr>
                <w:rFonts w:ascii="Arial" w:cs="Arial" w:eastAsia="Arial" w:hAnsi="Arial"/>
                <w:sz w:val="16"/>
                <w:szCs w:val="16"/>
                <w:color w:val="auto"/>
              </w:rPr>
              <w:t>7,462</w:t>
            </w:r>
          </w:p>
        </w:tc>
        <w:tc>
          <w:tcPr>
            <w:tcW w:w="680" w:type="dxa"/>
            <w:vAlign w:val="bottom"/>
          </w:tcPr>
          <w:p>
            <w:pPr>
              <w:jc w:val="right"/>
              <w:spacing w:after="0"/>
              <w:rPr>
                <w:sz w:val="20"/>
                <w:szCs w:val="20"/>
                <w:color w:val="auto"/>
              </w:rPr>
            </w:pPr>
            <w:r>
              <w:rPr>
                <w:rFonts w:ascii="Arial" w:cs="Arial" w:eastAsia="Arial" w:hAnsi="Arial"/>
                <w:sz w:val="16"/>
                <w:szCs w:val="16"/>
                <w:color w:val="auto"/>
              </w:rPr>
              <w:t>36,350</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20,078</w:t>
            </w:r>
          </w:p>
        </w:tc>
        <w:tc>
          <w:tcPr>
            <w:tcW w:w="0" w:type="dxa"/>
            <w:vAlign w:val="bottom"/>
          </w:tcPr>
          <w:p>
            <w:pPr>
              <w:spacing w:after="0"/>
              <w:rPr>
                <w:sz w:val="1"/>
                <w:szCs w:val="1"/>
                <w:color w:val="auto"/>
              </w:rPr>
            </w:pPr>
          </w:p>
        </w:tc>
      </w:tr>
      <w:tr>
        <w:trPr>
          <w:trHeight w:val="216"/>
        </w:trPr>
        <w:tc>
          <w:tcPr>
            <w:tcW w:w="3900" w:type="dxa"/>
            <w:vAlign w:val="bottom"/>
          </w:tcPr>
          <w:p>
            <w:pPr>
              <w:ind w:left="100"/>
              <w:spacing w:after="0"/>
              <w:rPr>
                <w:sz w:val="20"/>
                <w:szCs w:val="20"/>
                <w:color w:val="auto"/>
              </w:rPr>
            </w:pPr>
            <w:r>
              <w:rPr>
                <w:rFonts w:ascii="Arial" w:cs="Arial" w:eastAsia="Arial" w:hAnsi="Arial"/>
                <w:sz w:val="16"/>
                <w:szCs w:val="16"/>
                <w:color w:val="auto"/>
              </w:rPr>
              <w:t>Revisions</w:t>
            </w:r>
          </w:p>
        </w:tc>
        <w:tc>
          <w:tcPr>
            <w:tcW w:w="860" w:type="dxa"/>
            <w:vAlign w:val="bottom"/>
          </w:tcPr>
          <w:p>
            <w:pPr>
              <w:jc w:val="right"/>
              <w:ind w:right="60"/>
              <w:spacing w:after="0"/>
              <w:rPr>
                <w:sz w:val="20"/>
                <w:szCs w:val="20"/>
                <w:color w:val="auto"/>
              </w:rPr>
            </w:pPr>
            <w:r>
              <w:rPr>
                <w:rFonts w:ascii="Arial" w:cs="Arial" w:eastAsia="Arial" w:hAnsi="Arial"/>
                <w:sz w:val="16"/>
                <w:szCs w:val="16"/>
                <w:color w:val="auto"/>
              </w:rPr>
              <w:t>(3,213)</w:t>
            </w:r>
          </w:p>
        </w:tc>
        <w:tc>
          <w:tcPr>
            <w:tcW w:w="940" w:type="dxa"/>
            <w:vAlign w:val="bottom"/>
          </w:tcPr>
          <w:p>
            <w:pPr>
              <w:jc w:val="right"/>
              <w:ind w:right="60"/>
              <w:spacing w:after="0"/>
              <w:rPr>
                <w:sz w:val="20"/>
                <w:szCs w:val="20"/>
                <w:color w:val="auto"/>
              </w:rPr>
            </w:pPr>
            <w:r>
              <w:rPr>
                <w:rFonts w:ascii="Arial" w:cs="Arial" w:eastAsia="Arial" w:hAnsi="Arial"/>
                <w:sz w:val="16"/>
                <w:szCs w:val="16"/>
                <w:color w:val="auto"/>
              </w:rPr>
              <w:t>(301)</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41</w:t>
            </w:r>
          </w:p>
        </w:tc>
        <w:tc>
          <w:tcPr>
            <w:tcW w:w="1060" w:type="dxa"/>
            <w:vAlign w:val="bottom"/>
          </w:tcPr>
          <w:p>
            <w:pPr>
              <w:jc w:val="right"/>
              <w:ind w:right="180"/>
              <w:spacing w:after="0"/>
              <w:rPr>
                <w:sz w:val="20"/>
                <w:szCs w:val="20"/>
                <w:color w:val="auto"/>
              </w:rPr>
            </w:pPr>
            <w:r>
              <w:rPr>
                <w:rFonts w:ascii="Arial" w:cs="Arial" w:eastAsia="Arial" w:hAnsi="Arial"/>
                <w:sz w:val="16"/>
                <w:szCs w:val="16"/>
                <w:color w:val="auto"/>
              </w:rPr>
              <w:t>(171)</w:t>
            </w:r>
          </w:p>
        </w:tc>
        <w:tc>
          <w:tcPr>
            <w:tcW w:w="660" w:type="dxa"/>
            <w:vAlign w:val="bottom"/>
          </w:tcPr>
          <w:p>
            <w:pPr>
              <w:jc w:val="right"/>
              <w:ind w:right="99"/>
              <w:spacing w:after="0"/>
              <w:rPr>
                <w:sz w:val="20"/>
                <w:szCs w:val="20"/>
                <w:color w:val="auto"/>
              </w:rPr>
            </w:pPr>
            <w:r>
              <w:rPr>
                <w:rFonts w:ascii="Arial" w:cs="Arial" w:eastAsia="Arial" w:hAnsi="Arial"/>
                <w:sz w:val="16"/>
                <w:szCs w:val="16"/>
                <w:color w:val="auto"/>
              </w:rPr>
              <w:t>953</w:t>
            </w:r>
          </w:p>
        </w:tc>
        <w:tc>
          <w:tcPr>
            <w:tcW w:w="980" w:type="dxa"/>
            <w:vAlign w:val="bottom"/>
          </w:tcPr>
          <w:p>
            <w:pPr>
              <w:jc w:val="right"/>
              <w:ind w:right="120"/>
              <w:spacing w:after="0"/>
              <w:rPr>
                <w:sz w:val="20"/>
                <w:szCs w:val="20"/>
                <w:color w:val="auto"/>
              </w:rPr>
            </w:pPr>
            <w:r>
              <w:rPr>
                <w:rFonts w:ascii="Arial" w:cs="Arial" w:eastAsia="Arial" w:hAnsi="Arial"/>
                <w:sz w:val="16"/>
                <w:szCs w:val="16"/>
                <w:color w:val="auto"/>
              </w:rPr>
              <w:t>39</w:t>
            </w:r>
          </w:p>
        </w:tc>
        <w:tc>
          <w:tcPr>
            <w:tcW w:w="680" w:type="dxa"/>
            <w:vAlign w:val="bottom"/>
          </w:tcPr>
          <w:p>
            <w:pPr>
              <w:jc w:val="right"/>
              <w:spacing w:after="0"/>
              <w:rPr>
                <w:sz w:val="20"/>
                <w:szCs w:val="20"/>
                <w:color w:val="auto"/>
              </w:rPr>
            </w:pPr>
            <w:r>
              <w:rPr>
                <w:rFonts w:ascii="Arial" w:cs="Arial" w:eastAsia="Arial" w:hAnsi="Arial"/>
                <w:sz w:val="16"/>
                <w:szCs w:val="16"/>
                <w:color w:val="auto"/>
              </w:rPr>
              <w:t>(2,652)</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(1,599)</w:t>
            </w:r>
          </w:p>
        </w:tc>
        <w:tc>
          <w:tcPr>
            <w:tcW w:w="0" w:type="dxa"/>
            <w:vAlign w:val="bottom"/>
          </w:tcPr>
          <w:p>
            <w:pPr>
              <w:spacing w:after="0"/>
              <w:rPr>
                <w:sz w:val="1"/>
                <w:szCs w:val="1"/>
                <w:color w:val="auto"/>
              </w:rPr>
            </w:pPr>
          </w:p>
        </w:tc>
      </w:tr>
      <w:tr>
        <w:trPr>
          <w:trHeight w:val="216"/>
        </w:trPr>
        <w:tc>
          <w:tcPr>
            <w:tcW w:w="3900" w:type="dxa"/>
            <w:vAlign w:val="bottom"/>
          </w:tcPr>
          <w:p>
            <w:pPr>
              <w:ind w:left="100"/>
              <w:spacing w:after="0"/>
              <w:rPr>
                <w:sz w:val="20"/>
                <w:szCs w:val="20"/>
                <w:color w:val="auto"/>
              </w:rPr>
            </w:pPr>
            <w:r>
              <w:rPr>
                <w:rFonts w:ascii="Arial" w:cs="Arial" w:eastAsia="Arial" w:hAnsi="Arial"/>
                <w:sz w:val="16"/>
                <w:szCs w:val="16"/>
                <w:color w:val="auto"/>
              </w:rPr>
              <w:t>Improved recovery</w:t>
            </w:r>
          </w:p>
        </w:tc>
        <w:tc>
          <w:tcPr>
            <w:tcW w:w="86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2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900" w:type="dxa"/>
            <w:vAlign w:val="bottom"/>
          </w:tcPr>
          <w:p>
            <w:pPr>
              <w:ind w:left="100"/>
              <w:spacing w:after="0"/>
              <w:rPr>
                <w:sz w:val="20"/>
                <w:szCs w:val="20"/>
                <w:color w:val="auto"/>
              </w:rPr>
            </w:pPr>
            <w:r>
              <w:rPr>
                <w:rFonts w:ascii="Arial" w:cs="Arial" w:eastAsia="Arial" w:hAnsi="Arial"/>
                <w:sz w:val="16"/>
                <w:szCs w:val="16"/>
                <w:color w:val="auto"/>
              </w:rPr>
              <w:t>Purchases</w:t>
            </w:r>
          </w:p>
        </w:tc>
        <w:tc>
          <w:tcPr>
            <w:tcW w:w="860" w:type="dxa"/>
            <w:vAlign w:val="bottom"/>
          </w:tcPr>
          <w:p>
            <w:pPr>
              <w:jc w:val="right"/>
              <w:ind w:right="100"/>
              <w:spacing w:after="0"/>
              <w:rPr>
                <w:sz w:val="20"/>
                <w:szCs w:val="20"/>
                <w:color w:val="auto"/>
              </w:rPr>
            </w:pPr>
            <w:r>
              <w:rPr>
                <w:rFonts w:ascii="Arial" w:cs="Arial" w:eastAsia="Arial" w:hAnsi="Arial"/>
                <w:sz w:val="16"/>
                <w:szCs w:val="16"/>
                <w:color w:val="auto"/>
              </w:rPr>
              <w:t>85</w:t>
            </w:r>
          </w:p>
        </w:tc>
        <w:tc>
          <w:tcPr>
            <w:tcW w:w="94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2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85</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16"/>
        </w:trPr>
        <w:tc>
          <w:tcPr>
            <w:tcW w:w="3900" w:type="dxa"/>
            <w:vAlign w:val="bottom"/>
          </w:tcPr>
          <w:p>
            <w:pPr>
              <w:ind w:left="100"/>
              <w:spacing w:after="0"/>
              <w:rPr>
                <w:sz w:val="20"/>
                <w:szCs w:val="20"/>
                <w:color w:val="auto"/>
              </w:rPr>
            </w:pPr>
            <w:r>
              <w:rPr>
                <w:rFonts w:ascii="Arial" w:cs="Arial" w:eastAsia="Arial" w:hAnsi="Arial"/>
                <w:sz w:val="16"/>
                <w:szCs w:val="16"/>
                <w:color w:val="auto"/>
              </w:rPr>
              <w:t>Sales</w:t>
            </w:r>
          </w:p>
        </w:tc>
        <w:tc>
          <w:tcPr>
            <w:tcW w:w="860" w:type="dxa"/>
            <w:vAlign w:val="bottom"/>
          </w:tcPr>
          <w:p>
            <w:pPr>
              <w:jc w:val="right"/>
              <w:ind w:right="60"/>
              <w:spacing w:after="0"/>
              <w:rPr>
                <w:sz w:val="20"/>
                <w:szCs w:val="20"/>
                <w:color w:val="auto"/>
              </w:rPr>
            </w:pPr>
            <w:r>
              <w:rPr>
                <w:rFonts w:ascii="Arial" w:cs="Arial" w:eastAsia="Arial" w:hAnsi="Arial"/>
                <w:sz w:val="16"/>
                <w:szCs w:val="16"/>
                <w:color w:val="auto"/>
              </w:rPr>
              <w:t>(297)</w:t>
            </w:r>
          </w:p>
        </w:tc>
        <w:tc>
          <w:tcPr>
            <w:tcW w:w="940" w:type="dxa"/>
            <w:vAlign w:val="bottom"/>
          </w:tcPr>
          <w:p>
            <w:pPr>
              <w:jc w:val="right"/>
              <w:ind w:right="60"/>
              <w:spacing w:after="0"/>
              <w:rPr>
                <w:sz w:val="20"/>
                <w:szCs w:val="20"/>
                <w:color w:val="auto"/>
              </w:rPr>
            </w:pPr>
            <w:r>
              <w:rPr>
                <w:rFonts w:ascii="Arial" w:cs="Arial" w:eastAsia="Arial" w:hAnsi="Arial"/>
                <w:sz w:val="16"/>
                <w:szCs w:val="16"/>
                <w:color w:val="auto"/>
              </w:rPr>
              <w:t>(29)</w:t>
            </w:r>
          </w:p>
        </w:tc>
        <w:tc>
          <w:tcPr>
            <w:tcW w:w="780" w:type="dxa"/>
            <w:vAlign w:val="bottom"/>
          </w:tcPr>
          <w:p>
            <w:pPr>
              <w:jc w:val="right"/>
              <w:spacing w:after="0"/>
              <w:rPr>
                <w:sz w:val="20"/>
                <w:szCs w:val="20"/>
                <w:color w:val="auto"/>
              </w:rPr>
            </w:pPr>
            <w:r>
              <w:rPr>
                <w:rFonts w:ascii="Arial" w:cs="Arial" w:eastAsia="Arial" w:hAnsi="Arial"/>
                <w:sz w:val="16"/>
                <w:szCs w:val="16"/>
                <w:color w:val="auto"/>
              </w:rPr>
              <w:t>(416)</w:t>
            </w:r>
          </w:p>
        </w:tc>
        <w:tc>
          <w:tcPr>
            <w:tcW w:w="1060" w:type="dxa"/>
            <w:vAlign w:val="bottom"/>
          </w:tcPr>
          <w:p>
            <w:pPr>
              <w:jc w:val="right"/>
              <w:ind w:right="22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(742)</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(269)</w:t>
            </w:r>
          </w:p>
        </w:tc>
        <w:tc>
          <w:tcPr>
            <w:tcW w:w="0" w:type="dxa"/>
            <w:vAlign w:val="bottom"/>
          </w:tcPr>
          <w:p>
            <w:pPr>
              <w:spacing w:after="0"/>
              <w:rPr>
                <w:sz w:val="1"/>
                <w:szCs w:val="1"/>
                <w:color w:val="auto"/>
              </w:rPr>
            </w:pPr>
          </w:p>
        </w:tc>
      </w:tr>
      <w:tr>
        <w:trPr>
          <w:trHeight w:val="216"/>
        </w:trPr>
        <w:tc>
          <w:tcPr>
            <w:tcW w:w="3900" w:type="dxa"/>
            <w:vAlign w:val="bottom"/>
          </w:tcPr>
          <w:p>
            <w:pPr>
              <w:ind w:left="100"/>
              <w:spacing w:after="0"/>
              <w:rPr>
                <w:sz w:val="20"/>
                <w:szCs w:val="20"/>
                <w:color w:val="auto"/>
              </w:rPr>
            </w:pPr>
            <w:r>
              <w:rPr>
                <w:rFonts w:ascii="Arial" w:cs="Arial" w:eastAsia="Arial" w:hAnsi="Arial"/>
                <w:sz w:val="16"/>
                <w:szCs w:val="16"/>
                <w:color w:val="auto"/>
              </w:rPr>
              <w:t>Extensions/discoveries</w:t>
            </w:r>
          </w:p>
        </w:tc>
        <w:tc>
          <w:tcPr>
            <w:tcW w:w="860" w:type="dxa"/>
            <w:vAlign w:val="bottom"/>
          </w:tcPr>
          <w:p>
            <w:pPr>
              <w:jc w:val="right"/>
              <w:ind w:right="100"/>
              <w:spacing w:after="0"/>
              <w:rPr>
                <w:sz w:val="20"/>
                <w:szCs w:val="20"/>
                <w:color w:val="auto"/>
              </w:rPr>
            </w:pPr>
            <w:r>
              <w:rPr>
                <w:rFonts w:ascii="Arial" w:cs="Arial" w:eastAsia="Arial" w:hAnsi="Arial"/>
                <w:sz w:val="16"/>
                <w:szCs w:val="16"/>
                <w:color w:val="auto"/>
              </w:rPr>
              <w:t>2,151</w:t>
            </w:r>
          </w:p>
        </w:tc>
        <w:tc>
          <w:tcPr>
            <w:tcW w:w="940" w:type="dxa"/>
            <w:vAlign w:val="bottom"/>
          </w:tcPr>
          <w:p>
            <w:pPr>
              <w:jc w:val="right"/>
              <w:ind w:right="100"/>
              <w:spacing w:after="0"/>
              <w:rPr>
                <w:sz w:val="20"/>
                <w:szCs w:val="20"/>
                <w:color w:val="auto"/>
              </w:rPr>
            </w:pPr>
            <w:r>
              <w:rPr>
                <w:rFonts w:ascii="Arial" w:cs="Arial" w:eastAsia="Arial" w:hAnsi="Arial"/>
                <w:sz w:val="16"/>
                <w:szCs w:val="16"/>
                <w:color w:val="auto"/>
              </w:rPr>
              <w:t>166</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2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2,317</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1,484</w:t>
            </w:r>
          </w:p>
        </w:tc>
        <w:tc>
          <w:tcPr>
            <w:tcW w:w="0" w:type="dxa"/>
            <w:vAlign w:val="bottom"/>
          </w:tcPr>
          <w:p>
            <w:pPr>
              <w:spacing w:after="0"/>
              <w:rPr>
                <w:sz w:val="1"/>
                <w:szCs w:val="1"/>
                <w:color w:val="auto"/>
              </w:rPr>
            </w:pPr>
          </w:p>
        </w:tc>
      </w:tr>
      <w:tr>
        <w:trPr>
          <w:trHeight w:val="216"/>
        </w:trPr>
        <w:tc>
          <w:tcPr>
            <w:tcW w:w="3900" w:type="dxa"/>
            <w:vAlign w:val="bottom"/>
          </w:tcPr>
          <w:p>
            <w:pPr>
              <w:ind w:left="100"/>
              <w:spacing w:after="0"/>
              <w:rPr>
                <w:sz w:val="20"/>
                <w:szCs w:val="20"/>
                <w:color w:val="auto"/>
              </w:rPr>
            </w:pPr>
            <w:r>
              <w:rPr>
                <w:rFonts w:ascii="Arial" w:cs="Arial" w:eastAsia="Arial" w:hAnsi="Arial"/>
                <w:sz w:val="16"/>
                <w:szCs w:val="16"/>
                <w:color w:val="auto"/>
              </w:rPr>
              <w:t>Production</w:t>
            </w:r>
          </w:p>
        </w:tc>
        <w:tc>
          <w:tcPr>
            <w:tcW w:w="8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(1,103)</w:t>
            </w: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(114)</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(316)</w:t>
            </w:r>
          </w:p>
        </w:tc>
        <w:tc>
          <w:tcPr>
            <w:tcW w:w="10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(40)</w:t>
            </w:r>
          </w:p>
        </w:tc>
        <w:tc>
          <w:tcPr>
            <w:tcW w:w="6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(361)</w:t>
            </w:r>
          </w:p>
        </w:tc>
        <w:tc>
          <w:tcPr>
            <w:tcW w:w="9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(500)</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(2,434)</w:t>
            </w:r>
          </w:p>
        </w:tc>
        <w:tc>
          <w:tcPr>
            <w:tcW w:w="12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(1,145)</w:t>
            </w:r>
          </w:p>
        </w:tc>
        <w:tc>
          <w:tcPr>
            <w:tcW w:w="0" w:type="dxa"/>
            <w:vAlign w:val="bottom"/>
          </w:tcPr>
          <w:p>
            <w:pPr>
              <w:spacing w:after="0"/>
              <w:rPr>
                <w:sz w:val="1"/>
                <w:szCs w:val="1"/>
                <w:color w:val="auto"/>
              </w:rPr>
            </w:pPr>
          </w:p>
        </w:tc>
      </w:tr>
      <w:tr>
        <w:trPr>
          <w:trHeight w:val="210"/>
        </w:trPr>
        <w:tc>
          <w:tcPr>
            <w:tcW w:w="3900" w:type="dxa"/>
            <w:vAlign w:val="bottom"/>
          </w:tcPr>
          <w:p>
            <w:pPr>
              <w:ind w:left="20"/>
              <w:spacing w:after="0"/>
              <w:rPr>
                <w:sz w:val="20"/>
                <w:szCs w:val="20"/>
                <w:color w:val="auto"/>
              </w:rPr>
            </w:pPr>
            <w:r>
              <w:rPr>
                <w:rFonts w:ascii="Arial" w:cs="Arial" w:eastAsia="Arial" w:hAnsi="Arial"/>
                <w:sz w:val="16"/>
                <w:szCs w:val="16"/>
                <w:color w:val="auto"/>
              </w:rPr>
              <w:t>December 31, 2019</w:t>
            </w:r>
          </w:p>
        </w:tc>
        <w:tc>
          <w:tcPr>
            <w:tcW w:w="8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19,026</w:t>
            </w:r>
          </w:p>
        </w:tc>
        <w:tc>
          <w:tcPr>
            <w:tcW w:w="9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1,466</w:t>
            </w: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621</w:t>
            </w:r>
          </w:p>
        </w:tc>
        <w:tc>
          <w:tcPr>
            <w:tcW w:w="106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auto"/>
              </w:rPr>
              <w:t>377</w:t>
            </w:r>
          </w:p>
        </w:tc>
        <w:tc>
          <w:tcPr>
            <w:tcW w:w="6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4,433</w:t>
            </w:r>
          </w:p>
        </w:tc>
        <w:tc>
          <w:tcPr>
            <w:tcW w:w="9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7,001</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32,924</w:t>
            </w:r>
          </w:p>
        </w:tc>
        <w:tc>
          <w:tcPr>
            <w:tcW w:w="12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18,596</w:t>
            </w:r>
          </w:p>
        </w:tc>
        <w:tc>
          <w:tcPr>
            <w:tcW w:w="0" w:type="dxa"/>
            <w:vAlign w:val="bottom"/>
          </w:tcPr>
          <w:p>
            <w:pPr>
              <w:spacing w:after="0"/>
              <w:rPr>
                <w:sz w:val="1"/>
                <w:szCs w:val="1"/>
                <w:color w:val="auto"/>
              </w:rPr>
            </w:pPr>
          </w:p>
        </w:tc>
      </w:tr>
      <w:tr>
        <w:trPr>
          <w:trHeight w:val="182"/>
        </w:trPr>
        <w:tc>
          <w:tcPr>
            <w:tcW w:w="3900" w:type="dxa"/>
            <w:vAlign w:val="bottom"/>
          </w:tcPr>
          <w:p>
            <w:pPr>
              <w:ind w:left="20"/>
              <w:spacing w:after="0"/>
              <w:rPr>
                <w:sz w:val="20"/>
                <w:szCs w:val="20"/>
                <w:color w:val="auto"/>
              </w:rPr>
            </w:pPr>
            <w:r>
              <w:rPr>
                <w:rFonts w:ascii="Arial" w:cs="Arial" w:eastAsia="Arial" w:hAnsi="Arial"/>
                <w:sz w:val="14"/>
                <w:szCs w:val="14"/>
                <w:i w:val="1"/>
                <w:iCs w:val="1"/>
                <w:color w:val="auto"/>
              </w:rPr>
              <w:t>Attributable to noncontrolling interests</w:t>
            </w:r>
          </w:p>
        </w:tc>
        <w:tc>
          <w:tcPr>
            <w:tcW w:w="860" w:type="dxa"/>
            <w:vAlign w:val="bottom"/>
          </w:tcPr>
          <w:p>
            <w:pPr>
              <w:spacing w:after="0"/>
              <w:rPr>
                <w:sz w:val="15"/>
                <w:szCs w:val="15"/>
                <w:color w:val="auto"/>
              </w:rPr>
            </w:pPr>
          </w:p>
        </w:tc>
        <w:tc>
          <w:tcPr>
            <w:tcW w:w="940" w:type="dxa"/>
            <w:vAlign w:val="bottom"/>
          </w:tcPr>
          <w:p>
            <w:pPr>
              <w:jc w:val="right"/>
              <w:ind w:right="100"/>
              <w:spacing w:after="0"/>
              <w:rPr>
                <w:sz w:val="20"/>
                <w:szCs w:val="20"/>
                <w:color w:val="auto"/>
              </w:rPr>
            </w:pPr>
            <w:r>
              <w:rPr>
                <w:rFonts w:ascii="Arial" w:cs="Arial" w:eastAsia="Arial" w:hAnsi="Arial"/>
                <w:sz w:val="14"/>
                <w:szCs w:val="14"/>
                <w:i w:val="1"/>
                <w:iCs w:val="1"/>
                <w:color w:val="auto"/>
              </w:rPr>
              <w:t>256</w:t>
            </w:r>
          </w:p>
        </w:tc>
        <w:tc>
          <w:tcPr>
            <w:tcW w:w="7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4"/>
        </w:trPr>
        <w:tc>
          <w:tcPr>
            <w:tcW w:w="3900" w:type="dxa"/>
            <w:vAlign w:val="bottom"/>
          </w:tcPr>
          <w:p>
            <w:pPr>
              <w:ind w:left="20"/>
              <w:spacing w:after="0"/>
              <w:rPr>
                <w:sz w:val="20"/>
                <w:szCs w:val="20"/>
                <w:color w:val="auto"/>
              </w:rPr>
            </w:pPr>
            <w:r>
              <w:rPr>
                <w:rFonts w:ascii="Arial" w:cs="Arial" w:eastAsia="Arial" w:hAnsi="Arial"/>
                <w:sz w:val="16"/>
                <w:szCs w:val="16"/>
                <w:color w:val="auto"/>
              </w:rPr>
              <w:t>Proportional interest in proved reserves</w:t>
            </w:r>
          </w:p>
        </w:tc>
        <w:tc>
          <w:tcPr>
            <w:tcW w:w="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3900" w:type="dxa"/>
            <w:vAlign w:val="bottom"/>
          </w:tcPr>
          <w:p>
            <w:pPr>
              <w:ind w:left="20"/>
              <w:spacing w:after="0"/>
              <w:rPr>
                <w:sz w:val="20"/>
                <w:szCs w:val="20"/>
                <w:color w:val="auto"/>
              </w:rPr>
            </w:pPr>
            <w:r>
              <w:rPr>
                <w:rFonts w:ascii="Arial" w:cs="Arial" w:eastAsia="Arial" w:hAnsi="Arial"/>
                <w:sz w:val="16"/>
                <w:szCs w:val="16"/>
                <w:color w:val="auto"/>
              </w:rPr>
              <w:t>of equity companies</w:t>
            </w:r>
          </w:p>
        </w:tc>
        <w:tc>
          <w:tcPr>
            <w:tcW w:w="8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20"/>
              <w:spacing w:after="0"/>
              <w:rPr>
                <w:sz w:val="20"/>
                <w:szCs w:val="20"/>
                <w:color w:val="auto"/>
              </w:rPr>
            </w:pPr>
            <w:r>
              <w:rPr>
                <w:rFonts w:ascii="Arial" w:cs="Arial" w:eastAsia="Arial" w:hAnsi="Arial"/>
                <w:sz w:val="16"/>
                <w:szCs w:val="16"/>
                <w:color w:val="auto"/>
              </w:rPr>
              <w:t>January 1, 2019</w:t>
            </w:r>
          </w:p>
        </w:tc>
        <w:tc>
          <w:tcPr>
            <w:tcW w:w="860" w:type="dxa"/>
            <w:vAlign w:val="bottom"/>
          </w:tcPr>
          <w:p>
            <w:pPr>
              <w:jc w:val="right"/>
              <w:ind w:right="100"/>
              <w:spacing w:after="0"/>
              <w:rPr>
                <w:sz w:val="20"/>
                <w:szCs w:val="20"/>
                <w:color w:val="auto"/>
              </w:rPr>
            </w:pPr>
            <w:r>
              <w:rPr>
                <w:rFonts w:ascii="Arial" w:cs="Arial" w:eastAsia="Arial" w:hAnsi="Arial"/>
                <w:sz w:val="16"/>
                <w:szCs w:val="16"/>
                <w:color w:val="auto"/>
              </w:rPr>
              <w:t>225</w:t>
            </w:r>
          </w:p>
        </w:tc>
        <w:tc>
          <w:tcPr>
            <w:tcW w:w="94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1,057</w:t>
            </w:r>
          </w:p>
        </w:tc>
        <w:tc>
          <w:tcPr>
            <w:tcW w:w="1060" w:type="dxa"/>
            <w:vAlign w:val="bottom"/>
          </w:tcPr>
          <w:p>
            <w:pPr>
              <w:jc w:val="right"/>
              <w:ind w:right="220"/>
              <w:spacing w:after="0"/>
              <w:rPr>
                <w:sz w:val="20"/>
                <w:szCs w:val="20"/>
                <w:color w:val="auto"/>
              </w:rPr>
            </w:pPr>
            <w:r>
              <w:rPr>
                <w:rFonts w:ascii="Arial" w:cs="Arial" w:eastAsia="Arial" w:hAnsi="Arial"/>
                <w:sz w:val="16"/>
                <w:szCs w:val="16"/>
                <w:color w:val="auto"/>
              </w:rPr>
              <w:t>863</w:t>
            </w:r>
          </w:p>
        </w:tc>
        <w:tc>
          <w:tcPr>
            <w:tcW w:w="660" w:type="dxa"/>
            <w:vAlign w:val="bottom"/>
          </w:tcPr>
          <w:p>
            <w:pPr>
              <w:jc w:val="right"/>
              <w:ind w:right="99"/>
              <w:spacing w:after="0"/>
              <w:rPr>
                <w:sz w:val="20"/>
                <w:szCs w:val="20"/>
                <w:color w:val="auto"/>
              </w:rPr>
            </w:pPr>
            <w:r>
              <w:rPr>
                <w:rFonts w:ascii="Arial" w:cs="Arial" w:eastAsia="Arial" w:hAnsi="Arial"/>
                <w:sz w:val="16"/>
                <w:szCs w:val="16"/>
                <w:color w:val="auto"/>
                <w:w w:val="93"/>
              </w:rPr>
              <w:t>13,321</w:t>
            </w:r>
          </w:p>
        </w:tc>
        <w:tc>
          <w:tcPr>
            <w:tcW w:w="9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15,466</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4,215</w:t>
            </w:r>
          </w:p>
        </w:tc>
        <w:tc>
          <w:tcPr>
            <w:tcW w:w="0" w:type="dxa"/>
            <w:vAlign w:val="bottom"/>
          </w:tcPr>
          <w:p>
            <w:pPr>
              <w:spacing w:after="0"/>
              <w:rPr>
                <w:sz w:val="1"/>
                <w:szCs w:val="1"/>
                <w:color w:val="auto"/>
              </w:rPr>
            </w:pPr>
          </w:p>
        </w:tc>
      </w:tr>
      <w:tr>
        <w:trPr>
          <w:trHeight w:val="216"/>
        </w:trPr>
        <w:tc>
          <w:tcPr>
            <w:tcW w:w="3900" w:type="dxa"/>
            <w:vAlign w:val="bottom"/>
          </w:tcPr>
          <w:p>
            <w:pPr>
              <w:ind w:left="100"/>
              <w:spacing w:after="0"/>
              <w:rPr>
                <w:sz w:val="20"/>
                <w:szCs w:val="20"/>
                <w:color w:val="auto"/>
              </w:rPr>
            </w:pPr>
            <w:r>
              <w:rPr>
                <w:rFonts w:ascii="Arial" w:cs="Arial" w:eastAsia="Arial" w:hAnsi="Arial"/>
                <w:sz w:val="16"/>
                <w:szCs w:val="16"/>
                <w:color w:val="auto"/>
              </w:rPr>
              <w:t>Revisions</w:t>
            </w:r>
          </w:p>
        </w:tc>
        <w:tc>
          <w:tcPr>
            <w:tcW w:w="860" w:type="dxa"/>
            <w:vAlign w:val="bottom"/>
          </w:tcPr>
          <w:p>
            <w:pPr>
              <w:jc w:val="right"/>
              <w:ind w:right="60"/>
              <w:spacing w:after="0"/>
              <w:rPr>
                <w:sz w:val="20"/>
                <w:szCs w:val="20"/>
                <w:color w:val="auto"/>
              </w:rPr>
            </w:pPr>
            <w:r>
              <w:rPr>
                <w:rFonts w:ascii="Arial" w:cs="Arial" w:eastAsia="Arial" w:hAnsi="Arial"/>
                <w:sz w:val="16"/>
                <w:szCs w:val="16"/>
                <w:color w:val="auto"/>
              </w:rPr>
              <w:t>(1)</w:t>
            </w:r>
          </w:p>
        </w:tc>
        <w:tc>
          <w:tcPr>
            <w:tcW w:w="94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(238)</w:t>
            </w:r>
          </w:p>
        </w:tc>
        <w:tc>
          <w:tcPr>
            <w:tcW w:w="1060" w:type="dxa"/>
            <w:vAlign w:val="bottom"/>
          </w:tcPr>
          <w:p>
            <w:pPr>
              <w:jc w:val="right"/>
              <w:ind w:right="220"/>
              <w:spacing w:after="0"/>
              <w:rPr>
                <w:sz w:val="20"/>
                <w:szCs w:val="20"/>
                <w:color w:val="auto"/>
              </w:rPr>
            </w:pPr>
            <w:r>
              <w:rPr>
                <w:rFonts w:ascii="Arial" w:cs="Arial" w:eastAsia="Arial" w:hAnsi="Arial"/>
                <w:sz w:val="16"/>
                <w:szCs w:val="16"/>
                <w:color w:val="auto"/>
              </w:rPr>
              <w:t>45</w:t>
            </w:r>
          </w:p>
        </w:tc>
        <w:tc>
          <w:tcPr>
            <w:tcW w:w="660" w:type="dxa"/>
            <w:vAlign w:val="bottom"/>
          </w:tcPr>
          <w:p>
            <w:pPr>
              <w:jc w:val="right"/>
              <w:ind w:right="99"/>
              <w:spacing w:after="0"/>
              <w:rPr>
                <w:sz w:val="20"/>
                <w:szCs w:val="20"/>
                <w:color w:val="auto"/>
              </w:rPr>
            </w:pPr>
            <w:r>
              <w:rPr>
                <w:rFonts w:ascii="Arial" w:cs="Arial" w:eastAsia="Arial" w:hAnsi="Arial"/>
                <w:sz w:val="16"/>
                <w:szCs w:val="16"/>
                <w:color w:val="auto"/>
              </w:rPr>
              <w:t>142</w:t>
            </w:r>
          </w:p>
        </w:tc>
        <w:tc>
          <w:tcPr>
            <w:tcW w:w="9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16"/>
        </w:trPr>
        <w:tc>
          <w:tcPr>
            <w:tcW w:w="3900" w:type="dxa"/>
            <w:vAlign w:val="bottom"/>
          </w:tcPr>
          <w:p>
            <w:pPr>
              <w:ind w:left="100"/>
              <w:spacing w:after="0"/>
              <w:rPr>
                <w:sz w:val="20"/>
                <w:szCs w:val="20"/>
                <w:color w:val="auto"/>
              </w:rPr>
            </w:pPr>
            <w:r>
              <w:rPr>
                <w:rFonts w:ascii="Arial" w:cs="Arial" w:eastAsia="Arial" w:hAnsi="Arial"/>
                <w:sz w:val="16"/>
                <w:szCs w:val="16"/>
                <w:color w:val="auto"/>
              </w:rPr>
              <w:t>Improved recovery</w:t>
            </w:r>
          </w:p>
        </w:tc>
        <w:tc>
          <w:tcPr>
            <w:tcW w:w="86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2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900" w:type="dxa"/>
            <w:vAlign w:val="bottom"/>
          </w:tcPr>
          <w:p>
            <w:pPr>
              <w:ind w:left="100"/>
              <w:spacing w:after="0"/>
              <w:rPr>
                <w:sz w:val="20"/>
                <w:szCs w:val="20"/>
                <w:color w:val="auto"/>
              </w:rPr>
            </w:pPr>
            <w:r>
              <w:rPr>
                <w:rFonts w:ascii="Arial" w:cs="Arial" w:eastAsia="Arial" w:hAnsi="Arial"/>
                <w:sz w:val="16"/>
                <w:szCs w:val="16"/>
                <w:color w:val="auto"/>
              </w:rPr>
              <w:t>Purchases</w:t>
            </w:r>
          </w:p>
        </w:tc>
        <w:tc>
          <w:tcPr>
            <w:tcW w:w="86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2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900" w:type="dxa"/>
            <w:vAlign w:val="bottom"/>
          </w:tcPr>
          <w:p>
            <w:pPr>
              <w:ind w:left="100"/>
              <w:spacing w:after="0"/>
              <w:rPr>
                <w:sz w:val="20"/>
                <w:szCs w:val="20"/>
                <w:color w:val="auto"/>
              </w:rPr>
            </w:pPr>
            <w:r>
              <w:rPr>
                <w:rFonts w:ascii="Arial" w:cs="Arial" w:eastAsia="Arial" w:hAnsi="Arial"/>
                <w:sz w:val="16"/>
                <w:szCs w:val="16"/>
                <w:color w:val="auto"/>
              </w:rPr>
              <w:t>Sales</w:t>
            </w:r>
          </w:p>
        </w:tc>
        <w:tc>
          <w:tcPr>
            <w:tcW w:w="86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2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900" w:type="dxa"/>
            <w:vAlign w:val="bottom"/>
          </w:tcPr>
          <w:p>
            <w:pPr>
              <w:ind w:left="100"/>
              <w:spacing w:after="0"/>
              <w:rPr>
                <w:sz w:val="20"/>
                <w:szCs w:val="20"/>
                <w:color w:val="auto"/>
              </w:rPr>
            </w:pPr>
            <w:r>
              <w:rPr>
                <w:rFonts w:ascii="Arial" w:cs="Arial" w:eastAsia="Arial" w:hAnsi="Arial"/>
                <w:sz w:val="16"/>
                <w:szCs w:val="16"/>
                <w:color w:val="auto"/>
              </w:rPr>
              <w:t>Extensions/discoveries</w:t>
            </w:r>
          </w:p>
        </w:tc>
        <w:tc>
          <w:tcPr>
            <w:tcW w:w="860" w:type="dxa"/>
            <w:vAlign w:val="bottom"/>
          </w:tcPr>
          <w:p>
            <w:pPr>
              <w:jc w:val="right"/>
              <w:ind w:right="100"/>
              <w:spacing w:after="0"/>
              <w:rPr>
                <w:sz w:val="20"/>
                <w:szCs w:val="20"/>
                <w:color w:val="auto"/>
              </w:rPr>
            </w:pPr>
            <w:r>
              <w:rPr>
                <w:rFonts w:ascii="Arial" w:cs="Arial" w:eastAsia="Arial" w:hAnsi="Arial"/>
                <w:sz w:val="16"/>
                <w:szCs w:val="16"/>
                <w:color w:val="auto"/>
              </w:rPr>
              <w:t>1</w:t>
            </w:r>
          </w:p>
        </w:tc>
        <w:tc>
          <w:tcPr>
            <w:tcW w:w="94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2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6"/>
        </w:trPr>
        <w:tc>
          <w:tcPr>
            <w:tcW w:w="3900" w:type="dxa"/>
            <w:vAlign w:val="bottom"/>
          </w:tcPr>
          <w:p>
            <w:pPr>
              <w:ind w:left="100"/>
              <w:spacing w:after="0"/>
              <w:rPr>
                <w:sz w:val="20"/>
                <w:szCs w:val="20"/>
                <w:color w:val="auto"/>
              </w:rPr>
            </w:pPr>
            <w:r>
              <w:rPr>
                <w:rFonts w:ascii="Arial" w:cs="Arial" w:eastAsia="Arial" w:hAnsi="Arial"/>
                <w:sz w:val="16"/>
                <w:szCs w:val="16"/>
                <w:color w:val="auto"/>
              </w:rPr>
              <w:t>Production</w:t>
            </w:r>
          </w:p>
        </w:tc>
        <w:tc>
          <w:tcPr>
            <w:tcW w:w="8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(12)</w:t>
            </w:r>
          </w:p>
        </w:tc>
        <w:tc>
          <w:tcPr>
            <w:tcW w:w="9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w:t>
            </w:r>
          </w:p>
        </w:tc>
        <w:tc>
          <w:tcPr>
            <w:tcW w:w="106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98"/>
              </w:rPr>
              <w:t>(1,009)</w:t>
            </w:r>
          </w:p>
        </w:tc>
        <w:tc>
          <w:tcPr>
            <w:tcW w:w="9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(1,259)</w:t>
            </w:r>
          </w:p>
        </w:tc>
        <w:tc>
          <w:tcPr>
            <w:tcW w:w="12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(338)</w:t>
            </w:r>
          </w:p>
        </w:tc>
        <w:tc>
          <w:tcPr>
            <w:tcW w:w="0" w:type="dxa"/>
            <w:vAlign w:val="bottom"/>
          </w:tcPr>
          <w:p>
            <w:pPr>
              <w:spacing w:after="0"/>
              <w:rPr>
                <w:sz w:val="1"/>
                <w:szCs w:val="1"/>
                <w:color w:val="auto"/>
              </w:rPr>
            </w:pPr>
          </w:p>
        </w:tc>
      </w:tr>
      <w:tr>
        <w:trPr>
          <w:trHeight w:val="209"/>
        </w:trPr>
        <w:tc>
          <w:tcPr>
            <w:tcW w:w="3900" w:type="dxa"/>
            <w:vAlign w:val="bottom"/>
          </w:tcPr>
          <w:p>
            <w:pPr>
              <w:ind w:left="20"/>
              <w:spacing w:after="0"/>
              <w:rPr>
                <w:sz w:val="20"/>
                <w:szCs w:val="20"/>
                <w:color w:val="auto"/>
              </w:rPr>
            </w:pPr>
            <w:r>
              <w:rPr>
                <w:rFonts w:ascii="Arial" w:cs="Arial" w:eastAsia="Arial" w:hAnsi="Arial"/>
                <w:sz w:val="16"/>
                <w:szCs w:val="16"/>
                <w:color w:val="auto"/>
              </w:rPr>
              <w:t>December 31, 2019</w:t>
            </w:r>
          </w:p>
        </w:tc>
        <w:tc>
          <w:tcPr>
            <w:tcW w:w="8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213</w:t>
            </w:r>
          </w:p>
        </w:tc>
        <w:tc>
          <w:tcPr>
            <w:tcW w:w="9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581</w:t>
            </w:r>
          </w:p>
        </w:tc>
        <w:tc>
          <w:tcPr>
            <w:tcW w:w="106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auto"/>
              </w:rPr>
              <w:t>908</w:t>
            </w:r>
          </w:p>
        </w:tc>
        <w:tc>
          <w:tcPr>
            <w:tcW w:w="6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93"/>
              </w:rPr>
              <w:t>12,454</w:t>
            </w:r>
          </w:p>
        </w:tc>
        <w:tc>
          <w:tcPr>
            <w:tcW w:w="9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14,156</w:t>
            </w:r>
          </w:p>
        </w:tc>
        <w:tc>
          <w:tcPr>
            <w:tcW w:w="12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3,849</w:t>
            </w:r>
          </w:p>
        </w:tc>
        <w:tc>
          <w:tcPr>
            <w:tcW w:w="0" w:type="dxa"/>
            <w:vAlign w:val="bottom"/>
          </w:tcPr>
          <w:p>
            <w:pPr>
              <w:spacing w:after="0"/>
              <w:rPr>
                <w:sz w:val="1"/>
                <w:szCs w:val="1"/>
                <w:color w:val="auto"/>
              </w:rPr>
            </w:pPr>
          </w:p>
        </w:tc>
      </w:tr>
      <w:tr>
        <w:trPr>
          <w:trHeight w:val="209"/>
        </w:trPr>
        <w:tc>
          <w:tcPr>
            <w:tcW w:w="3900" w:type="dxa"/>
            <w:vAlign w:val="bottom"/>
          </w:tcPr>
          <w:p>
            <w:pPr>
              <w:ind w:left="20"/>
              <w:spacing w:after="0"/>
              <w:rPr>
                <w:sz w:val="20"/>
                <w:szCs w:val="20"/>
                <w:color w:val="auto"/>
              </w:rPr>
            </w:pPr>
            <w:r>
              <w:rPr>
                <w:rFonts w:ascii="Arial" w:cs="Arial" w:eastAsia="Arial" w:hAnsi="Arial"/>
                <w:sz w:val="16"/>
                <w:szCs w:val="16"/>
                <w:color w:val="auto"/>
              </w:rPr>
              <w:t>Total proved reserves at December 31, 2019</w:t>
            </w:r>
          </w:p>
        </w:tc>
        <w:tc>
          <w:tcPr>
            <w:tcW w:w="8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19,239</w:t>
            </w:r>
          </w:p>
        </w:tc>
        <w:tc>
          <w:tcPr>
            <w:tcW w:w="9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1,466</w:t>
            </w: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1,202</w:t>
            </w:r>
          </w:p>
        </w:tc>
        <w:tc>
          <w:tcPr>
            <w:tcW w:w="106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auto"/>
              </w:rPr>
              <w:t>1,285</w:t>
            </w:r>
          </w:p>
        </w:tc>
        <w:tc>
          <w:tcPr>
            <w:tcW w:w="6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93"/>
              </w:rPr>
              <w:t>16,887</w:t>
            </w:r>
          </w:p>
        </w:tc>
        <w:tc>
          <w:tcPr>
            <w:tcW w:w="9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7,001</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47,080</w:t>
            </w:r>
          </w:p>
        </w:tc>
        <w:tc>
          <w:tcPr>
            <w:tcW w:w="12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22,445</w:t>
            </w:r>
          </w:p>
        </w:tc>
        <w:tc>
          <w:tcPr>
            <w:tcW w:w="0" w:type="dxa"/>
            <w:vAlign w:val="bottom"/>
          </w:tcPr>
          <w:p>
            <w:pPr>
              <w:spacing w:after="0"/>
              <w:rPr>
                <w:sz w:val="1"/>
                <w:szCs w:val="1"/>
                <w:color w:val="auto"/>
              </w:rPr>
            </w:pPr>
          </w:p>
        </w:tc>
      </w:tr>
      <w:tr>
        <w:trPr>
          <w:trHeight w:val="314"/>
        </w:trPr>
        <w:tc>
          <w:tcPr>
            <w:tcW w:w="3900" w:type="dxa"/>
            <w:vAlign w:val="bottom"/>
          </w:tcPr>
          <w:p>
            <w:pPr>
              <w:ind w:left="20"/>
              <w:spacing w:after="0"/>
              <w:rPr>
                <w:sz w:val="20"/>
                <w:szCs w:val="20"/>
                <w:color w:val="auto"/>
              </w:rPr>
            </w:pPr>
            <w:r>
              <w:rPr>
                <w:rFonts w:ascii="Arial" w:cs="Arial" w:eastAsia="Arial" w:hAnsi="Arial"/>
                <w:sz w:val="16"/>
                <w:szCs w:val="16"/>
                <w:color w:val="auto"/>
              </w:rPr>
              <w:t>Net proved developed and undeveloped</w:t>
            </w:r>
          </w:p>
        </w:tc>
        <w:tc>
          <w:tcPr>
            <w:tcW w:w="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3900" w:type="dxa"/>
            <w:vAlign w:val="bottom"/>
          </w:tcPr>
          <w:p>
            <w:pPr>
              <w:ind w:left="20"/>
              <w:spacing w:after="0"/>
              <w:rPr>
                <w:sz w:val="20"/>
                <w:szCs w:val="20"/>
                <w:color w:val="auto"/>
              </w:rPr>
            </w:pPr>
            <w:r>
              <w:rPr>
                <w:rFonts w:ascii="Arial" w:cs="Arial" w:eastAsia="Arial" w:hAnsi="Arial"/>
                <w:sz w:val="16"/>
                <w:szCs w:val="16"/>
                <w:color w:val="auto"/>
              </w:rPr>
              <w:t>reserves of consolidated subsidiaries</w:t>
            </w:r>
          </w:p>
        </w:tc>
        <w:tc>
          <w:tcPr>
            <w:tcW w:w="8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20"/>
              <w:spacing w:after="0"/>
              <w:rPr>
                <w:sz w:val="20"/>
                <w:szCs w:val="20"/>
                <w:color w:val="auto"/>
              </w:rPr>
            </w:pPr>
            <w:r>
              <w:rPr>
                <w:rFonts w:ascii="Arial" w:cs="Arial" w:eastAsia="Arial" w:hAnsi="Arial"/>
                <w:sz w:val="16"/>
                <w:szCs w:val="16"/>
                <w:color w:val="auto"/>
              </w:rPr>
              <w:t>January 1, 2020</w:t>
            </w:r>
          </w:p>
        </w:tc>
        <w:tc>
          <w:tcPr>
            <w:tcW w:w="860" w:type="dxa"/>
            <w:vAlign w:val="bottom"/>
          </w:tcPr>
          <w:p>
            <w:pPr>
              <w:jc w:val="right"/>
              <w:ind w:right="100"/>
              <w:spacing w:after="0"/>
              <w:rPr>
                <w:sz w:val="20"/>
                <w:szCs w:val="20"/>
                <w:color w:val="auto"/>
              </w:rPr>
            </w:pPr>
            <w:r>
              <w:rPr>
                <w:rFonts w:ascii="Arial" w:cs="Arial" w:eastAsia="Arial" w:hAnsi="Arial"/>
                <w:sz w:val="16"/>
                <w:szCs w:val="16"/>
                <w:color w:val="auto"/>
              </w:rPr>
              <w:t>19,026</w:t>
            </w:r>
          </w:p>
        </w:tc>
        <w:tc>
          <w:tcPr>
            <w:tcW w:w="940" w:type="dxa"/>
            <w:vAlign w:val="bottom"/>
          </w:tcPr>
          <w:p>
            <w:pPr>
              <w:jc w:val="right"/>
              <w:ind w:right="100"/>
              <w:spacing w:after="0"/>
              <w:rPr>
                <w:sz w:val="20"/>
                <w:szCs w:val="20"/>
                <w:color w:val="auto"/>
              </w:rPr>
            </w:pPr>
            <w:r>
              <w:rPr>
                <w:rFonts w:ascii="Arial" w:cs="Arial" w:eastAsia="Arial" w:hAnsi="Arial"/>
                <w:sz w:val="16"/>
                <w:szCs w:val="16"/>
                <w:color w:val="auto"/>
              </w:rPr>
              <w:t>1,466</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621</w:t>
            </w:r>
          </w:p>
        </w:tc>
        <w:tc>
          <w:tcPr>
            <w:tcW w:w="1060" w:type="dxa"/>
            <w:vAlign w:val="bottom"/>
          </w:tcPr>
          <w:p>
            <w:pPr>
              <w:jc w:val="right"/>
              <w:ind w:right="220"/>
              <w:spacing w:after="0"/>
              <w:rPr>
                <w:sz w:val="20"/>
                <w:szCs w:val="20"/>
                <w:color w:val="auto"/>
              </w:rPr>
            </w:pPr>
            <w:r>
              <w:rPr>
                <w:rFonts w:ascii="Arial" w:cs="Arial" w:eastAsia="Arial" w:hAnsi="Arial"/>
                <w:sz w:val="16"/>
                <w:szCs w:val="16"/>
                <w:color w:val="auto"/>
              </w:rPr>
              <w:t>377</w:t>
            </w:r>
          </w:p>
        </w:tc>
        <w:tc>
          <w:tcPr>
            <w:tcW w:w="660" w:type="dxa"/>
            <w:vAlign w:val="bottom"/>
          </w:tcPr>
          <w:p>
            <w:pPr>
              <w:jc w:val="right"/>
              <w:ind w:right="99"/>
              <w:spacing w:after="0"/>
              <w:rPr>
                <w:sz w:val="20"/>
                <w:szCs w:val="20"/>
                <w:color w:val="auto"/>
              </w:rPr>
            </w:pPr>
            <w:r>
              <w:rPr>
                <w:rFonts w:ascii="Arial" w:cs="Arial" w:eastAsia="Arial" w:hAnsi="Arial"/>
                <w:sz w:val="16"/>
                <w:szCs w:val="16"/>
                <w:color w:val="auto"/>
              </w:rPr>
              <w:t>4,433</w:t>
            </w:r>
          </w:p>
        </w:tc>
        <w:tc>
          <w:tcPr>
            <w:tcW w:w="980" w:type="dxa"/>
            <w:vAlign w:val="bottom"/>
          </w:tcPr>
          <w:p>
            <w:pPr>
              <w:jc w:val="right"/>
              <w:ind w:right="120"/>
              <w:spacing w:after="0"/>
              <w:rPr>
                <w:sz w:val="20"/>
                <w:szCs w:val="20"/>
                <w:color w:val="auto"/>
              </w:rPr>
            </w:pPr>
            <w:r>
              <w:rPr>
                <w:rFonts w:ascii="Arial" w:cs="Arial" w:eastAsia="Arial" w:hAnsi="Arial"/>
                <w:sz w:val="16"/>
                <w:szCs w:val="16"/>
                <w:color w:val="auto"/>
              </w:rPr>
              <w:t>7,001</w:t>
            </w:r>
          </w:p>
        </w:tc>
        <w:tc>
          <w:tcPr>
            <w:tcW w:w="680" w:type="dxa"/>
            <w:vAlign w:val="bottom"/>
          </w:tcPr>
          <w:p>
            <w:pPr>
              <w:jc w:val="right"/>
              <w:spacing w:after="0"/>
              <w:rPr>
                <w:sz w:val="20"/>
                <w:szCs w:val="20"/>
                <w:color w:val="auto"/>
              </w:rPr>
            </w:pPr>
            <w:r>
              <w:rPr>
                <w:rFonts w:ascii="Arial" w:cs="Arial" w:eastAsia="Arial" w:hAnsi="Arial"/>
                <w:sz w:val="16"/>
                <w:szCs w:val="16"/>
                <w:color w:val="auto"/>
              </w:rPr>
              <w:t>32,924</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18,596</w:t>
            </w:r>
          </w:p>
        </w:tc>
        <w:tc>
          <w:tcPr>
            <w:tcW w:w="0" w:type="dxa"/>
            <w:vAlign w:val="bottom"/>
          </w:tcPr>
          <w:p>
            <w:pPr>
              <w:spacing w:after="0"/>
              <w:rPr>
                <w:sz w:val="1"/>
                <w:szCs w:val="1"/>
                <w:color w:val="auto"/>
              </w:rPr>
            </w:pPr>
          </w:p>
        </w:tc>
      </w:tr>
      <w:tr>
        <w:trPr>
          <w:trHeight w:val="216"/>
        </w:trPr>
        <w:tc>
          <w:tcPr>
            <w:tcW w:w="3900" w:type="dxa"/>
            <w:vAlign w:val="bottom"/>
          </w:tcPr>
          <w:p>
            <w:pPr>
              <w:ind w:left="100"/>
              <w:spacing w:after="0"/>
              <w:rPr>
                <w:sz w:val="20"/>
                <w:szCs w:val="20"/>
                <w:color w:val="auto"/>
              </w:rPr>
            </w:pPr>
            <w:r>
              <w:rPr>
                <w:rFonts w:ascii="Arial" w:cs="Arial" w:eastAsia="Arial" w:hAnsi="Arial"/>
                <w:sz w:val="16"/>
                <w:szCs w:val="16"/>
                <w:color w:val="auto"/>
              </w:rPr>
              <w:t>Revisions</w:t>
            </w:r>
          </w:p>
        </w:tc>
        <w:tc>
          <w:tcPr>
            <w:tcW w:w="860" w:type="dxa"/>
            <w:vAlign w:val="bottom"/>
          </w:tcPr>
          <w:p>
            <w:pPr>
              <w:jc w:val="right"/>
              <w:ind w:right="60"/>
              <w:spacing w:after="0"/>
              <w:rPr>
                <w:sz w:val="20"/>
                <w:szCs w:val="20"/>
                <w:color w:val="auto"/>
              </w:rPr>
            </w:pPr>
            <w:r>
              <w:rPr>
                <w:rFonts w:ascii="Arial" w:cs="Arial" w:eastAsia="Arial" w:hAnsi="Arial"/>
                <w:sz w:val="16"/>
                <w:szCs w:val="16"/>
                <w:color w:val="auto"/>
              </w:rPr>
              <w:t>(4,904)</w:t>
            </w:r>
          </w:p>
        </w:tc>
        <w:tc>
          <w:tcPr>
            <w:tcW w:w="940" w:type="dxa"/>
            <w:vAlign w:val="bottom"/>
          </w:tcPr>
          <w:p>
            <w:pPr>
              <w:jc w:val="right"/>
              <w:ind w:right="60"/>
              <w:spacing w:after="0"/>
              <w:rPr>
                <w:sz w:val="20"/>
                <w:szCs w:val="20"/>
                <w:color w:val="auto"/>
              </w:rPr>
            </w:pPr>
            <w:r>
              <w:rPr>
                <w:rFonts w:ascii="Arial" w:cs="Arial" w:eastAsia="Arial" w:hAnsi="Arial"/>
                <w:sz w:val="16"/>
                <w:szCs w:val="16"/>
                <w:color w:val="auto"/>
              </w:rPr>
              <w:t>(753)</w:t>
            </w:r>
          </w:p>
        </w:tc>
        <w:tc>
          <w:tcPr>
            <w:tcW w:w="780" w:type="dxa"/>
            <w:vAlign w:val="bottom"/>
          </w:tcPr>
          <w:p>
            <w:pPr>
              <w:jc w:val="right"/>
              <w:spacing w:after="0"/>
              <w:rPr>
                <w:sz w:val="20"/>
                <w:szCs w:val="20"/>
                <w:color w:val="auto"/>
              </w:rPr>
            </w:pPr>
            <w:r>
              <w:rPr>
                <w:rFonts w:ascii="Arial" w:cs="Arial" w:eastAsia="Arial" w:hAnsi="Arial"/>
                <w:sz w:val="16"/>
                <w:szCs w:val="16"/>
                <w:color w:val="auto"/>
              </w:rPr>
              <w:t>(4)</w:t>
            </w:r>
          </w:p>
        </w:tc>
        <w:tc>
          <w:tcPr>
            <w:tcW w:w="1060" w:type="dxa"/>
            <w:vAlign w:val="bottom"/>
          </w:tcPr>
          <w:p>
            <w:pPr>
              <w:jc w:val="right"/>
              <w:ind w:right="180"/>
              <w:spacing w:after="0"/>
              <w:rPr>
                <w:sz w:val="20"/>
                <w:szCs w:val="20"/>
                <w:color w:val="auto"/>
              </w:rPr>
            </w:pPr>
            <w:r>
              <w:rPr>
                <w:rFonts w:ascii="Arial" w:cs="Arial" w:eastAsia="Arial" w:hAnsi="Arial"/>
                <w:sz w:val="16"/>
                <w:szCs w:val="16"/>
                <w:color w:val="auto"/>
              </w:rPr>
              <w:t>(23)</w:t>
            </w:r>
          </w:p>
        </w:tc>
        <w:tc>
          <w:tcPr>
            <w:tcW w:w="660" w:type="dxa"/>
            <w:vAlign w:val="bottom"/>
          </w:tcPr>
          <w:p>
            <w:pPr>
              <w:jc w:val="right"/>
              <w:ind w:right="99"/>
              <w:spacing w:after="0"/>
              <w:rPr>
                <w:sz w:val="20"/>
                <w:szCs w:val="20"/>
                <w:color w:val="auto"/>
              </w:rPr>
            </w:pPr>
            <w:r>
              <w:rPr>
                <w:rFonts w:ascii="Arial" w:cs="Arial" w:eastAsia="Arial" w:hAnsi="Arial"/>
                <w:sz w:val="16"/>
                <w:szCs w:val="16"/>
                <w:color w:val="auto"/>
              </w:rPr>
              <w:t>245</w:t>
            </w: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(405)</w:t>
            </w:r>
          </w:p>
        </w:tc>
        <w:tc>
          <w:tcPr>
            <w:tcW w:w="680" w:type="dxa"/>
            <w:vAlign w:val="bottom"/>
          </w:tcPr>
          <w:p>
            <w:pPr>
              <w:jc w:val="right"/>
              <w:spacing w:after="0"/>
              <w:rPr>
                <w:sz w:val="20"/>
                <w:szCs w:val="20"/>
                <w:color w:val="auto"/>
              </w:rPr>
            </w:pPr>
            <w:r>
              <w:rPr>
                <w:rFonts w:ascii="Arial" w:cs="Arial" w:eastAsia="Arial" w:hAnsi="Arial"/>
                <w:sz w:val="16"/>
                <w:szCs w:val="16"/>
                <w:color w:val="auto"/>
              </w:rPr>
              <w:t>(5,844)</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(6,088)</w:t>
            </w:r>
          </w:p>
        </w:tc>
        <w:tc>
          <w:tcPr>
            <w:tcW w:w="0" w:type="dxa"/>
            <w:vAlign w:val="bottom"/>
          </w:tcPr>
          <w:p>
            <w:pPr>
              <w:spacing w:after="0"/>
              <w:rPr>
                <w:sz w:val="1"/>
                <w:szCs w:val="1"/>
                <w:color w:val="auto"/>
              </w:rPr>
            </w:pPr>
          </w:p>
        </w:tc>
      </w:tr>
      <w:tr>
        <w:trPr>
          <w:trHeight w:val="216"/>
        </w:trPr>
        <w:tc>
          <w:tcPr>
            <w:tcW w:w="3900" w:type="dxa"/>
            <w:vAlign w:val="bottom"/>
          </w:tcPr>
          <w:p>
            <w:pPr>
              <w:ind w:left="100"/>
              <w:spacing w:after="0"/>
              <w:rPr>
                <w:sz w:val="20"/>
                <w:szCs w:val="20"/>
                <w:color w:val="auto"/>
              </w:rPr>
            </w:pPr>
            <w:r>
              <w:rPr>
                <w:rFonts w:ascii="Arial" w:cs="Arial" w:eastAsia="Arial" w:hAnsi="Arial"/>
                <w:sz w:val="16"/>
                <w:szCs w:val="16"/>
                <w:color w:val="auto"/>
              </w:rPr>
              <w:t>Improved recovery</w:t>
            </w:r>
          </w:p>
        </w:tc>
        <w:tc>
          <w:tcPr>
            <w:tcW w:w="86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2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900" w:type="dxa"/>
            <w:vAlign w:val="bottom"/>
          </w:tcPr>
          <w:p>
            <w:pPr>
              <w:ind w:left="100"/>
              <w:spacing w:after="0"/>
              <w:rPr>
                <w:sz w:val="20"/>
                <w:szCs w:val="20"/>
                <w:color w:val="auto"/>
              </w:rPr>
            </w:pPr>
            <w:r>
              <w:rPr>
                <w:rFonts w:ascii="Arial" w:cs="Arial" w:eastAsia="Arial" w:hAnsi="Arial"/>
                <w:sz w:val="16"/>
                <w:szCs w:val="16"/>
                <w:color w:val="auto"/>
              </w:rPr>
              <w:t>Purchases</w:t>
            </w:r>
          </w:p>
        </w:tc>
        <w:tc>
          <w:tcPr>
            <w:tcW w:w="86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2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900" w:type="dxa"/>
            <w:vAlign w:val="bottom"/>
          </w:tcPr>
          <w:p>
            <w:pPr>
              <w:ind w:left="100"/>
              <w:spacing w:after="0"/>
              <w:rPr>
                <w:sz w:val="20"/>
                <w:szCs w:val="20"/>
                <w:color w:val="auto"/>
              </w:rPr>
            </w:pPr>
            <w:r>
              <w:rPr>
                <w:rFonts w:ascii="Arial" w:cs="Arial" w:eastAsia="Arial" w:hAnsi="Arial"/>
                <w:sz w:val="16"/>
                <w:szCs w:val="16"/>
                <w:color w:val="auto"/>
              </w:rPr>
              <w:t>Sales</w:t>
            </w:r>
          </w:p>
        </w:tc>
        <w:tc>
          <w:tcPr>
            <w:tcW w:w="860" w:type="dxa"/>
            <w:vAlign w:val="bottom"/>
          </w:tcPr>
          <w:p>
            <w:pPr>
              <w:jc w:val="right"/>
              <w:ind w:right="60"/>
              <w:spacing w:after="0"/>
              <w:rPr>
                <w:sz w:val="20"/>
                <w:szCs w:val="20"/>
                <w:color w:val="auto"/>
              </w:rPr>
            </w:pPr>
            <w:r>
              <w:rPr>
                <w:rFonts w:ascii="Arial" w:cs="Arial" w:eastAsia="Arial" w:hAnsi="Arial"/>
                <w:sz w:val="16"/>
                <w:szCs w:val="16"/>
                <w:color w:val="auto"/>
              </w:rPr>
              <w:t>(35)</w:t>
            </w:r>
          </w:p>
        </w:tc>
        <w:tc>
          <w:tcPr>
            <w:tcW w:w="940" w:type="dxa"/>
            <w:vAlign w:val="bottom"/>
          </w:tcPr>
          <w:p>
            <w:pPr>
              <w:jc w:val="right"/>
              <w:ind w:right="60"/>
              <w:spacing w:after="0"/>
              <w:rPr>
                <w:sz w:val="20"/>
                <w:szCs w:val="20"/>
                <w:color w:val="auto"/>
              </w:rPr>
            </w:pPr>
            <w:r>
              <w:rPr>
                <w:rFonts w:ascii="Arial" w:cs="Arial" w:eastAsia="Arial" w:hAnsi="Arial"/>
                <w:sz w:val="16"/>
                <w:szCs w:val="16"/>
                <w:color w:val="auto"/>
              </w:rPr>
              <w:t>(30)</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2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6"/>
        </w:trPr>
        <w:tc>
          <w:tcPr>
            <w:tcW w:w="3900" w:type="dxa"/>
            <w:vAlign w:val="bottom"/>
          </w:tcPr>
          <w:p>
            <w:pPr>
              <w:ind w:left="100"/>
              <w:spacing w:after="0"/>
              <w:rPr>
                <w:sz w:val="20"/>
                <w:szCs w:val="20"/>
                <w:color w:val="auto"/>
              </w:rPr>
            </w:pPr>
            <w:r>
              <w:rPr>
                <w:rFonts w:ascii="Arial" w:cs="Arial" w:eastAsia="Arial" w:hAnsi="Arial"/>
                <w:sz w:val="16"/>
                <w:szCs w:val="16"/>
                <w:color w:val="auto"/>
              </w:rPr>
              <w:t>Extensions/discoveries</w:t>
            </w:r>
          </w:p>
        </w:tc>
        <w:tc>
          <w:tcPr>
            <w:tcW w:w="860" w:type="dxa"/>
            <w:vAlign w:val="bottom"/>
          </w:tcPr>
          <w:p>
            <w:pPr>
              <w:jc w:val="right"/>
              <w:ind w:right="100"/>
              <w:spacing w:after="0"/>
              <w:rPr>
                <w:sz w:val="20"/>
                <w:szCs w:val="20"/>
                <w:color w:val="auto"/>
              </w:rPr>
            </w:pPr>
            <w:r>
              <w:rPr>
                <w:rFonts w:ascii="Arial" w:cs="Arial" w:eastAsia="Arial" w:hAnsi="Arial"/>
                <w:sz w:val="16"/>
                <w:szCs w:val="16"/>
                <w:color w:val="auto"/>
              </w:rPr>
              <w:t>433</w:t>
            </w:r>
          </w:p>
        </w:tc>
        <w:tc>
          <w:tcPr>
            <w:tcW w:w="940" w:type="dxa"/>
            <w:vAlign w:val="bottom"/>
          </w:tcPr>
          <w:p>
            <w:pPr>
              <w:jc w:val="right"/>
              <w:ind w:right="100"/>
              <w:spacing w:after="0"/>
              <w:rPr>
                <w:sz w:val="20"/>
                <w:szCs w:val="20"/>
                <w:color w:val="auto"/>
              </w:rPr>
            </w:pPr>
            <w:r>
              <w:rPr>
                <w:rFonts w:ascii="Arial" w:cs="Arial" w:eastAsia="Arial" w:hAnsi="Arial"/>
                <w:sz w:val="16"/>
                <w:szCs w:val="16"/>
                <w:color w:val="auto"/>
              </w:rPr>
              <w:t>1</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w:t>
            </w:r>
          </w:p>
        </w:tc>
        <w:tc>
          <w:tcPr>
            <w:tcW w:w="1060" w:type="dxa"/>
            <w:vAlign w:val="bottom"/>
          </w:tcPr>
          <w:p>
            <w:pPr>
              <w:jc w:val="right"/>
              <w:ind w:right="22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435</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459</w:t>
            </w:r>
          </w:p>
        </w:tc>
        <w:tc>
          <w:tcPr>
            <w:tcW w:w="0" w:type="dxa"/>
            <w:vAlign w:val="bottom"/>
          </w:tcPr>
          <w:p>
            <w:pPr>
              <w:spacing w:after="0"/>
              <w:rPr>
                <w:sz w:val="1"/>
                <w:szCs w:val="1"/>
                <w:color w:val="auto"/>
              </w:rPr>
            </w:pPr>
          </w:p>
        </w:tc>
      </w:tr>
      <w:tr>
        <w:trPr>
          <w:trHeight w:val="216"/>
        </w:trPr>
        <w:tc>
          <w:tcPr>
            <w:tcW w:w="3900" w:type="dxa"/>
            <w:vAlign w:val="bottom"/>
          </w:tcPr>
          <w:p>
            <w:pPr>
              <w:ind w:left="100"/>
              <w:spacing w:after="0"/>
              <w:rPr>
                <w:sz w:val="20"/>
                <w:szCs w:val="20"/>
                <w:color w:val="auto"/>
              </w:rPr>
            </w:pPr>
            <w:r>
              <w:rPr>
                <w:rFonts w:ascii="Arial" w:cs="Arial" w:eastAsia="Arial" w:hAnsi="Arial"/>
                <w:sz w:val="16"/>
                <w:szCs w:val="16"/>
                <w:color w:val="auto"/>
              </w:rPr>
              <w:t>Production</w:t>
            </w:r>
          </w:p>
        </w:tc>
        <w:tc>
          <w:tcPr>
            <w:tcW w:w="8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(1,081)</w:t>
            </w: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(123)</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w:t>
            </w:r>
          </w:p>
        </w:tc>
        <w:tc>
          <w:tcPr>
            <w:tcW w:w="10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(34)</w:t>
            </w:r>
          </w:p>
        </w:tc>
        <w:tc>
          <w:tcPr>
            <w:tcW w:w="6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(369)</w:t>
            </w:r>
          </w:p>
        </w:tc>
        <w:tc>
          <w:tcPr>
            <w:tcW w:w="9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(462)</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(2,246)</w:t>
            </w:r>
          </w:p>
        </w:tc>
        <w:tc>
          <w:tcPr>
            <w:tcW w:w="12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(1,113)</w:t>
            </w:r>
          </w:p>
        </w:tc>
        <w:tc>
          <w:tcPr>
            <w:tcW w:w="0" w:type="dxa"/>
            <w:vAlign w:val="bottom"/>
          </w:tcPr>
          <w:p>
            <w:pPr>
              <w:spacing w:after="0"/>
              <w:rPr>
                <w:sz w:val="1"/>
                <w:szCs w:val="1"/>
                <w:color w:val="auto"/>
              </w:rPr>
            </w:pPr>
          </w:p>
        </w:tc>
      </w:tr>
      <w:tr>
        <w:trPr>
          <w:trHeight w:val="209"/>
        </w:trPr>
        <w:tc>
          <w:tcPr>
            <w:tcW w:w="3900" w:type="dxa"/>
            <w:vAlign w:val="bottom"/>
          </w:tcPr>
          <w:p>
            <w:pPr>
              <w:ind w:left="20"/>
              <w:spacing w:after="0"/>
              <w:rPr>
                <w:sz w:val="20"/>
                <w:szCs w:val="20"/>
                <w:color w:val="auto"/>
              </w:rPr>
            </w:pPr>
            <w:r>
              <w:rPr>
                <w:rFonts w:ascii="Arial" w:cs="Arial" w:eastAsia="Arial" w:hAnsi="Arial"/>
                <w:sz w:val="16"/>
                <w:szCs w:val="16"/>
                <w:color w:val="auto"/>
              </w:rPr>
              <w:t>December 31, 2020</w:t>
            </w:r>
          </w:p>
        </w:tc>
        <w:tc>
          <w:tcPr>
            <w:tcW w:w="8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13,439</w:t>
            </w:r>
          </w:p>
        </w:tc>
        <w:tc>
          <w:tcPr>
            <w:tcW w:w="9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561</w:t>
            </w: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441</w:t>
            </w:r>
          </w:p>
        </w:tc>
        <w:tc>
          <w:tcPr>
            <w:tcW w:w="106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auto"/>
              </w:rPr>
              <w:t>320</w:t>
            </w:r>
          </w:p>
        </w:tc>
        <w:tc>
          <w:tcPr>
            <w:tcW w:w="6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4,309</w:t>
            </w:r>
          </w:p>
        </w:tc>
        <w:tc>
          <w:tcPr>
            <w:tcW w:w="9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6,134</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25,204</w:t>
            </w:r>
          </w:p>
        </w:tc>
        <w:tc>
          <w:tcPr>
            <w:tcW w:w="12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11,837</w:t>
            </w:r>
          </w:p>
        </w:tc>
        <w:tc>
          <w:tcPr>
            <w:tcW w:w="0" w:type="dxa"/>
            <w:vAlign w:val="bottom"/>
          </w:tcPr>
          <w:p>
            <w:pPr>
              <w:spacing w:after="0"/>
              <w:rPr>
                <w:sz w:val="1"/>
                <w:szCs w:val="1"/>
                <w:color w:val="auto"/>
              </w:rPr>
            </w:pPr>
          </w:p>
        </w:tc>
      </w:tr>
      <w:tr>
        <w:trPr>
          <w:trHeight w:val="182"/>
        </w:trPr>
        <w:tc>
          <w:tcPr>
            <w:tcW w:w="3900" w:type="dxa"/>
            <w:vAlign w:val="bottom"/>
          </w:tcPr>
          <w:p>
            <w:pPr>
              <w:ind w:left="20"/>
              <w:spacing w:after="0"/>
              <w:rPr>
                <w:sz w:val="20"/>
                <w:szCs w:val="20"/>
                <w:color w:val="auto"/>
              </w:rPr>
            </w:pPr>
            <w:r>
              <w:rPr>
                <w:rFonts w:ascii="Arial" w:cs="Arial" w:eastAsia="Arial" w:hAnsi="Arial"/>
                <w:sz w:val="14"/>
                <w:szCs w:val="14"/>
                <w:i w:val="1"/>
                <w:iCs w:val="1"/>
                <w:color w:val="auto"/>
              </w:rPr>
              <w:t>Attributable to noncontrolling interests</w:t>
            </w:r>
          </w:p>
        </w:tc>
        <w:tc>
          <w:tcPr>
            <w:tcW w:w="860" w:type="dxa"/>
            <w:vAlign w:val="bottom"/>
          </w:tcPr>
          <w:p>
            <w:pPr>
              <w:spacing w:after="0"/>
              <w:rPr>
                <w:sz w:val="15"/>
                <w:szCs w:val="15"/>
                <w:color w:val="auto"/>
              </w:rPr>
            </w:pPr>
          </w:p>
        </w:tc>
        <w:tc>
          <w:tcPr>
            <w:tcW w:w="940" w:type="dxa"/>
            <w:vAlign w:val="bottom"/>
          </w:tcPr>
          <w:p>
            <w:pPr>
              <w:jc w:val="right"/>
              <w:ind w:right="100"/>
              <w:spacing w:after="0"/>
              <w:rPr>
                <w:sz w:val="20"/>
                <w:szCs w:val="20"/>
                <w:color w:val="auto"/>
              </w:rPr>
            </w:pPr>
            <w:r>
              <w:rPr>
                <w:rFonts w:ascii="Arial" w:cs="Arial" w:eastAsia="Arial" w:hAnsi="Arial"/>
                <w:sz w:val="14"/>
                <w:szCs w:val="14"/>
                <w:i w:val="1"/>
                <w:iCs w:val="1"/>
                <w:color w:val="auto"/>
              </w:rPr>
              <w:t>84</w:t>
            </w:r>
          </w:p>
        </w:tc>
        <w:tc>
          <w:tcPr>
            <w:tcW w:w="7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4"/>
        </w:trPr>
        <w:tc>
          <w:tcPr>
            <w:tcW w:w="3900" w:type="dxa"/>
            <w:vAlign w:val="bottom"/>
          </w:tcPr>
          <w:p>
            <w:pPr>
              <w:ind w:left="20"/>
              <w:spacing w:after="0"/>
              <w:rPr>
                <w:sz w:val="20"/>
                <w:szCs w:val="20"/>
                <w:color w:val="auto"/>
              </w:rPr>
            </w:pPr>
            <w:r>
              <w:rPr>
                <w:rFonts w:ascii="Arial" w:cs="Arial" w:eastAsia="Arial" w:hAnsi="Arial"/>
                <w:sz w:val="16"/>
                <w:szCs w:val="16"/>
                <w:color w:val="auto"/>
              </w:rPr>
              <w:t>Proportional interest in proved reserves</w:t>
            </w:r>
          </w:p>
        </w:tc>
        <w:tc>
          <w:tcPr>
            <w:tcW w:w="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3900" w:type="dxa"/>
            <w:vAlign w:val="bottom"/>
          </w:tcPr>
          <w:p>
            <w:pPr>
              <w:ind w:left="20"/>
              <w:spacing w:after="0"/>
              <w:rPr>
                <w:sz w:val="20"/>
                <w:szCs w:val="20"/>
                <w:color w:val="auto"/>
              </w:rPr>
            </w:pPr>
            <w:r>
              <w:rPr>
                <w:rFonts w:ascii="Arial" w:cs="Arial" w:eastAsia="Arial" w:hAnsi="Arial"/>
                <w:sz w:val="16"/>
                <w:szCs w:val="16"/>
                <w:color w:val="auto"/>
              </w:rPr>
              <w:t>of equity companies</w:t>
            </w:r>
          </w:p>
        </w:tc>
        <w:tc>
          <w:tcPr>
            <w:tcW w:w="8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20"/>
              <w:spacing w:after="0"/>
              <w:rPr>
                <w:sz w:val="20"/>
                <w:szCs w:val="20"/>
                <w:color w:val="auto"/>
              </w:rPr>
            </w:pPr>
            <w:r>
              <w:rPr>
                <w:rFonts w:ascii="Arial" w:cs="Arial" w:eastAsia="Arial" w:hAnsi="Arial"/>
                <w:sz w:val="16"/>
                <w:szCs w:val="16"/>
                <w:color w:val="auto"/>
              </w:rPr>
              <w:t>January 1, 2020</w:t>
            </w:r>
          </w:p>
        </w:tc>
        <w:tc>
          <w:tcPr>
            <w:tcW w:w="860" w:type="dxa"/>
            <w:vAlign w:val="bottom"/>
          </w:tcPr>
          <w:p>
            <w:pPr>
              <w:jc w:val="right"/>
              <w:ind w:right="100"/>
              <w:spacing w:after="0"/>
              <w:rPr>
                <w:sz w:val="20"/>
                <w:szCs w:val="20"/>
                <w:color w:val="auto"/>
              </w:rPr>
            </w:pPr>
            <w:r>
              <w:rPr>
                <w:rFonts w:ascii="Arial" w:cs="Arial" w:eastAsia="Arial" w:hAnsi="Arial"/>
                <w:sz w:val="16"/>
                <w:szCs w:val="16"/>
                <w:color w:val="auto"/>
              </w:rPr>
              <w:t>213</w:t>
            </w:r>
          </w:p>
        </w:tc>
        <w:tc>
          <w:tcPr>
            <w:tcW w:w="94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581</w:t>
            </w:r>
          </w:p>
        </w:tc>
        <w:tc>
          <w:tcPr>
            <w:tcW w:w="1060" w:type="dxa"/>
            <w:vAlign w:val="bottom"/>
          </w:tcPr>
          <w:p>
            <w:pPr>
              <w:jc w:val="right"/>
              <w:ind w:right="220"/>
              <w:spacing w:after="0"/>
              <w:rPr>
                <w:sz w:val="20"/>
                <w:szCs w:val="20"/>
                <w:color w:val="auto"/>
              </w:rPr>
            </w:pPr>
            <w:r>
              <w:rPr>
                <w:rFonts w:ascii="Arial" w:cs="Arial" w:eastAsia="Arial" w:hAnsi="Arial"/>
                <w:sz w:val="16"/>
                <w:szCs w:val="16"/>
                <w:color w:val="auto"/>
              </w:rPr>
              <w:t>908</w:t>
            </w:r>
          </w:p>
        </w:tc>
        <w:tc>
          <w:tcPr>
            <w:tcW w:w="660" w:type="dxa"/>
            <w:vAlign w:val="bottom"/>
          </w:tcPr>
          <w:p>
            <w:pPr>
              <w:jc w:val="right"/>
              <w:ind w:right="99"/>
              <w:spacing w:after="0"/>
              <w:rPr>
                <w:sz w:val="20"/>
                <w:szCs w:val="20"/>
                <w:color w:val="auto"/>
              </w:rPr>
            </w:pPr>
            <w:r>
              <w:rPr>
                <w:rFonts w:ascii="Arial" w:cs="Arial" w:eastAsia="Arial" w:hAnsi="Arial"/>
                <w:sz w:val="16"/>
                <w:szCs w:val="16"/>
                <w:color w:val="auto"/>
                <w:w w:val="93"/>
              </w:rPr>
              <w:t>12,454</w:t>
            </w:r>
          </w:p>
        </w:tc>
        <w:tc>
          <w:tcPr>
            <w:tcW w:w="9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14,156</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3,849</w:t>
            </w:r>
          </w:p>
        </w:tc>
        <w:tc>
          <w:tcPr>
            <w:tcW w:w="0" w:type="dxa"/>
            <w:vAlign w:val="bottom"/>
          </w:tcPr>
          <w:p>
            <w:pPr>
              <w:spacing w:after="0"/>
              <w:rPr>
                <w:sz w:val="1"/>
                <w:szCs w:val="1"/>
                <w:color w:val="auto"/>
              </w:rPr>
            </w:pPr>
          </w:p>
        </w:tc>
      </w:tr>
      <w:tr>
        <w:trPr>
          <w:trHeight w:val="216"/>
        </w:trPr>
        <w:tc>
          <w:tcPr>
            <w:tcW w:w="3900" w:type="dxa"/>
            <w:vAlign w:val="bottom"/>
          </w:tcPr>
          <w:p>
            <w:pPr>
              <w:ind w:left="100"/>
              <w:spacing w:after="0"/>
              <w:rPr>
                <w:sz w:val="20"/>
                <w:szCs w:val="20"/>
                <w:color w:val="auto"/>
              </w:rPr>
            </w:pPr>
            <w:r>
              <w:rPr>
                <w:rFonts w:ascii="Arial" w:cs="Arial" w:eastAsia="Arial" w:hAnsi="Arial"/>
                <w:sz w:val="16"/>
                <w:szCs w:val="16"/>
                <w:color w:val="auto"/>
              </w:rPr>
              <w:t>Revisions</w:t>
            </w:r>
          </w:p>
        </w:tc>
        <w:tc>
          <w:tcPr>
            <w:tcW w:w="860" w:type="dxa"/>
            <w:vAlign w:val="bottom"/>
          </w:tcPr>
          <w:p>
            <w:pPr>
              <w:jc w:val="right"/>
              <w:ind w:right="60"/>
              <w:spacing w:after="0"/>
              <w:rPr>
                <w:sz w:val="20"/>
                <w:szCs w:val="20"/>
                <w:color w:val="auto"/>
              </w:rPr>
            </w:pPr>
            <w:r>
              <w:rPr>
                <w:rFonts w:ascii="Arial" w:cs="Arial" w:eastAsia="Arial" w:hAnsi="Arial"/>
                <w:sz w:val="16"/>
                <w:szCs w:val="16"/>
                <w:color w:val="auto"/>
              </w:rPr>
              <w:t>(99)</w:t>
            </w:r>
          </w:p>
        </w:tc>
        <w:tc>
          <w:tcPr>
            <w:tcW w:w="94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(95)</w:t>
            </w:r>
          </w:p>
        </w:tc>
        <w:tc>
          <w:tcPr>
            <w:tcW w:w="1060" w:type="dxa"/>
            <w:vAlign w:val="bottom"/>
          </w:tcPr>
          <w:p>
            <w:pPr>
              <w:jc w:val="right"/>
              <w:ind w:right="220"/>
              <w:spacing w:after="0"/>
              <w:rPr>
                <w:sz w:val="20"/>
                <w:szCs w:val="20"/>
                <w:color w:val="auto"/>
              </w:rPr>
            </w:pPr>
            <w:r>
              <w:rPr>
                <w:rFonts w:ascii="Arial" w:cs="Arial" w:eastAsia="Arial" w:hAnsi="Arial"/>
                <w:sz w:val="16"/>
                <w:szCs w:val="16"/>
                <w:color w:val="auto"/>
              </w:rPr>
              <w:t>9</w:t>
            </w:r>
          </w:p>
        </w:tc>
        <w:tc>
          <w:tcPr>
            <w:tcW w:w="660" w:type="dxa"/>
            <w:vAlign w:val="bottom"/>
          </w:tcPr>
          <w:p>
            <w:pPr>
              <w:jc w:val="right"/>
              <w:ind w:right="59"/>
              <w:spacing w:after="0"/>
              <w:rPr>
                <w:sz w:val="20"/>
                <w:szCs w:val="20"/>
                <w:color w:val="auto"/>
              </w:rPr>
            </w:pPr>
            <w:r>
              <w:rPr>
                <w:rFonts w:ascii="Arial" w:cs="Arial" w:eastAsia="Arial" w:hAnsi="Arial"/>
                <w:sz w:val="16"/>
                <w:szCs w:val="16"/>
                <w:color w:val="auto"/>
              </w:rPr>
              <w:t>(106)</w:t>
            </w:r>
          </w:p>
        </w:tc>
        <w:tc>
          <w:tcPr>
            <w:tcW w:w="9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(291)</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(172)</w:t>
            </w:r>
          </w:p>
        </w:tc>
        <w:tc>
          <w:tcPr>
            <w:tcW w:w="0" w:type="dxa"/>
            <w:vAlign w:val="bottom"/>
          </w:tcPr>
          <w:p>
            <w:pPr>
              <w:spacing w:after="0"/>
              <w:rPr>
                <w:sz w:val="1"/>
                <w:szCs w:val="1"/>
                <w:color w:val="auto"/>
              </w:rPr>
            </w:pPr>
          </w:p>
        </w:tc>
      </w:tr>
      <w:tr>
        <w:trPr>
          <w:trHeight w:val="216"/>
        </w:trPr>
        <w:tc>
          <w:tcPr>
            <w:tcW w:w="3900" w:type="dxa"/>
            <w:vAlign w:val="bottom"/>
          </w:tcPr>
          <w:p>
            <w:pPr>
              <w:ind w:left="100"/>
              <w:spacing w:after="0"/>
              <w:rPr>
                <w:sz w:val="20"/>
                <w:szCs w:val="20"/>
                <w:color w:val="auto"/>
              </w:rPr>
            </w:pPr>
            <w:r>
              <w:rPr>
                <w:rFonts w:ascii="Arial" w:cs="Arial" w:eastAsia="Arial" w:hAnsi="Arial"/>
                <w:sz w:val="16"/>
                <w:szCs w:val="16"/>
                <w:color w:val="auto"/>
              </w:rPr>
              <w:t>Improved recovery</w:t>
            </w:r>
          </w:p>
        </w:tc>
        <w:tc>
          <w:tcPr>
            <w:tcW w:w="86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2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900" w:type="dxa"/>
            <w:vAlign w:val="bottom"/>
          </w:tcPr>
          <w:p>
            <w:pPr>
              <w:ind w:left="100"/>
              <w:spacing w:after="0"/>
              <w:rPr>
                <w:sz w:val="20"/>
                <w:szCs w:val="20"/>
                <w:color w:val="auto"/>
              </w:rPr>
            </w:pPr>
            <w:r>
              <w:rPr>
                <w:rFonts w:ascii="Arial" w:cs="Arial" w:eastAsia="Arial" w:hAnsi="Arial"/>
                <w:sz w:val="16"/>
                <w:szCs w:val="16"/>
                <w:color w:val="auto"/>
              </w:rPr>
              <w:t>Purchases</w:t>
            </w:r>
          </w:p>
        </w:tc>
        <w:tc>
          <w:tcPr>
            <w:tcW w:w="86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2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900" w:type="dxa"/>
            <w:vAlign w:val="bottom"/>
          </w:tcPr>
          <w:p>
            <w:pPr>
              <w:ind w:left="100"/>
              <w:spacing w:after="0"/>
              <w:rPr>
                <w:sz w:val="20"/>
                <w:szCs w:val="20"/>
                <w:color w:val="auto"/>
              </w:rPr>
            </w:pPr>
            <w:r>
              <w:rPr>
                <w:rFonts w:ascii="Arial" w:cs="Arial" w:eastAsia="Arial" w:hAnsi="Arial"/>
                <w:sz w:val="16"/>
                <w:szCs w:val="16"/>
                <w:color w:val="auto"/>
              </w:rPr>
              <w:t>Sales</w:t>
            </w:r>
          </w:p>
        </w:tc>
        <w:tc>
          <w:tcPr>
            <w:tcW w:w="86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2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900" w:type="dxa"/>
            <w:vAlign w:val="bottom"/>
          </w:tcPr>
          <w:p>
            <w:pPr>
              <w:ind w:left="100"/>
              <w:spacing w:after="0"/>
              <w:rPr>
                <w:sz w:val="20"/>
                <w:szCs w:val="20"/>
                <w:color w:val="auto"/>
              </w:rPr>
            </w:pPr>
            <w:r>
              <w:rPr>
                <w:rFonts w:ascii="Arial" w:cs="Arial" w:eastAsia="Arial" w:hAnsi="Arial"/>
                <w:sz w:val="16"/>
                <w:szCs w:val="16"/>
                <w:color w:val="auto"/>
              </w:rPr>
              <w:t>Extensions/discoveries</w:t>
            </w:r>
          </w:p>
        </w:tc>
        <w:tc>
          <w:tcPr>
            <w:tcW w:w="86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2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900" w:type="dxa"/>
            <w:vAlign w:val="bottom"/>
          </w:tcPr>
          <w:p>
            <w:pPr>
              <w:ind w:left="100"/>
              <w:spacing w:after="0"/>
              <w:rPr>
                <w:sz w:val="20"/>
                <w:szCs w:val="20"/>
                <w:color w:val="auto"/>
              </w:rPr>
            </w:pPr>
            <w:r>
              <w:rPr>
                <w:rFonts w:ascii="Arial" w:cs="Arial" w:eastAsia="Arial" w:hAnsi="Arial"/>
                <w:sz w:val="16"/>
                <w:szCs w:val="16"/>
                <w:color w:val="auto"/>
              </w:rPr>
              <w:t>Production</w:t>
            </w:r>
          </w:p>
        </w:tc>
        <w:tc>
          <w:tcPr>
            <w:tcW w:w="8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(12)</w:t>
            </w:r>
          </w:p>
        </w:tc>
        <w:tc>
          <w:tcPr>
            <w:tcW w:w="9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w:t>
            </w:r>
          </w:p>
        </w:tc>
        <w:tc>
          <w:tcPr>
            <w:tcW w:w="106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(971)</w:t>
            </w:r>
          </w:p>
        </w:tc>
        <w:tc>
          <w:tcPr>
            <w:tcW w:w="9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(1,109)</w:t>
            </w:r>
          </w:p>
        </w:tc>
        <w:tc>
          <w:tcPr>
            <w:tcW w:w="12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(303)</w:t>
            </w:r>
          </w:p>
        </w:tc>
        <w:tc>
          <w:tcPr>
            <w:tcW w:w="0" w:type="dxa"/>
            <w:vAlign w:val="bottom"/>
          </w:tcPr>
          <w:p>
            <w:pPr>
              <w:spacing w:after="0"/>
              <w:rPr>
                <w:sz w:val="1"/>
                <w:szCs w:val="1"/>
                <w:color w:val="auto"/>
              </w:rPr>
            </w:pPr>
          </w:p>
        </w:tc>
      </w:tr>
      <w:tr>
        <w:trPr>
          <w:trHeight w:val="210"/>
        </w:trPr>
        <w:tc>
          <w:tcPr>
            <w:tcW w:w="3900" w:type="dxa"/>
            <w:vAlign w:val="bottom"/>
          </w:tcPr>
          <w:p>
            <w:pPr>
              <w:ind w:left="20"/>
              <w:spacing w:after="0"/>
              <w:rPr>
                <w:sz w:val="20"/>
                <w:szCs w:val="20"/>
                <w:color w:val="auto"/>
              </w:rPr>
            </w:pPr>
            <w:r>
              <w:rPr>
                <w:rFonts w:ascii="Arial" w:cs="Arial" w:eastAsia="Arial" w:hAnsi="Arial"/>
                <w:sz w:val="16"/>
                <w:szCs w:val="16"/>
                <w:color w:val="auto"/>
              </w:rPr>
              <w:t>December 31, 2020</w:t>
            </w:r>
          </w:p>
        </w:tc>
        <w:tc>
          <w:tcPr>
            <w:tcW w:w="8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102</w:t>
            </w:r>
          </w:p>
        </w:tc>
        <w:tc>
          <w:tcPr>
            <w:tcW w:w="9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360</w:t>
            </w:r>
          </w:p>
        </w:tc>
        <w:tc>
          <w:tcPr>
            <w:tcW w:w="106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auto"/>
              </w:rPr>
              <w:t>917</w:t>
            </w:r>
          </w:p>
        </w:tc>
        <w:tc>
          <w:tcPr>
            <w:tcW w:w="6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93"/>
              </w:rPr>
              <w:t>11,377</w:t>
            </w:r>
          </w:p>
        </w:tc>
        <w:tc>
          <w:tcPr>
            <w:tcW w:w="9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12,756</w:t>
            </w:r>
          </w:p>
        </w:tc>
        <w:tc>
          <w:tcPr>
            <w:tcW w:w="12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3,374</w:t>
            </w:r>
          </w:p>
        </w:tc>
        <w:tc>
          <w:tcPr>
            <w:tcW w:w="0" w:type="dxa"/>
            <w:vAlign w:val="bottom"/>
          </w:tcPr>
          <w:p>
            <w:pPr>
              <w:spacing w:after="0"/>
              <w:rPr>
                <w:sz w:val="1"/>
                <w:szCs w:val="1"/>
                <w:color w:val="auto"/>
              </w:rPr>
            </w:pPr>
          </w:p>
        </w:tc>
      </w:tr>
      <w:tr>
        <w:trPr>
          <w:trHeight w:val="213"/>
        </w:trPr>
        <w:tc>
          <w:tcPr>
            <w:tcW w:w="3900" w:type="dxa"/>
            <w:vAlign w:val="bottom"/>
          </w:tcPr>
          <w:p>
            <w:pPr>
              <w:ind w:left="20"/>
              <w:spacing w:after="0"/>
              <w:rPr>
                <w:sz w:val="20"/>
                <w:szCs w:val="20"/>
                <w:color w:val="auto"/>
              </w:rPr>
            </w:pPr>
            <w:r>
              <w:rPr>
                <w:rFonts w:ascii="Arial" w:cs="Arial" w:eastAsia="Arial" w:hAnsi="Arial"/>
                <w:sz w:val="16"/>
                <w:szCs w:val="16"/>
                <w:color w:val="auto"/>
              </w:rPr>
              <w:t>Total proved reserves at December 31, 2020</w:t>
            </w:r>
          </w:p>
        </w:tc>
        <w:tc>
          <w:tcPr>
            <w:tcW w:w="8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13,541</w:t>
            </w:r>
          </w:p>
        </w:tc>
        <w:tc>
          <w:tcPr>
            <w:tcW w:w="9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561</w:t>
            </w: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801</w:t>
            </w:r>
          </w:p>
        </w:tc>
        <w:tc>
          <w:tcPr>
            <w:tcW w:w="106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auto"/>
              </w:rPr>
              <w:t>1,237</w:t>
            </w:r>
          </w:p>
        </w:tc>
        <w:tc>
          <w:tcPr>
            <w:tcW w:w="6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93"/>
              </w:rPr>
              <w:t>15,686</w:t>
            </w:r>
          </w:p>
        </w:tc>
        <w:tc>
          <w:tcPr>
            <w:tcW w:w="9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6,134</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37,960</w:t>
            </w:r>
          </w:p>
        </w:tc>
        <w:tc>
          <w:tcPr>
            <w:tcW w:w="12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15,211</w:t>
            </w:r>
          </w:p>
        </w:tc>
        <w:tc>
          <w:tcPr>
            <w:tcW w:w="0" w:type="dxa"/>
            <w:vAlign w:val="bottom"/>
          </w:tcPr>
          <w:p>
            <w:pPr>
              <w:spacing w:after="0"/>
              <w:rPr>
                <w:sz w:val="1"/>
                <w:szCs w:val="1"/>
                <w:color w:val="auto"/>
              </w:rPr>
            </w:pPr>
          </w:p>
        </w:tc>
      </w:tr>
    </w:tbl>
    <w:p>
      <w:pPr>
        <w:spacing w:after="0" w:line="152"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6"/>
          <w:szCs w:val="16"/>
          <w:i w:val="1"/>
          <w:iCs w:val="1"/>
          <w:color w:val="auto"/>
        </w:rPr>
      </w:pPr>
      <w:r>
        <w:rPr>
          <w:rFonts w:ascii="Arial" w:cs="Arial" w:eastAsia="Arial" w:hAnsi="Arial"/>
          <w:sz w:val="16"/>
          <w:szCs w:val="16"/>
          <w:i w:val="1"/>
          <w:iCs w:val="1"/>
          <w:color w:val="auto"/>
        </w:rPr>
        <w:t>Natural gas is converted to an oil-equivalent basis at six billion cubic feet per one million barrels.</w:t>
      </w:r>
    </w:p>
    <w:p>
      <w:pPr>
        <w:spacing w:after="0" w:line="200" w:lineRule="exact"/>
        <w:rPr>
          <w:rFonts w:ascii="Arial" w:cs="Arial" w:eastAsia="Arial" w:hAnsi="Arial"/>
          <w:sz w:val="16"/>
          <w:szCs w:val="16"/>
          <w:i w:val="1"/>
          <w:iCs w:val="1"/>
          <w:color w:val="auto"/>
        </w:rPr>
      </w:pPr>
    </w:p>
    <w:p>
      <w:pPr>
        <w:spacing w:after="0" w:line="246" w:lineRule="exact"/>
        <w:rPr>
          <w:rFonts w:ascii="Arial" w:cs="Arial" w:eastAsia="Arial" w:hAnsi="Arial"/>
          <w:sz w:val="16"/>
          <w:szCs w:val="16"/>
          <w:i w:val="1"/>
          <w:iCs w:val="1"/>
          <w:color w:val="auto"/>
        </w:rPr>
      </w:pPr>
    </w:p>
    <w:p>
      <w:pPr>
        <w:ind w:left="5500"/>
        <w:spacing w:after="0"/>
        <w:rPr>
          <w:rFonts w:ascii="Arial" w:cs="Arial" w:eastAsia="Arial" w:hAnsi="Arial"/>
          <w:sz w:val="16"/>
          <w:szCs w:val="16"/>
          <w:i w:val="1"/>
          <w:iCs w:val="1"/>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120" w:name="page121"/>
    <w:bookmarkEnd w:id="120"/>
    <w:p>
      <w:pPr>
        <w:ind w:left="20"/>
        <w:spacing w:after="0"/>
        <w:rPr>
          <w:sz w:val="20"/>
          <w:szCs w:val="20"/>
          <w:color w:val="auto"/>
        </w:rPr>
      </w:pPr>
      <w:r>
        <w:rPr>
          <w:rFonts w:ascii="Arial" w:cs="Arial" w:eastAsia="Arial" w:hAnsi="Arial"/>
          <w:sz w:val="16"/>
          <w:szCs w:val="16"/>
          <w:b w:val="1"/>
          <w:bCs w:val="1"/>
          <w:color w:val="auto"/>
        </w:rPr>
        <w:t>Natural Gas and Oil-Equivalent Proved Reserves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8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tcPr>
          <w:p>
            <w:pPr>
              <w:jc w:val="center"/>
              <w:ind w:right="120"/>
              <w:spacing w:after="0"/>
              <w:rPr>
                <w:sz w:val="20"/>
                <w:szCs w:val="20"/>
                <w:color w:val="auto"/>
              </w:rPr>
            </w:pPr>
            <w:r>
              <w:rPr>
                <w:rFonts w:ascii="Arial" w:cs="Arial" w:eastAsia="Arial" w:hAnsi="Arial"/>
                <w:sz w:val="14"/>
                <w:szCs w:val="14"/>
                <w:color w:val="auto"/>
                <w:w w:val="93"/>
              </w:rPr>
              <w:t>Natural Gas</w:t>
            </w:r>
          </w:p>
        </w:tc>
        <w:tc>
          <w:tcPr>
            <w:tcW w:w="6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38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Oil-Equivalent</w:t>
            </w:r>
          </w:p>
        </w:tc>
        <w:tc>
          <w:tcPr>
            <w:tcW w:w="0" w:type="dxa"/>
            <w:vAlign w:val="bottom"/>
          </w:tcPr>
          <w:p>
            <w:pPr>
              <w:spacing w:after="0"/>
              <w:rPr>
                <w:sz w:val="1"/>
                <w:szCs w:val="1"/>
                <w:color w:val="auto"/>
              </w:rPr>
            </w:pPr>
          </w:p>
        </w:tc>
      </w:tr>
      <w:tr>
        <w:trPr>
          <w:trHeight w:val="128"/>
        </w:trPr>
        <w:tc>
          <w:tcPr>
            <w:tcW w:w="3860" w:type="dxa"/>
            <w:vAlign w:val="bottom"/>
          </w:tcPr>
          <w:p>
            <w:pPr>
              <w:spacing w:after="0"/>
              <w:rPr>
                <w:sz w:val="11"/>
                <w:szCs w:val="11"/>
                <w:color w:val="auto"/>
              </w:rPr>
            </w:pPr>
          </w:p>
        </w:tc>
        <w:tc>
          <w:tcPr>
            <w:tcW w:w="860" w:type="dxa"/>
            <w:vAlign w:val="bottom"/>
            <w:vMerge w:val="restart"/>
          </w:tcPr>
          <w:p>
            <w:pPr>
              <w:jc w:val="right"/>
              <w:ind w:right="200"/>
              <w:spacing w:after="0"/>
              <w:rPr>
                <w:sz w:val="20"/>
                <w:szCs w:val="20"/>
                <w:color w:val="auto"/>
              </w:rPr>
            </w:pPr>
            <w:r>
              <w:rPr>
                <w:rFonts w:ascii="Arial" w:cs="Arial" w:eastAsia="Arial" w:hAnsi="Arial"/>
                <w:sz w:val="14"/>
                <w:szCs w:val="14"/>
                <w:color w:val="auto"/>
              </w:rPr>
              <w:t>United</w:t>
            </w:r>
          </w:p>
        </w:tc>
        <w:tc>
          <w:tcPr>
            <w:tcW w:w="960" w:type="dxa"/>
            <w:vAlign w:val="bottom"/>
          </w:tcPr>
          <w:p>
            <w:pPr>
              <w:jc w:val="center"/>
              <w:ind w:right="41"/>
              <w:spacing w:after="0" w:line="129" w:lineRule="exact"/>
              <w:rPr>
                <w:sz w:val="20"/>
                <w:szCs w:val="20"/>
                <w:color w:val="auto"/>
              </w:rPr>
            </w:pPr>
            <w:r>
              <w:rPr>
                <w:rFonts w:ascii="Arial" w:cs="Arial" w:eastAsia="Arial" w:hAnsi="Arial"/>
                <w:sz w:val="14"/>
                <w:szCs w:val="14"/>
                <w:color w:val="auto"/>
                <w:w w:val="90"/>
              </w:rPr>
              <w:t>Canada/</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vMerge w:val="restart"/>
          </w:tcPr>
          <w:p>
            <w:pPr>
              <w:jc w:val="right"/>
              <w:ind w:right="220"/>
              <w:spacing w:after="0"/>
              <w:rPr>
                <w:sz w:val="20"/>
                <w:szCs w:val="20"/>
                <w:color w:val="auto"/>
              </w:rPr>
            </w:pPr>
            <w:r>
              <w:rPr>
                <w:rFonts w:ascii="Arial" w:cs="Arial" w:eastAsia="Arial" w:hAnsi="Arial"/>
                <w:sz w:val="14"/>
                <w:szCs w:val="14"/>
                <w:color w:val="auto"/>
              </w:rPr>
              <w:t>Australia/</w:t>
            </w: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6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960" w:type="dxa"/>
            <w:vAlign w:val="bottom"/>
          </w:tcPr>
          <w:p>
            <w:pPr>
              <w:jc w:val="center"/>
              <w:ind w:right="41"/>
              <w:spacing w:after="0" w:line="135" w:lineRule="exact"/>
              <w:rPr>
                <w:sz w:val="20"/>
                <w:szCs w:val="20"/>
                <w:color w:val="auto"/>
              </w:rPr>
            </w:pPr>
            <w:r>
              <w:rPr>
                <w:rFonts w:ascii="Arial" w:cs="Arial" w:eastAsia="Arial" w:hAnsi="Arial"/>
                <w:sz w:val="14"/>
                <w:szCs w:val="14"/>
                <w:color w:val="auto"/>
                <w:w w:val="91"/>
              </w:rPr>
              <w:t>Other</w:t>
            </w:r>
          </w:p>
        </w:tc>
        <w:tc>
          <w:tcPr>
            <w:tcW w:w="760" w:type="dxa"/>
            <w:vAlign w:val="bottom"/>
            <w:vMerge w:val="restart"/>
          </w:tcPr>
          <w:p>
            <w:pPr>
              <w:jc w:val="right"/>
              <w:ind w:right="120"/>
              <w:spacing w:after="0"/>
              <w:rPr>
                <w:sz w:val="20"/>
                <w:szCs w:val="20"/>
                <w:color w:val="auto"/>
              </w:rPr>
            </w:pPr>
            <w:r>
              <w:rPr>
                <w:rFonts w:ascii="Arial" w:cs="Arial" w:eastAsia="Arial" w:hAnsi="Arial"/>
                <w:sz w:val="14"/>
                <w:szCs w:val="14"/>
                <w:color w:val="auto"/>
              </w:rPr>
              <w:t>Europe</w:t>
            </w:r>
          </w:p>
        </w:tc>
        <w:tc>
          <w:tcPr>
            <w:tcW w:w="1060" w:type="dxa"/>
            <w:vAlign w:val="bottom"/>
            <w:vMerge w:val="restart"/>
          </w:tcPr>
          <w:p>
            <w:pPr>
              <w:jc w:val="center"/>
              <w:ind w:right="140"/>
              <w:spacing w:after="0"/>
              <w:rPr>
                <w:sz w:val="20"/>
                <w:szCs w:val="20"/>
                <w:color w:val="auto"/>
              </w:rPr>
            </w:pPr>
            <w:r>
              <w:rPr>
                <w:rFonts w:ascii="Arial" w:cs="Arial" w:eastAsia="Arial" w:hAnsi="Arial"/>
                <w:sz w:val="14"/>
                <w:szCs w:val="14"/>
                <w:color w:val="auto"/>
              </w:rPr>
              <w:t>Africa</w:t>
            </w:r>
          </w:p>
        </w:tc>
        <w:tc>
          <w:tcPr>
            <w:tcW w:w="620" w:type="dxa"/>
            <w:vAlign w:val="bottom"/>
            <w:vMerge w:val="restart"/>
          </w:tcPr>
          <w:p>
            <w:pPr>
              <w:jc w:val="right"/>
              <w:ind w:right="240"/>
              <w:spacing w:after="0"/>
              <w:rPr>
                <w:sz w:val="20"/>
                <w:szCs w:val="20"/>
                <w:color w:val="auto"/>
              </w:rPr>
            </w:pPr>
            <w:r>
              <w:rPr>
                <w:rFonts w:ascii="Arial" w:cs="Arial" w:eastAsia="Arial" w:hAnsi="Arial"/>
                <w:sz w:val="14"/>
                <w:szCs w:val="14"/>
                <w:color w:val="auto"/>
              </w:rPr>
              <w:t>Asia</w:t>
            </w:r>
          </w:p>
        </w:tc>
        <w:tc>
          <w:tcPr>
            <w:tcW w:w="1020" w:type="dxa"/>
            <w:vAlign w:val="bottom"/>
            <w:vMerge w:val="continue"/>
          </w:tcPr>
          <w:p>
            <w:pPr>
              <w:spacing w:after="0"/>
              <w:rPr>
                <w:sz w:val="11"/>
                <w:szCs w:val="11"/>
                <w:color w:val="auto"/>
              </w:rPr>
            </w:pPr>
          </w:p>
        </w:tc>
        <w:tc>
          <w:tcPr>
            <w:tcW w:w="840" w:type="dxa"/>
            <w:vAlign w:val="bottom"/>
            <w:gridSpan w:val="2"/>
            <w:vMerge w:val="restart"/>
          </w:tcPr>
          <w:p>
            <w:pPr>
              <w:ind w:left="200"/>
              <w:spacing w:after="0"/>
              <w:rPr>
                <w:sz w:val="20"/>
                <w:szCs w:val="20"/>
                <w:color w:val="auto"/>
              </w:rPr>
            </w:pPr>
            <w:r>
              <w:rPr>
                <w:rFonts w:ascii="Arial" w:cs="Arial" w:eastAsia="Arial" w:hAnsi="Arial"/>
                <w:sz w:val="14"/>
                <w:szCs w:val="14"/>
                <w:color w:val="auto"/>
              </w:rPr>
              <w:t>Total</w:t>
            </w:r>
          </w:p>
        </w:tc>
        <w:tc>
          <w:tcPr>
            <w:tcW w:w="12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88"/>
        </w:trPr>
        <w:tc>
          <w:tcPr>
            <w:tcW w:w="3860" w:type="dxa"/>
            <w:vAlign w:val="bottom"/>
          </w:tcPr>
          <w:p>
            <w:pPr>
              <w:spacing w:after="0"/>
              <w:rPr>
                <w:sz w:val="16"/>
                <w:szCs w:val="16"/>
                <w:color w:val="auto"/>
              </w:rPr>
            </w:pPr>
          </w:p>
        </w:tc>
        <w:tc>
          <w:tcPr>
            <w:tcW w:w="860" w:type="dxa"/>
            <w:vAlign w:val="bottom"/>
          </w:tcPr>
          <w:p>
            <w:pPr>
              <w:jc w:val="right"/>
              <w:ind w:right="220"/>
              <w:spacing w:after="0"/>
              <w:rPr>
                <w:sz w:val="20"/>
                <w:szCs w:val="20"/>
                <w:color w:val="auto"/>
              </w:rPr>
            </w:pPr>
            <w:r>
              <w:rPr>
                <w:rFonts w:ascii="Arial" w:cs="Arial" w:eastAsia="Arial" w:hAnsi="Arial"/>
                <w:sz w:val="14"/>
                <w:szCs w:val="14"/>
                <w:color w:val="auto"/>
              </w:rPr>
              <w:t>States</w:t>
            </w:r>
          </w:p>
        </w:tc>
        <w:tc>
          <w:tcPr>
            <w:tcW w:w="960" w:type="dxa"/>
            <w:vAlign w:val="bottom"/>
          </w:tcPr>
          <w:p>
            <w:pPr>
              <w:jc w:val="center"/>
              <w:ind w:right="41"/>
              <w:spacing w:after="0"/>
              <w:rPr>
                <w:sz w:val="20"/>
                <w:szCs w:val="20"/>
                <w:color w:val="auto"/>
              </w:rPr>
            </w:pPr>
            <w:r>
              <w:rPr>
                <w:rFonts w:ascii="Arial" w:cs="Arial" w:eastAsia="Arial" w:hAnsi="Arial"/>
                <w:sz w:val="14"/>
                <w:szCs w:val="14"/>
                <w:color w:val="auto"/>
                <w:w w:val="95"/>
              </w:rPr>
              <w:t>Americas</w:t>
            </w:r>
          </w:p>
        </w:tc>
        <w:tc>
          <w:tcPr>
            <w:tcW w:w="760" w:type="dxa"/>
            <w:vAlign w:val="bottom"/>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1020" w:type="dxa"/>
            <w:vAlign w:val="bottom"/>
          </w:tcPr>
          <w:p>
            <w:pPr>
              <w:jc w:val="right"/>
              <w:ind w:right="280"/>
              <w:spacing w:after="0"/>
              <w:rPr>
                <w:sz w:val="20"/>
                <w:szCs w:val="20"/>
                <w:color w:val="auto"/>
              </w:rPr>
            </w:pPr>
            <w:r>
              <w:rPr>
                <w:rFonts w:ascii="Arial" w:cs="Arial" w:eastAsia="Arial" w:hAnsi="Arial"/>
                <w:sz w:val="14"/>
                <w:szCs w:val="14"/>
                <w:color w:val="auto"/>
              </w:rPr>
              <w:t>Oceania</w:t>
            </w:r>
          </w:p>
        </w:tc>
        <w:tc>
          <w:tcPr>
            <w:tcW w:w="840" w:type="dxa"/>
            <w:vAlign w:val="bottom"/>
            <w:gridSpan w:val="2"/>
            <w:vMerge w:val="continue"/>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4"/>
              </w:rPr>
              <w:t xml:space="preserve">All Products </w:t>
            </w:r>
            <w:r>
              <w:rPr>
                <w:rFonts w:ascii="Arial" w:cs="Arial" w:eastAsia="Arial" w:hAnsi="Arial"/>
                <w:sz w:val="14"/>
                <w:szCs w:val="14"/>
                <w:b w:val="1"/>
                <w:bCs w:val="1"/>
                <w:i w:val="1"/>
                <w:iCs w:val="1"/>
                <w:color w:val="auto"/>
                <w:w w:val="94"/>
              </w:rPr>
              <w:t>(1)</w:t>
            </w:r>
          </w:p>
        </w:tc>
        <w:tc>
          <w:tcPr>
            <w:tcW w:w="0" w:type="dxa"/>
            <w:vAlign w:val="bottom"/>
          </w:tcPr>
          <w:p>
            <w:pPr>
              <w:spacing w:after="0"/>
              <w:rPr>
                <w:sz w:val="1"/>
                <w:szCs w:val="1"/>
                <w:color w:val="auto"/>
              </w:rPr>
            </w:pPr>
          </w:p>
        </w:tc>
      </w:tr>
      <w:tr>
        <w:trPr>
          <w:trHeight w:val="130"/>
        </w:trPr>
        <w:tc>
          <w:tcPr>
            <w:tcW w:w="38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820" w:type="dxa"/>
            <w:vAlign w:val="bottom"/>
            <w:tcBorders>
              <w:top w:val="single" w:sz="8" w:color="auto"/>
            </w:tcBorders>
            <w:gridSpan w:val="2"/>
          </w:tcPr>
          <w:p>
            <w:pPr>
              <w:jc w:val="center"/>
              <w:ind w:left="480"/>
              <w:spacing w:after="0" w:line="130" w:lineRule="exact"/>
              <w:rPr>
                <w:sz w:val="20"/>
                <w:szCs w:val="20"/>
                <w:color w:val="auto"/>
              </w:rPr>
            </w:pPr>
            <w:r>
              <w:rPr>
                <w:rFonts w:ascii="Arial" w:cs="Arial" w:eastAsia="Arial" w:hAnsi="Arial"/>
                <w:sz w:val="14"/>
                <w:szCs w:val="14"/>
                <w:i w:val="1"/>
                <w:iCs w:val="1"/>
                <w:color w:val="auto"/>
                <w:w w:val="95"/>
              </w:rPr>
              <w:t>(billions of cubic feet)</w:t>
            </w:r>
          </w:p>
        </w:tc>
        <w:tc>
          <w:tcPr>
            <w:tcW w:w="6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Borders>
              <w:top w:val="single" w:sz="8" w:color="auto"/>
            </w:tcBorders>
          </w:tcPr>
          <w:p>
            <w:pPr>
              <w:jc w:val="center"/>
              <w:spacing w:after="0" w:line="130" w:lineRule="exact"/>
              <w:rPr>
                <w:sz w:val="20"/>
                <w:szCs w:val="20"/>
                <w:color w:val="auto"/>
              </w:rPr>
            </w:pPr>
            <w:r>
              <w:rPr>
                <w:rFonts w:ascii="Arial" w:cs="Arial" w:eastAsia="Arial" w:hAnsi="Arial"/>
                <w:sz w:val="14"/>
                <w:szCs w:val="14"/>
                <w:i w:val="1"/>
                <w:iCs w:val="1"/>
                <w:color w:val="auto"/>
              </w:rPr>
              <w:t>(millions of oil-</w:t>
            </w:r>
          </w:p>
        </w:tc>
        <w:tc>
          <w:tcPr>
            <w:tcW w:w="0" w:type="dxa"/>
            <w:vAlign w:val="bottom"/>
          </w:tcPr>
          <w:p>
            <w:pPr>
              <w:spacing w:after="0"/>
              <w:rPr>
                <w:sz w:val="1"/>
                <w:szCs w:val="1"/>
                <w:color w:val="auto"/>
              </w:rPr>
            </w:pPr>
          </w:p>
        </w:tc>
      </w:tr>
      <w:tr>
        <w:trPr>
          <w:trHeight w:val="182"/>
        </w:trPr>
        <w:tc>
          <w:tcPr>
            <w:tcW w:w="38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Arial" w:cs="Arial" w:eastAsia="Arial" w:hAnsi="Arial"/>
                <w:sz w:val="14"/>
                <w:szCs w:val="14"/>
                <w:i w:val="1"/>
                <w:iCs w:val="1"/>
                <w:color w:val="auto"/>
                <w:w w:val="95"/>
              </w:rPr>
              <w:t>equivalent barrels)</w:t>
            </w:r>
          </w:p>
        </w:tc>
        <w:tc>
          <w:tcPr>
            <w:tcW w:w="0" w:type="dxa"/>
            <w:vAlign w:val="bottom"/>
          </w:tcPr>
          <w:p>
            <w:pPr>
              <w:spacing w:after="0"/>
              <w:rPr>
                <w:sz w:val="1"/>
                <w:szCs w:val="1"/>
                <w:color w:val="auto"/>
              </w:rPr>
            </w:pPr>
          </w:p>
        </w:tc>
      </w:tr>
      <w:tr>
        <w:trPr>
          <w:trHeight w:val="172"/>
        </w:trPr>
        <w:tc>
          <w:tcPr>
            <w:tcW w:w="3860" w:type="dxa"/>
            <w:vAlign w:val="bottom"/>
          </w:tcPr>
          <w:p>
            <w:pPr>
              <w:ind w:left="20"/>
              <w:spacing w:after="0" w:line="172" w:lineRule="exact"/>
              <w:rPr>
                <w:sz w:val="20"/>
                <w:szCs w:val="20"/>
                <w:color w:val="auto"/>
              </w:rPr>
            </w:pPr>
            <w:r>
              <w:rPr>
                <w:rFonts w:ascii="Arial" w:cs="Arial" w:eastAsia="Arial" w:hAnsi="Arial"/>
                <w:sz w:val="16"/>
                <w:szCs w:val="16"/>
                <w:color w:val="auto"/>
              </w:rPr>
              <w:t>Net proved developed and undeveloped</w:t>
            </w:r>
          </w:p>
        </w:tc>
        <w:tc>
          <w:tcPr>
            <w:tcW w:w="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860" w:type="dxa"/>
            <w:vAlign w:val="bottom"/>
          </w:tcPr>
          <w:p>
            <w:pPr>
              <w:ind w:left="20"/>
              <w:spacing w:after="0"/>
              <w:rPr>
                <w:sz w:val="20"/>
                <w:szCs w:val="20"/>
                <w:color w:val="auto"/>
              </w:rPr>
            </w:pPr>
            <w:r>
              <w:rPr>
                <w:rFonts w:ascii="Arial" w:cs="Arial" w:eastAsia="Arial" w:hAnsi="Arial"/>
                <w:sz w:val="16"/>
                <w:szCs w:val="16"/>
                <w:color w:val="auto"/>
              </w:rPr>
              <w:t>reserves of consolidated subsidiaries</w:t>
            </w:r>
          </w:p>
        </w:tc>
        <w:tc>
          <w:tcPr>
            <w:tcW w:w="8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20"/>
              <w:spacing w:after="0"/>
              <w:rPr>
                <w:sz w:val="20"/>
                <w:szCs w:val="20"/>
                <w:color w:val="auto"/>
              </w:rPr>
            </w:pPr>
            <w:r>
              <w:rPr>
                <w:rFonts w:ascii="Arial" w:cs="Arial" w:eastAsia="Arial" w:hAnsi="Arial"/>
                <w:sz w:val="16"/>
                <w:szCs w:val="16"/>
                <w:color w:val="auto"/>
              </w:rPr>
              <w:t>January 1, 2021</w:t>
            </w:r>
          </w:p>
        </w:tc>
        <w:tc>
          <w:tcPr>
            <w:tcW w:w="860" w:type="dxa"/>
            <w:vAlign w:val="bottom"/>
          </w:tcPr>
          <w:p>
            <w:pPr>
              <w:jc w:val="right"/>
              <w:ind w:right="100"/>
              <w:spacing w:after="0"/>
              <w:rPr>
                <w:sz w:val="20"/>
                <w:szCs w:val="20"/>
                <w:color w:val="auto"/>
              </w:rPr>
            </w:pPr>
            <w:r>
              <w:rPr>
                <w:rFonts w:ascii="Arial" w:cs="Arial" w:eastAsia="Arial" w:hAnsi="Arial"/>
                <w:sz w:val="16"/>
                <w:szCs w:val="16"/>
                <w:color w:val="auto"/>
              </w:rPr>
              <w:t>13,439</w:t>
            </w:r>
          </w:p>
        </w:tc>
        <w:tc>
          <w:tcPr>
            <w:tcW w:w="960" w:type="dxa"/>
            <w:vAlign w:val="bottom"/>
          </w:tcPr>
          <w:p>
            <w:pPr>
              <w:jc w:val="right"/>
              <w:ind w:right="121"/>
              <w:spacing w:after="0"/>
              <w:rPr>
                <w:sz w:val="20"/>
                <w:szCs w:val="20"/>
                <w:color w:val="auto"/>
              </w:rPr>
            </w:pPr>
            <w:r>
              <w:rPr>
                <w:rFonts w:ascii="Arial" w:cs="Arial" w:eastAsia="Arial" w:hAnsi="Arial"/>
                <w:sz w:val="16"/>
                <w:szCs w:val="16"/>
                <w:color w:val="auto"/>
              </w:rPr>
              <w:t>561</w:t>
            </w: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441</w:t>
            </w:r>
          </w:p>
        </w:tc>
        <w:tc>
          <w:tcPr>
            <w:tcW w:w="1060" w:type="dxa"/>
            <w:vAlign w:val="bottom"/>
          </w:tcPr>
          <w:p>
            <w:pPr>
              <w:jc w:val="right"/>
              <w:ind w:right="260"/>
              <w:spacing w:after="0"/>
              <w:rPr>
                <w:sz w:val="20"/>
                <w:szCs w:val="20"/>
                <w:color w:val="auto"/>
              </w:rPr>
            </w:pPr>
            <w:r>
              <w:rPr>
                <w:rFonts w:ascii="Arial" w:cs="Arial" w:eastAsia="Arial" w:hAnsi="Arial"/>
                <w:sz w:val="16"/>
                <w:szCs w:val="16"/>
                <w:color w:val="auto"/>
              </w:rPr>
              <w:t>320</w:t>
            </w:r>
          </w:p>
        </w:tc>
        <w:tc>
          <w:tcPr>
            <w:tcW w:w="620" w:type="dxa"/>
            <w:vAlign w:val="bottom"/>
          </w:tcPr>
          <w:p>
            <w:pPr>
              <w:jc w:val="right"/>
              <w:ind w:right="100"/>
              <w:spacing w:after="0"/>
              <w:rPr>
                <w:sz w:val="20"/>
                <w:szCs w:val="20"/>
                <w:color w:val="auto"/>
              </w:rPr>
            </w:pPr>
            <w:r>
              <w:rPr>
                <w:rFonts w:ascii="Arial" w:cs="Arial" w:eastAsia="Arial" w:hAnsi="Arial"/>
                <w:sz w:val="16"/>
                <w:szCs w:val="16"/>
                <w:color w:val="auto"/>
              </w:rPr>
              <w:t>4,309</w:t>
            </w:r>
          </w:p>
        </w:tc>
        <w:tc>
          <w:tcPr>
            <w:tcW w:w="1020" w:type="dxa"/>
            <w:vAlign w:val="bottom"/>
          </w:tcPr>
          <w:p>
            <w:pPr>
              <w:jc w:val="right"/>
              <w:ind w:right="140"/>
              <w:spacing w:after="0"/>
              <w:rPr>
                <w:sz w:val="20"/>
                <w:szCs w:val="20"/>
                <w:color w:val="auto"/>
              </w:rPr>
            </w:pPr>
            <w:r>
              <w:rPr>
                <w:rFonts w:ascii="Arial" w:cs="Arial" w:eastAsia="Arial" w:hAnsi="Arial"/>
                <w:sz w:val="16"/>
                <w:szCs w:val="16"/>
                <w:color w:val="auto"/>
              </w:rPr>
              <w:t>6,134</w:t>
            </w:r>
          </w:p>
        </w:tc>
        <w:tc>
          <w:tcPr>
            <w:tcW w:w="720" w:type="dxa"/>
            <w:vAlign w:val="bottom"/>
          </w:tcPr>
          <w:p>
            <w:pPr>
              <w:jc w:val="right"/>
              <w:spacing w:after="0"/>
              <w:rPr>
                <w:sz w:val="20"/>
                <w:szCs w:val="20"/>
                <w:color w:val="auto"/>
              </w:rPr>
            </w:pPr>
            <w:r>
              <w:rPr>
                <w:rFonts w:ascii="Arial" w:cs="Arial" w:eastAsia="Arial" w:hAnsi="Arial"/>
                <w:sz w:val="16"/>
                <w:szCs w:val="16"/>
                <w:color w:val="auto"/>
              </w:rPr>
              <w:t>25,204</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11,837</w:t>
            </w:r>
          </w:p>
        </w:tc>
        <w:tc>
          <w:tcPr>
            <w:tcW w:w="0" w:type="dxa"/>
            <w:vAlign w:val="bottom"/>
          </w:tcPr>
          <w:p>
            <w:pPr>
              <w:spacing w:after="0"/>
              <w:rPr>
                <w:sz w:val="1"/>
                <w:szCs w:val="1"/>
                <w:color w:val="auto"/>
              </w:rPr>
            </w:pPr>
          </w:p>
        </w:tc>
      </w:tr>
      <w:tr>
        <w:trPr>
          <w:trHeight w:val="216"/>
        </w:trPr>
        <w:tc>
          <w:tcPr>
            <w:tcW w:w="3860" w:type="dxa"/>
            <w:vAlign w:val="bottom"/>
          </w:tcPr>
          <w:p>
            <w:pPr>
              <w:ind w:left="100"/>
              <w:spacing w:after="0"/>
              <w:rPr>
                <w:sz w:val="20"/>
                <w:szCs w:val="20"/>
                <w:color w:val="auto"/>
              </w:rPr>
            </w:pPr>
            <w:r>
              <w:rPr>
                <w:rFonts w:ascii="Arial" w:cs="Arial" w:eastAsia="Arial" w:hAnsi="Arial"/>
                <w:sz w:val="16"/>
                <w:szCs w:val="16"/>
                <w:color w:val="auto"/>
              </w:rPr>
              <w:t>Revisions</w:t>
            </w:r>
          </w:p>
        </w:tc>
        <w:tc>
          <w:tcPr>
            <w:tcW w:w="860" w:type="dxa"/>
            <w:vAlign w:val="bottom"/>
          </w:tcPr>
          <w:p>
            <w:pPr>
              <w:jc w:val="right"/>
              <w:ind w:right="100"/>
              <w:spacing w:after="0"/>
              <w:rPr>
                <w:sz w:val="20"/>
                <w:szCs w:val="20"/>
                <w:color w:val="auto"/>
              </w:rPr>
            </w:pPr>
            <w:r>
              <w:rPr>
                <w:rFonts w:ascii="Arial" w:cs="Arial" w:eastAsia="Arial" w:hAnsi="Arial"/>
                <w:sz w:val="16"/>
                <w:szCs w:val="16"/>
                <w:color w:val="auto"/>
              </w:rPr>
              <w:t>1,432</w:t>
            </w:r>
          </w:p>
        </w:tc>
        <w:tc>
          <w:tcPr>
            <w:tcW w:w="960" w:type="dxa"/>
            <w:vAlign w:val="bottom"/>
          </w:tcPr>
          <w:p>
            <w:pPr>
              <w:jc w:val="right"/>
              <w:ind w:right="121"/>
              <w:spacing w:after="0"/>
              <w:rPr>
                <w:sz w:val="20"/>
                <w:szCs w:val="20"/>
                <w:color w:val="auto"/>
              </w:rPr>
            </w:pPr>
            <w:r>
              <w:rPr>
                <w:rFonts w:ascii="Arial" w:cs="Arial" w:eastAsia="Arial" w:hAnsi="Arial"/>
                <w:sz w:val="16"/>
                <w:szCs w:val="16"/>
                <w:color w:val="auto"/>
              </w:rPr>
              <w:t>305</w:t>
            </w: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210</w:t>
            </w:r>
          </w:p>
        </w:tc>
        <w:tc>
          <w:tcPr>
            <w:tcW w:w="1060" w:type="dxa"/>
            <w:vAlign w:val="bottom"/>
          </w:tcPr>
          <w:p>
            <w:pPr>
              <w:jc w:val="right"/>
              <w:ind w:right="260"/>
              <w:spacing w:after="0"/>
              <w:rPr>
                <w:sz w:val="20"/>
                <w:szCs w:val="20"/>
                <w:color w:val="auto"/>
              </w:rPr>
            </w:pPr>
            <w:r>
              <w:rPr>
                <w:rFonts w:ascii="Arial" w:cs="Arial" w:eastAsia="Arial" w:hAnsi="Arial"/>
                <w:sz w:val="16"/>
                <w:szCs w:val="16"/>
                <w:color w:val="auto"/>
              </w:rPr>
              <w:t>39</w:t>
            </w:r>
          </w:p>
        </w:tc>
        <w:tc>
          <w:tcPr>
            <w:tcW w:w="620" w:type="dxa"/>
            <w:vAlign w:val="bottom"/>
          </w:tcPr>
          <w:p>
            <w:pPr>
              <w:jc w:val="right"/>
              <w:ind w:right="60"/>
              <w:spacing w:after="0"/>
              <w:rPr>
                <w:sz w:val="20"/>
                <w:szCs w:val="20"/>
                <w:color w:val="auto"/>
              </w:rPr>
            </w:pPr>
            <w:r>
              <w:rPr>
                <w:rFonts w:ascii="Arial" w:cs="Arial" w:eastAsia="Arial" w:hAnsi="Arial"/>
                <w:sz w:val="16"/>
                <w:szCs w:val="16"/>
                <w:color w:val="auto"/>
              </w:rPr>
              <w:t>(276)</w:t>
            </w:r>
          </w:p>
        </w:tc>
        <w:tc>
          <w:tcPr>
            <w:tcW w:w="1020" w:type="dxa"/>
            <w:vAlign w:val="bottom"/>
          </w:tcPr>
          <w:p>
            <w:pPr>
              <w:jc w:val="right"/>
              <w:ind w:right="140"/>
              <w:spacing w:after="0"/>
              <w:rPr>
                <w:sz w:val="20"/>
                <w:szCs w:val="20"/>
                <w:color w:val="auto"/>
              </w:rPr>
            </w:pPr>
            <w:r>
              <w:rPr>
                <w:rFonts w:ascii="Arial" w:cs="Arial" w:eastAsia="Arial" w:hAnsi="Arial"/>
                <w:sz w:val="16"/>
                <w:szCs w:val="16"/>
                <w:color w:val="auto"/>
              </w:rPr>
              <w:t>712</w:t>
            </w:r>
          </w:p>
        </w:tc>
        <w:tc>
          <w:tcPr>
            <w:tcW w:w="720" w:type="dxa"/>
            <w:vAlign w:val="bottom"/>
          </w:tcPr>
          <w:p>
            <w:pPr>
              <w:jc w:val="right"/>
              <w:spacing w:after="0"/>
              <w:rPr>
                <w:sz w:val="20"/>
                <w:szCs w:val="20"/>
                <w:color w:val="auto"/>
              </w:rPr>
            </w:pPr>
            <w:r>
              <w:rPr>
                <w:rFonts w:ascii="Arial" w:cs="Arial" w:eastAsia="Arial" w:hAnsi="Arial"/>
                <w:sz w:val="16"/>
                <w:szCs w:val="16"/>
                <w:color w:val="auto"/>
              </w:rPr>
              <w:t>2,422</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3,542</w:t>
            </w:r>
          </w:p>
        </w:tc>
        <w:tc>
          <w:tcPr>
            <w:tcW w:w="0" w:type="dxa"/>
            <w:vAlign w:val="bottom"/>
          </w:tcPr>
          <w:p>
            <w:pPr>
              <w:spacing w:after="0"/>
              <w:rPr>
                <w:sz w:val="1"/>
                <w:szCs w:val="1"/>
                <w:color w:val="auto"/>
              </w:rPr>
            </w:pPr>
          </w:p>
        </w:tc>
      </w:tr>
      <w:tr>
        <w:trPr>
          <w:trHeight w:val="216"/>
        </w:trPr>
        <w:tc>
          <w:tcPr>
            <w:tcW w:w="3860" w:type="dxa"/>
            <w:vAlign w:val="bottom"/>
          </w:tcPr>
          <w:p>
            <w:pPr>
              <w:ind w:left="100"/>
              <w:spacing w:after="0"/>
              <w:rPr>
                <w:sz w:val="20"/>
                <w:szCs w:val="20"/>
                <w:color w:val="auto"/>
              </w:rPr>
            </w:pPr>
            <w:r>
              <w:rPr>
                <w:rFonts w:ascii="Arial" w:cs="Arial" w:eastAsia="Arial" w:hAnsi="Arial"/>
                <w:sz w:val="16"/>
                <w:szCs w:val="16"/>
                <w:color w:val="auto"/>
              </w:rPr>
              <w:t>Improved recovery</w:t>
            </w:r>
          </w:p>
        </w:tc>
        <w:tc>
          <w:tcPr>
            <w:tcW w:w="86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6"/>
        </w:trPr>
        <w:tc>
          <w:tcPr>
            <w:tcW w:w="3860" w:type="dxa"/>
            <w:vAlign w:val="bottom"/>
          </w:tcPr>
          <w:p>
            <w:pPr>
              <w:ind w:left="100"/>
              <w:spacing w:after="0"/>
              <w:rPr>
                <w:sz w:val="20"/>
                <w:szCs w:val="20"/>
                <w:color w:val="auto"/>
              </w:rPr>
            </w:pPr>
            <w:r>
              <w:rPr>
                <w:rFonts w:ascii="Arial" w:cs="Arial" w:eastAsia="Arial" w:hAnsi="Arial"/>
                <w:sz w:val="16"/>
                <w:szCs w:val="16"/>
                <w:color w:val="auto"/>
              </w:rPr>
              <w:t>Purchases</w:t>
            </w:r>
          </w:p>
        </w:tc>
        <w:tc>
          <w:tcPr>
            <w:tcW w:w="860" w:type="dxa"/>
            <w:vAlign w:val="bottom"/>
          </w:tcPr>
          <w:p>
            <w:pPr>
              <w:jc w:val="right"/>
              <w:ind w:right="100"/>
              <w:spacing w:after="0"/>
              <w:rPr>
                <w:sz w:val="20"/>
                <w:szCs w:val="20"/>
                <w:color w:val="auto"/>
              </w:rPr>
            </w:pPr>
            <w:r>
              <w:rPr>
                <w:rFonts w:ascii="Arial" w:cs="Arial" w:eastAsia="Arial" w:hAnsi="Arial"/>
                <w:sz w:val="16"/>
                <w:szCs w:val="16"/>
                <w:color w:val="auto"/>
              </w:rPr>
              <w:t>3</w:t>
            </w:r>
          </w:p>
        </w:tc>
        <w:tc>
          <w:tcPr>
            <w:tcW w:w="96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6"/>
        </w:trPr>
        <w:tc>
          <w:tcPr>
            <w:tcW w:w="3860" w:type="dxa"/>
            <w:vAlign w:val="bottom"/>
          </w:tcPr>
          <w:p>
            <w:pPr>
              <w:ind w:left="100"/>
              <w:spacing w:after="0"/>
              <w:rPr>
                <w:sz w:val="20"/>
                <w:szCs w:val="20"/>
                <w:color w:val="auto"/>
              </w:rPr>
            </w:pPr>
            <w:r>
              <w:rPr>
                <w:rFonts w:ascii="Arial" w:cs="Arial" w:eastAsia="Arial" w:hAnsi="Arial"/>
                <w:sz w:val="16"/>
                <w:szCs w:val="16"/>
                <w:color w:val="auto"/>
              </w:rPr>
              <w:t>Sales</w:t>
            </w:r>
          </w:p>
        </w:tc>
        <w:tc>
          <w:tcPr>
            <w:tcW w:w="860" w:type="dxa"/>
            <w:vAlign w:val="bottom"/>
          </w:tcPr>
          <w:p>
            <w:pPr>
              <w:jc w:val="right"/>
              <w:ind w:right="60"/>
              <w:spacing w:after="0"/>
              <w:rPr>
                <w:sz w:val="20"/>
                <w:szCs w:val="20"/>
                <w:color w:val="auto"/>
              </w:rPr>
            </w:pPr>
            <w:r>
              <w:rPr>
                <w:rFonts w:ascii="Arial" w:cs="Arial" w:eastAsia="Arial" w:hAnsi="Arial"/>
                <w:sz w:val="16"/>
                <w:szCs w:val="16"/>
                <w:color w:val="auto"/>
              </w:rPr>
              <w:t>(164)</w:t>
            </w:r>
          </w:p>
        </w:tc>
        <w:tc>
          <w:tcPr>
            <w:tcW w:w="960" w:type="dxa"/>
            <w:vAlign w:val="bottom"/>
          </w:tcPr>
          <w:p>
            <w:pPr>
              <w:jc w:val="right"/>
              <w:ind w:right="81"/>
              <w:spacing w:after="0"/>
              <w:rPr>
                <w:sz w:val="20"/>
                <w:szCs w:val="20"/>
                <w:color w:val="auto"/>
              </w:rPr>
            </w:pPr>
            <w:r>
              <w:rPr>
                <w:rFonts w:ascii="Arial" w:cs="Arial" w:eastAsia="Arial" w:hAnsi="Arial"/>
                <w:sz w:val="16"/>
                <w:szCs w:val="16"/>
                <w:color w:val="auto"/>
              </w:rPr>
              <w:t>(18)</w:t>
            </w:r>
          </w:p>
        </w:tc>
        <w:tc>
          <w:tcPr>
            <w:tcW w:w="760" w:type="dxa"/>
            <w:vAlign w:val="bottom"/>
          </w:tcPr>
          <w:p>
            <w:pPr>
              <w:jc w:val="right"/>
              <w:spacing w:after="0"/>
              <w:rPr>
                <w:sz w:val="20"/>
                <w:szCs w:val="20"/>
                <w:color w:val="auto"/>
              </w:rPr>
            </w:pPr>
            <w:r>
              <w:rPr>
                <w:rFonts w:ascii="Arial" w:cs="Arial" w:eastAsia="Arial" w:hAnsi="Arial"/>
                <w:sz w:val="16"/>
                <w:szCs w:val="16"/>
                <w:color w:val="auto"/>
              </w:rPr>
              <w:t>(120)</w:t>
            </w:r>
          </w:p>
        </w:tc>
        <w:tc>
          <w:tcPr>
            <w:tcW w:w="106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(302)</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(134)</w:t>
            </w:r>
          </w:p>
        </w:tc>
        <w:tc>
          <w:tcPr>
            <w:tcW w:w="0" w:type="dxa"/>
            <w:vAlign w:val="bottom"/>
          </w:tcPr>
          <w:p>
            <w:pPr>
              <w:spacing w:after="0"/>
              <w:rPr>
                <w:sz w:val="1"/>
                <w:szCs w:val="1"/>
                <w:color w:val="auto"/>
              </w:rPr>
            </w:pPr>
          </w:p>
        </w:tc>
      </w:tr>
      <w:tr>
        <w:trPr>
          <w:trHeight w:val="216"/>
        </w:trPr>
        <w:tc>
          <w:tcPr>
            <w:tcW w:w="3860" w:type="dxa"/>
            <w:vAlign w:val="bottom"/>
          </w:tcPr>
          <w:p>
            <w:pPr>
              <w:ind w:left="100"/>
              <w:spacing w:after="0"/>
              <w:rPr>
                <w:sz w:val="20"/>
                <w:szCs w:val="20"/>
                <w:color w:val="auto"/>
              </w:rPr>
            </w:pPr>
            <w:r>
              <w:rPr>
                <w:rFonts w:ascii="Arial" w:cs="Arial" w:eastAsia="Arial" w:hAnsi="Arial"/>
                <w:sz w:val="16"/>
                <w:szCs w:val="16"/>
                <w:color w:val="auto"/>
              </w:rPr>
              <w:t>Extensions/discoveries</w:t>
            </w:r>
          </w:p>
        </w:tc>
        <w:tc>
          <w:tcPr>
            <w:tcW w:w="860" w:type="dxa"/>
            <w:vAlign w:val="bottom"/>
          </w:tcPr>
          <w:p>
            <w:pPr>
              <w:jc w:val="right"/>
              <w:ind w:right="100"/>
              <w:spacing w:after="0"/>
              <w:rPr>
                <w:sz w:val="20"/>
                <w:szCs w:val="20"/>
                <w:color w:val="auto"/>
              </w:rPr>
            </w:pPr>
            <w:r>
              <w:rPr>
                <w:rFonts w:ascii="Arial" w:cs="Arial" w:eastAsia="Arial" w:hAnsi="Arial"/>
                <w:sz w:val="16"/>
                <w:szCs w:val="16"/>
                <w:color w:val="auto"/>
              </w:rPr>
              <w:t>1,381</w:t>
            </w:r>
          </w:p>
        </w:tc>
        <w:tc>
          <w:tcPr>
            <w:tcW w:w="960" w:type="dxa"/>
            <w:vAlign w:val="bottom"/>
          </w:tcPr>
          <w:p>
            <w:pPr>
              <w:jc w:val="right"/>
              <w:ind w:right="121"/>
              <w:spacing w:after="0"/>
              <w:rPr>
                <w:sz w:val="20"/>
                <w:szCs w:val="20"/>
                <w:color w:val="auto"/>
              </w:rPr>
            </w:pPr>
            <w:r>
              <w:rPr>
                <w:rFonts w:ascii="Arial" w:cs="Arial" w:eastAsia="Arial" w:hAnsi="Arial"/>
                <w:sz w:val="16"/>
                <w:szCs w:val="16"/>
                <w:color w:val="auto"/>
              </w:rPr>
              <w:t>163</w:t>
            </w: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1,544</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1,269</w:t>
            </w:r>
          </w:p>
        </w:tc>
        <w:tc>
          <w:tcPr>
            <w:tcW w:w="0" w:type="dxa"/>
            <w:vAlign w:val="bottom"/>
          </w:tcPr>
          <w:p>
            <w:pPr>
              <w:spacing w:after="0"/>
              <w:rPr>
                <w:sz w:val="1"/>
                <w:szCs w:val="1"/>
                <w:color w:val="auto"/>
              </w:rPr>
            </w:pPr>
          </w:p>
        </w:tc>
      </w:tr>
      <w:tr>
        <w:trPr>
          <w:trHeight w:val="216"/>
        </w:trPr>
        <w:tc>
          <w:tcPr>
            <w:tcW w:w="3860" w:type="dxa"/>
            <w:vAlign w:val="bottom"/>
          </w:tcPr>
          <w:p>
            <w:pPr>
              <w:ind w:left="100"/>
              <w:spacing w:after="0"/>
              <w:rPr>
                <w:sz w:val="20"/>
                <w:szCs w:val="20"/>
                <w:color w:val="auto"/>
              </w:rPr>
            </w:pPr>
            <w:r>
              <w:rPr>
                <w:rFonts w:ascii="Arial" w:cs="Arial" w:eastAsia="Arial" w:hAnsi="Arial"/>
                <w:sz w:val="16"/>
                <w:szCs w:val="16"/>
                <w:color w:val="auto"/>
              </w:rPr>
              <w:t>Production</w:t>
            </w:r>
          </w:p>
        </w:tc>
        <w:tc>
          <w:tcPr>
            <w:tcW w:w="8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(1,103)</w:t>
            </w:r>
          </w:p>
        </w:tc>
        <w:tc>
          <w:tcPr>
            <w:tcW w:w="9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(92)</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w:t>
            </w:r>
          </w:p>
        </w:tc>
        <w:tc>
          <w:tcPr>
            <w:tcW w:w="106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auto"/>
              </w:rPr>
              <w:t>(42)</w:t>
            </w:r>
          </w:p>
        </w:tc>
        <w:tc>
          <w:tcPr>
            <w:tcW w:w="6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(340)</w:t>
            </w:r>
          </w:p>
        </w:tc>
        <w:tc>
          <w:tcPr>
            <w:tcW w:w="10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(483)</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(2,208)</w:t>
            </w:r>
          </w:p>
        </w:tc>
        <w:tc>
          <w:tcPr>
            <w:tcW w:w="12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(1,086)</w:t>
            </w:r>
          </w:p>
        </w:tc>
        <w:tc>
          <w:tcPr>
            <w:tcW w:w="0" w:type="dxa"/>
            <w:vAlign w:val="bottom"/>
          </w:tcPr>
          <w:p>
            <w:pPr>
              <w:spacing w:after="0"/>
              <w:rPr>
                <w:sz w:val="1"/>
                <w:szCs w:val="1"/>
                <w:color w:val="auto"/>
              </w:rPr>
            </w:pPr>
          </w:p>
        </w:tc>
      </w:tr>
      <w:tr>
        <w:trPr>
          <w:trHeight w:val="209"/>
        </w:trPr>
        <w:tc>
          <w:tcPr>
            <w:tcW w:w="3860" w:type="dxa"/>
            <w:vAlign w:val="bottom"/>
          </w:tcPr>
          <w:p>
            <w:pPr>
              <w:ind w:left="20"/>
              <w:spacing w:after="0"/>
              <w:rPr>
                <w:sz w:val="20"/>
                <w:szCs w:val="20"/>
                <w:color w:val="auto"/>
              </w:rPr>
            </w:pPr>
            <w:r>
              <w:rPr>
                <w:rFonts w:ascii="Arial" w:cs="Arial" w:eastAsia="Arial" w:hAnsi="Arial"/>
                <w:sz w:val="16"/>
                <w:szCs w:val="16"/>
                <w:color w:val="auto"/>
              </w:rPr>
              <w:t>December 31, 2021</w:t>
            </w:r>
          </w:p>
        </w:tc>
        <w:tc>
          <w:tcPr>
            <w:tcW w:w="8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14,988</w:t>
            </w:r>
          </w:p>
        </w:tc>
        <w:tc>
          <w:tcPr>
            <w:tcW w:w="96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919</w:t>
            </w:r>
          </w:p>
        </w:tc>
        <w:tc>
          <w:tcPr>
            <w:tcW w:w="7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383</w:t>
            </w:r>
          </w:p>
        </w:tc>
        <w:tc>
          <w:tcPr>
            <w:tcW w:w="106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auto"/>
              </w:rPr>
              <w:t>317</w:t>
            </w:r>
          </w:p>
        </w:tc>
        <w:tc>
          <w:tcPr>
            <w:tcW w:w="6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3,693</w:t>
            </w:r>
          </w:p>
        </w:tc>
        <w:tc>
          <w:tcPr>
            <w:tcW w:w="10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6,363</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26,663</w:t>
            </w:r>
          </w:p>
        </w:tc>
        <w:tc>
          <w:tcPr>
            <w:tcW w:w="12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15,436</w:t>
            </w:r>
          </w:p>
        </w:tc>
        <w:tc>
          <w:tcPr>
            <w:tcW w:w="0" w:type="dxa"/>
            <w:vAlign w:val="bottom"/>
          </w:tcPr>
          <w:p>
            <w:pPr>
              <w:spacing w:after="0"/>
              <w:rPr>
                <w:sz w:val="1"/>
                <w:szCs w:val="1"/>
                <w:color w:val="auto"/>
              </w:rPr>
            </w:pPr>
          </w:p>
        </w:tc>
      </w:tr>
      <w:tr>
        <w:trPr>
          <w:trHeight w:val="182"/>
        </w:trPr>
        <w:tc>
          <w:tcPr>
            <w:tcW w:w="3860" w:type="dxa"/>
            <w:vAlign w:val="bottom"/>
          </w:tcPr>
          <w:p>
            <w:pPr>
              <w:ind w:left="20"/>
              <w:spacing w:after="0"/>
              <w:rPr>
                <w:sz w:val="20"/>
                <w:szCs w:val="20"/>
                <w:color w:val="auto"/>
              </w:rPr>
            </w:pPr>
            <w:r>
              <w:rPr>
                <w:rFonts w:ascii="Arial" w:cs="Arial" w:eastAsia="Arial" w:hAnsi="Arial"/>
                <w:sz w:val="14"/>
                <w:szCs w:val="14"/>
                <w:i w:val="1"/>
                <w:iCs w:val="1"/>
                <w:color w:val="auto"/>
              </w:rPr>
              <w:t>Attributable to noncontrolling interests</w:t>
            </w:r>
          </w:p>
        </w:tc>
        <w:tc>
          <w:tcPr>
            <w:tcW w:w="860" w:type="dxa"/>
            <w:vAlign w:val="bottom"/>
          </w:tcPr>
          <w:p>
            <w:pPr>
              <w:spacing w:after="0"/>
              <w:rPr>
                <w:sz w:val="15"/>
                <w:szCs w:val="15"/>
                <w:color w:val="auto"/>
              </w:rPr>
            </w:pPr>
          </w:p>
        </w:tc>
        <w:tc>
          <w:tcPr>
            <w:tcW w:w="960" w:type="dxa"/>
            <w:vAlign w:val="bottom"/>
          </w:tcPr>
          <w:p>
            <w:pPr>
              <w:jc w:val="right"/>
              <w:ind w:right="101"/>
              <w:spacing w:after="0"/>
              <w:rPr>
                <w:sz w:val="20"/>
                <w:szCs w:val="20"/>
                <w:color w:val="auto"/>
              </w:rPr>
            </w:pPr>
            <w:r>
              <w:rPr>
                <w:rFonts w:ascii="Arial" w:cs="Arial" w:eastAsia="Arial" w:hAnsi="Arial"/>
                <w:sz w:val="14"/>
                <w:szCs w:val="14"/>
                <w:i w:val="1"/>
                <w:iCs w:val="1"/>
                <w:color w:val="auto"/>
              </w:rPr>
              <w:t>124</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8"/>
        </w:trPr>
        <w:tc>
          <w:tcPr>
            <w:tcW w:w="3860" w:type="dxa"/>
            <w:vAlign w:val="bottom"/>
          </w:tcPr>
          <w:p>
            <w:pPr>
              <w:ind w:left="20"/>
              <w:spacing w:after="0"/>
              <w:rPr>
                <w:sz w:val="20"/>
                <w:szCs w:val="20"/>
                <w:color w:val="auto"/>
              </w:rPr>
            </w:pPr>
            <w:r>
              <w:rPr>
                <w:rFonts w:ascii="Arial" w:cs="Arial" w:eastAsia="Arial" w:hAnsi="Arial"/>
                <w:sz w:val="16"/>
                <w:szCs w:val="16"/>
                <w:color w:val="auto"/>
              </w:rPr>
              <w:t>Proportional interest in proved reserves</w:t>
            </w:r>
          </w:p>
        </w:tc>
        <w:tc>
          <w:tcPr>
            <w:tcW w:w="8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3860" w:type="dxa"/>
            <w:vAlign w:val="bottom"/>
          </w:tcPr>
          <w:p>
            <w:pPr>
              <w:ind w:left="20"/>
              <w:spacing w:after="0"/>
              <w:rPr>
                <w:sz w:val="20"/>
                <w:szCs w:val="20"/>
                <w:color w:val="auto"/>
              </w:rPr>
            </w:pPr>
            <w:r>
              <w:rPr>
                <w:rFonts w:ascii="Arial" w:cs="Arial" w:eastAsia="Arial" w:hAnsi="Arial"/>
                <w:sz w:val="16"/>
                <w:szCs w:val="16"/>
                <w:color w:val="auto"/>
              </w:rPr>
              <w:t>of equity companies</w:t>
            </w:r>
          </w:p>
        </w:tc>
        <w:tc>
          <w:tcPr>
            <w:tcW w:w="8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20"/>
              <w:spacing w:after="0"/>
              <w:rPr>
                <w:sz w:val="20"/>
                <w:szCs w:val="20"/>
                <w:color w:val="auto"/>
              </w:rPr>
            </w:pPr>
            <w:r>
              <w:rPr>
                <w:rFonts w:ascii="Arial" w:cs="Arial" w:eastAsia="Arial" w:hAnsi="Arial"/>
                <w:sz w:val="16"/>
                <w:szCs w:val="16"/>
                <w:color w:val="auto"/>
              </w:rPr>
              <w:t>January 1, 2021</w:t>
            </w:r>
          </w:p>
        </w:tc>
        <w:tc>
          <w:tcPr>
            <w:tcW w:w="860" w:type="dxa"/>
            <w:vAlign w:val="bottom"/>
          </w:tcPr>
          <w:p>
            <w:pPr>
              <w:jc w:val="right"/>
              <w:ind w:right="100"/>
              <w:spacing w:after="0"/>
              <w:rPr>
                <w:sz w:val="20"/>
                <w:szCs w:val="20"/>
                <w:color w:val="auto"/>
              </w:rPr>
            </w:pPr>
            <w:r>
              <w:rPr>
                <w:rFonts w:ascii="Arial" w:cs="Arial" w:eastAsia="Arial" w:hAnsi="Arial"/>
                <w:sz w:val="16"/>
                <w:szCs w:val="16"/>
                <w:color w:val="auto"/>
              </w:rPr>
              <w:t>102</w:t>
            </w:r>
          </w:p>
        </w:tc>
        <w:tc>
          <w:tcPr>
            <w:tcW w:w="96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360</w:t>
            </w:r>
          </w:p>
        </w:tc>
        <w:tc>
          <w:tcPr>
            <w:tcW w:w="1060" w:type="dxa"/>
            <w:vAlign w:val="bottom"/>
          </w:tcPr>
          <w:p>
            <w:pPr>
              <w:jc w:val="right"/>
              <w:ind w:right="260"/>
              <w:spacing w:after="0"/>
              <w:rPr>
                <w:sz w:val="20"/>
                <w:szCs w:val="20"/>
                <w:color w:val="auto"/>
              </w:rPr>
            </w:pPr>
            <w:r>
              <w:rPr>
                <w:rFonts w:ascii="Arial" w:cs="Arial" w:eastAsia="Arial" w:hAnsi="Arial"/>
                <w:sz w:val="16"/>
                <w:szCs w:val="16"/>
                <w:color w:val="auto"/>
              </w:rPr>
              <w:t>917</w:t>
            </w:r>
          </w:p>
        </w:tc>
        <w:tc>
          <w:tcPr>
            <w:tcW w:w="620" w:type="dxa"/>
            <w:vAlign w:val="bottom"/>
          </w:tcPr>
          <w:p>
            <w:pPr>
              <w:jc w:val="right"/>
              <w:ind w:right="100"/>
              <w:spacing w:after="0"/>
              <w:rPr>
                <w:sz w:val="20"/>
                <w:szCs w:val="20"/>
                <w:color w:val="auto"/>
              </w:rPr>
            </w:pPr>
            <w:r>
              <w:rPr>
                <w:rFonts w:ascii="Arial" w:cs="Arial" w:eastAsia="Arial" w:hAnsi="Arial"/>
                <w:sz w:val="16"/>
                <w:szCs w:val="16"/>
                <w:color w:val="auto"/>
                <w:w w:val="85"/>
              </w:rPr>
              <w:t>11,377</w:t>
            </w:r>
          </w:p>
        </w:tc>
        <w:tc>
          <w:tcPr>
            <w:tcW w:w="102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12,756</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3,374</w:t>
            </w:r>
          </w:p>
        </w:tc>
        <w:tc>
          <w:tcPr>
            <w:tcW w:w="0" w:type="dxa"/>
            <w:vAlign w:val="bottom"/>
          </w:tcPr>
          <w:p>
            <w:pPr>
              <w:spacing w:after="0"/>
              <w:rPr>
                <w:sz w:val="1"/>
                <w:szCs w:val="1"/>
                <w:color w:val="auto"/>
              </w:rPr>
            </w:pPr>
          </w:p>
        </w:tc>
      </w:tr>
      <w:tr>
        <w:trPr>
          <w:trHeight w:val="216"/>
        </w:trPr>
        <w:tc>
          <w:tcPr>
            <w:tcW w:w="3860" w:type="dxa"/>
            <w:vAlign w:val="bottom"/>
          </w:tcPr>
          <w:p>
            <w:pPr>
              <w:ind w:left="100"/>
              <w:spacing w:after="0"/>
              <w:rPr>
                <w:sz w:val="20"/>
                <w:szCs w:val="20"/>
                <w:color w:val="auto"/>
              </w:rPr>
            </w:pPr>
            <w:r>
              <w:rPr>
                <w:rFonts w:ascii="Arial" w:cs="Arial" w:eastAsia="Arial" w:hAnsi="Arial"/>
                <w:sz w:val="16"/>
                <w:szCs w:val="16"/>
                <w:color w:val="auto"/>
              </w:rPr>
              <w:t>Revisions</w:t>
            </w:r>
          </w:p>
        </w:tc>
        <w:tc>
          <w:tcPr>
            <w:tcW w:w="860" w:type="dxa"/>
            <w:vAlign w:val="bottom"/>
          </w:tcPr>
          <w:p>
            <w:pPr>
              <w:jc w:val="right"/>
              <w:ind w:right="100"/>
              <w:spacing w:after="0"/>
              <w:rPr>
                <w:sz w:val="20"/>
                <w:szCs w:val="20"/>
                <w:color w:val="auto"/>
              </w:rPr>
            </w:pPr>
            <w:r>
              <w:rPr>
                <w:rFonts w:ascii="Arial" w:cs="Arial" w:eastAsia="Arial" w:hAnsi="Arial"/>
                <w:sz w:val="16"/>
                <w:szCs w:val="16"/>
                <w:color w:val="auto"/>
              </w:rPr>
              <w:t>44</w:t>
            </w:r>
          </w:p>
        </w:tc>
        <w:tc>
          <w:tcPr>
            <w:tcW w:w="96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206</w:t>
            </w:r>
          </w:p>
        </w:tc>
        <w:tc>
          <w:tcPr>
            <w:tcW w:w="1060" w:type="dxa"/>
            <w:vAlign w:val="bottom"/>
          </w:tcPr>
          <w:p>
            <w:pPr>
              <w:jc w:val="right"/>
              <w:ind w:right="220"/>
              <w:spacing w:after="0"/>
              <w:rPr>
                <w:sz w:val="20"/>
                <w:szCs w:val="20"/>
                <w:color w:val="auto"/>
              </w:rPr>
            </w:pPr>
            <w:r>
              <w:rPr>
                <w:rFonts w:ascii="Arial" w:cs="Arial" w:eastAsia="Arial" w:hAnsi="Arial"/>
                <w:sz w:val="16"/>
                <w:szCs w:val="16"/>
                <w:color w:val="auto"/>
              </w:rPr>
              <w:t>(111)</w:t>
            </w:r>
          </w:p>
        </w:tc>
        <w:tc>
          <w:tcPr>
            <w:tcW w:w="620" w:type="dxa"/>
            <w:vAlign w:val="bottom"/>
          </w:tcPr>
          <w:p>
            <w:pPr>
              <w:jc w:val="right"/>
              <w:ind w:right="60"/>
              <w:spacing w:after="0"/>
              <w:rPr>
                <w:sz w:val="20"/>
                <w:szCs w:val="20"/>
                <w:color w:val="auto"/>
              </w:rPr>
            </w:pPr>
            <w:r>
              <w:rPr>
                <w:rFonts w:ascii="Arial" w:cs="Arial" w:eastAsia="Arial" w:hAnsi="Arial"/>
                <w:sz w:val="16"/>
                <w:szCs w:val="16"/>
                <w:color w:val="auto"/>
              </w:rPr>
              <w:t>(236)</w:t>
            </w:r>
          </w:p>
        </w:tc>
        <w:tc>
          <w:tcPr>
            <w:tcW w:w="102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(97)</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16"/>
        </w:trPr>
        <w:tc>
          <w:tcPr>
            <w:tcW w:w="3860" w:type="dxa"/>
            <w:vAlign w:val="bottom"/>
          </w:tcPr>
          <w:p>
            <w:pPr>
              <w:ind w:left="100"/>
              <w:spacing w:after="0"/>
              <w:rPr>
                <w:sz w:val="20"/>
                <w:szCs w:val="20"/>
                <w:color w:val="auto"/>
              </w:rPr>
            </w:pPr>
            <w:r>
              <w:rPr>
                <w:rFonts w:ascii="Arial" w:cs="Arial" w:eastAsia="Arial" w:hAnsi="Arial"/>
                <w:sz w:val="16"/>
                <w:szCs w:val="16"/>
                <w:color w:val="auto"/>
              </w:rPr>
              <w:t>Improved recovery</w:t>
            </w:r>
          </w:p>
        </w:tc>
        <w:tc>
          <w:tcPr>
            <w:tcW w:w="86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860" w:type="dxa"/>
            <w:vAlign w:val="bottom"/>
          </w:tcPr>
          <w:p>
            <w:pPr>
              <w:ind w:left="100"/>
              <w:spacing w:after="0"/>
              <w:rPr>
                <w:sz w:val="20"/>
                <w:szCs w:val="20"/>
                <w:color w:val="auto"/>
              </w:rPr>
            </w:pPr>
            <w:r>
              <w:rPr>
                <w:rFonts w:ascii="Arial" w:cs="Arial" w:eastAsia="Arial" w:hAnsi="Arial"/>
                <w:sz w:val="16"/>
                <w:szCs w:val="16"/>
                <w:color w:val="auto"/>
              </w:rPr>
              <w:t>Purchases</w:t>
            </w:r>
          </w:p>
        </w:tc>
        <w:tc>
          <w:tcPr>
            <w:tcW w:w="86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860" w:type="dxa"/>
            <w:vAlign w:val="bottom"/>
          </w:tcPr>
          <w:p>
            <w:pPr>
              <w:ind w:left="100"/>
              <w:spacing w:after="0"/>
              <w:rPr>
                <w:sz w:val="20"/>
                <w:szCs w:val="20"/>
                <w:color w:val="auto"/>
              </w:rPr>
            </w:pPr>
            <w:r>
              <w:rPr>
                <w:rFonts w:ascii="Arial" w:cs="Arial" w:eastAsia="Arial" w:hAnsi="Arial"/>
                <w:sz w:val="16"/>
                <w:szCs w:val="16"/>
                <w:color w:val="auto"/>
              </w:rPr>
              <w:t>Sales</w:t>
            </w:r>
          </w:p>
        </w:tc>
        <w:tc>
          <w:tcPr>
            <w:tcW w:w="86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860" w:type="dxa"/>
            <w:vAlign w:val="bottom"/>
          </w:tcPr>
          <w:p>
            <w:pPr>
              <w:ind w:left="100"/>
              <w:spacing w:after="0"/>
              <w:rPr>
                <w:sz w:val="20"/>
                <w:szCs w:val="20"/>
                <w:color w:val="auto"/>
              </w:rPr>
            </w:pPr>
            <w:r>
              <w:rPr>
                <w:rFonts w:ascii="Arial" w:cs="Arial" w:eastAsia="Arial" w:hAnsi="Arial"/>
                <w:sz w:val="16"/>
                <w:szCs w:val="16"/>
                <w:color w:val="auto"/>
              </w:rPr>
              <w:t>Extensions/discoveries</w:t>
            </w:r>
          </w:p>
        </w:tc>
        <w:tc>
          <w:tcPr>
            <w:tcW w:w="860" w:type="dxa"/>
            <w:vAlign w:val="bottom"/>
          </w:tcPr>
          <w:p>
            <w:pPr>
              <w:jc w:val="right"/>
              <w:ind w:right="100"/>
              <w:spacing w:after="0"/>
              <w:rPr>
                <w:sz w:val="20"/>
                <w:szCs w:val="20"/>
                <w:color w:val="auto"/>
              </w:rPr>
            </w:pPr>
            <w:r>
              <w:rPr>
                <w:rFonts w:ascii="Arial" w:cs="Arial" w:eastAsia="Arial" w:hAnsi="Arial"/>
                <w:sz w:val="16"/>
                <w:szCs w:val="16"/>
                <w:color w:val="auto"/>
              </w:rPr>
              <w:t>5</w:t>
            </w:r>
          </w:p>
        </w:tc>
        <w:tc>
          <w:tcPr>
            <w:tcW w:w="96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6"/>
        </w:trPr>
        <w:tc>
          <w:tcPr>
            <w:tcW w:w="3860" w:type="dxa"/>
            <w:vAlign w:val="bottom"/>
          </w:tcPr>
          <w:p>
            <w:pPr>
              <w:ind w:left="100"/>
              <w:spacing w:after="0"/>
              <w:rPr>
                <w:sz w:val="20"/>
                <w:szCs w:val="20"/>
                <w:color w:val="auto"/>
              </w:rPr>
            </w:pPr>
            <w:r>
              <w:rPr>
                <w:rFonts w:ascii="Arial" w:cs="Arial" w:eastAsia="Arial" w:hAnsi="Arial"/>
                <w:sz w:val="16"/>
                <w:szCs w:val="16"/>
                <w:color w:val="auto"/>
              </w:rPr>
              <w:t>Production</w:t>
            </w:r>
          </w:p>
        </w:tc>
        <w:tc>
          <w:tcPr>
            <w:tcW w:w="8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(11)</w:t>
            </w:r>
          </w:p>
        </w:tc>
        <w:tc>
          <w:tcPr>
            <w:tcW w:w="96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w:t>
            </w:r>
          </w:p>
        </w:tc>
        <w:tc>
          <w:tcPr>
            <w:tcW w:w="106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(983)</w:t>
            </w:r>
          </w:p>
        </w:tc>
        <w:tc>
          <w:tcPr>
            <w:tcW w:w="10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(1,152)</w:t>
            </w:r>
          </w:p>
        </w:tc>
        <w:tc>
          <w:tcPr>
            <w:tcW w:w="12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(307)</w:t>
            </w:r>
          </w:p>
        </w:tc>
        <w:tc>
          <w:tcPr>
            <w:tcW w:w="0" w:type="dxa"/>
            <w:vAlign w:val="bottom"/>
          </w:tcPr>
          <w:p>
            <w:pPr>
              <w:spacing w:after="0"/>
              <w:rPr>
                <w:sz w:val="1"/>
                <w:szCs w:val="1"/>
                <w:color w:val="auto"/>
              </w:rPr>
            </w:pPr>
          </w:p>
        </w:tc>
      </w:tr>
      <w:tr>
        <w:trPr>
          <w:trHeight w:val="209"/>
        </w:trPr>
        <w:tc>
          <w:tcPr>
            <w:tcW w:w="3860" w:type="dxa"/>
            <w:vAlign w:val="bottom"/>
          </w:tcPr>
          <w:p>
            <w:pPr>
              <w:ind w:left="20"/>
              <w:spacing w:after="0"/>
              <w:rPr>
                <w:sz w:val="20"/>
                <w:szCs w:val="20"/>
                <w:color w:val="auto"/>
              </w:rPr>
            </w:pPr>
            <w:r>
              <w:rPr>
                <w:rFonts w:ascii="Arial" w:cs="Arial" w:eastAsia="Arial" w:hAnsi="Arial"/>
                <w:sz w:val="16"/>
                <w:szCs w:val="16"/>
                <w:color w:val="auto"/>
              </w:rPr>
              <w:t>December 31, 2021</w:t>
            </w:r>
          </w:p>
        </w:tc>
        <w:tc>
          <w:tcPr>
            <w:tcW w:w="8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140</w:t>
            </w:r>
          </w:p>
        </w:tc>
        <w:tc>
          <w:tcPr>
            <w:tcW w:w="96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408</w:t>
            </w:r>
          </w:p>
        </w:tc>
        <w:tc>
          <w:tcPr>
            <w:tcW w:w="106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auto"/>
              </w:rPr>
              <w:t>806</w:t>
            </w:r>
          </w:p>
        </w:tc>
        <w:tc>
          <w:tcPr>
            <w:tcW w:w="6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w w:val="85"/>
              </w:rPr>
              <w:t>10,158</w:t>
            </w:r>
          </w:p>
        </w:tc>
        <w:tc>
          <w:tcPr>
            <w:tcW w:w="10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11,512</w:t>
            </w:r>
          </w:p>
        </w:tc>
        <w:tc>
          <w:tcPr>
            <w:tcW w:w="12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3,100</w:t>
            </w:r>
          </w:p>
        </w:tc>
        <w:tc>
          <w:tcPr>
            <w:tcW w:w="0" w:type="dxa"/>
            <w:vAlign w:val="bottom"/>
          </w:tcPr>
          <w:p>
            <w:pPr>
              <w:spacing w:after="0"/>
              <w:rPr>
                <w:sz w:val="1"/>
                <w:szCs w:val="1"/>
                <w:color w:val="auto"/>
              </w:rPr>
            </w:pPr>
          </w:p>
        </w:tc>
      </w:tr>
      <w:tr>
        <w:trPr>
          <w:trHeight w:val="213"/>
        </w:trPr>
        <w:tc>
          <w:tcPr>
            <w:tcW w:w="3860" w:type="dxa"/>
            <w:vAlign w:val="bottom"/>
          </w:tcPr>
          <w:p>
            <w:pPr>
              <w:ind w:left="20"/>
              <w:spacing w:after="0"/>
              <w:rPr>
                <w:sz w:val="20"/>
                <w:szCs w:val="20"/>
                <w:color w:val="auto"/>
              </w:rPr>
            </w:pPr>
            <w:r>
              <w:rPr>
                <w:rFonts w:ascii="Arial" w:cs="Arial" w:eastAsia="Arial" w:hAnsi="Arial"/>
                <w:sz w:val="16"/>
                <w:szCs w:val="16"/>
                <w:color w:val="auto"/>
              </w:rPr>
              <w:t>Total proved reserves at December 31, 2021</w:t>
            </w:r>
          </w:p>
        </w:tc>
        <w:tc>
          <w:tcPr>
            <w:tcW w:w="8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15,128</w:t>
            </w:r>
          </w:p>
        </w:tc>
        <w:tc>
          <w:tcPr>
            <w:tcW w:w="96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919</w:t>
            </w:r>
          </w:p>
        </w:tc>
        <w:tc>
          <w:tcPr>
            <w:tcW w:w="7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791</w:t>
            </w:r>
          </w:p>
        </w:tc>
        <w:tc>
          <w:tcPr>
            <w:tcW w:w="106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auto"/>
              </w:rPr>
              <w:t>1,123</w:t>
            </w:r>
          </w:p>
        </w:tc>
        <w:tc>
          <w:tcPr>
            <w:tcW w:w="6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w w:val="85"/>
              </w:rPr>
              <w:t>13,851</w:t>
            </w:r>
          </w:p>
        </w:tc>
        <w:tc>
          <w:tcPr>
            <w:tcW w:w="10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6,363</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38,175</w:t>
            </w:r>
          </w:p>
        </w:tc>
        <w:tc>
          <w:tcPr>
            <w:tcW w:w="12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18,536</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6"/>
          <w:szCs w:val="16"/>
          <w:i w:val="1"/>
          <w:iCs w:val="1"/>
          <w:color w:val="auto"/>
        </w:rPr>
      </w:pPr>
      <w:r>
        <w:rPr>
          <w:rFonts w:ascii="Arial" w:cs="Arial" w:eastAsia="Arial" w:hAnsi="Arial"/>
          <w:sz w:val="16"/>
          <w:szCs w:val="16"/>
          <w:i w:val="1"/>
          <w:iCs w:val="1"/>
          <w:color w:val="auto"/>
        </w:rPr>
        <w:t>Natural gas is converted to an oil-equivalent basis at six billion cubic feet per one million barrels.</w:t>
      </w:r>
    </w:p>
    <w:p>
      <w:pPr>
        <w:spacing w:after="0" w:line="200" w:lineRule="exact"/>
        <w:rPr>
          <w:rFonts w:ascii="Arial" w:cs="Arial" w:eastAsia="Arial" w:hAnsi="Arial"/>
          <w:sz w:val="16"/>
          <w:szCs w:val="16"/>
          <w:i w:val="1"/>
          <w:iCs w:val="1"/>
          <w:color w:val="auto"/>
        </w:rPr>
      </w:pPr>
    </w:p>
    <w:p>
      <w:pPr>
        <w:spacing w:after="0" w:line="246" w:lineRule="exact"/>
        <w:rPr>
          <w:rFonts w:ascii="Arial" w:cs="Arial" w:eastAsia="Arial" w:hAnsi="Arial"/>
          <w:sz w:val="16"/>
          <w:szCs w:val="16"/>
          <w:i w:val="1"/>
          <w:iCs w:val="1"/>
          <w:color w:val="auto"/>
        </w:rPr>
      </w:pPr>
    </w:p>
    <w:p>
      <w:pPr>
        <w:ind w:left="5500"/>
        <w:spacing w:after="0"/>
        <w:rPr>
          <w:rFonts w:ascii="Arial" w:cs="Arial" w:eastAsia="Arial" w:hAnsi="Arial"/>
          <w:sz w:val="16"/>
          <w:szCs w:val="16"/>
          <w:i w:val="1"/>
          <w:iCs w:val="1"/>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121" w:name="page122"/>
    <w:bookmarkEnd w:id="121"/>
    <w:p>
      <w:pPr>
        <w:ind w:left="20"/>
        <w:spacing w:after="0"/>
        <w:rPr>
          <w:sz w:val="20"/>
          <w:szCs w:val="20"/>
          <w:color w:val="auto"/>
        </w:rPr>
      </w:pPr>
      <w:r>
        <w:rPr>
          <w:rFonts w:ascii="Arial" w:cs="Arial" w:eastAsia="Arial" w:hAnsi="Arial"/>
          <w:sz w:val="16"/>
          <w:szCs w:val="16"/>
          <w:b w:val="1"/>
          <w:bCs w:val="1"/>
          <w:color w:val="auto"/>
        </w:rPr>
        <w:t>Natural Gas and Oil-Equivalent Proved Reserves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00" w:type="dxa"/>
            <w:vAlign w:val="bottom"/>
          </w:tcPr>
          <w:p>
            <w:pPr>
              <w:jc w:val="center"/>
              <w:ind w:right="140"/>
              <w:spacing w:after="0"/>
              <w:rPr>
                <w:sz w:val="20"/>
                <w:szCs w:val="20"/>
                <w:color w:val="auto"/>
              </w:rPr>
            </w:pPr>
            <w:r>
              <w:rPr>
                <w:rFonts w:ascii="Arial" w:cs="Arial" w:eastAsia="Arial" w:hAnsi="Arial"/>
                <w:sz w:val="14"/>
                <w:szCs w:val="14"/>
                <w:color w:val="auto"/>
                <w:w w:val="90"/>
              </w:rPr>
              <w:t>Natural Gas</w:t>
            </w:r>
          </w:p>
        </w:tc>
        <w:tc>
          <w:tcPr>
            <w:tcW w:w="6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3780" w:type="dxa"/>
            <w:vAlign w:val="bottom"/>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Oil-Equivalent</w:t>
            </w:r>
          </w:p>
        </w:tc>
        <w:tc>
          <w:tcPr>
            <w:tcW w:w="0" w:type="dxa"/>
            <w:vAlign w:val="bottom"/>
          </w:tcPr>
          <w:p>
            <w:pPr>
              <w:spacing w:after="0"/>
              <w:rPr>
                <w:sz w:val="1"/>
                <w:szCs w:val="1"/>
                <w:color w:val="auto"/>
              </w:rPr>
            </w:pPr>
          </w:p>
        </w:tc>
      </w:tr>
      <w:tr>
        <w:trPr>
          <w:trHeight w:val="128"/>
        </w:trPr>
        <w:tc>
          <w:tcPr>
            <w:tcW w:w="3780" w:type="dxa"/>
            <w:vAlign w:val="bottom"/>
          </w:tcPr>
          <w:p>
            <w:pPr>
              <w:spacing w:after="0"/>
              <w:rPr>
                <w:sz w:val="11"/>
                <w:szCs w:val="11"/>
                <w:color w:val="auto"/>
              </w:rPr>
            </w:pPr>
          </w:p>
        </w:tc>
        <w:tc>
          <w:tcPr>
            <w:tcW w:w="840" w:type="dxa"/>
            <w:vAlign w:val="bottom"/>
            <w:vMerge w:val="restart"/>
          </w:tcPr>
          <w:p>
            <w:pPr>
              <w:jc w:val="right"/>
              <w:ind w:right="200"/>
              <w:spacing w:after="0"/>
              <w:rPr>
                <w:sz w:val="20"/>
                <w:szCs w:val="20"/>
                <w:color w:val="auto"/>
              </w:rPr>
            </w:pPr>
            <w:r>
              <w:rPr>
                <w:rFonts w:ascii="Arial" w:cs="Arial" w:eastAsia="Arial" w:hAnsi="Arial"/>
                <w:sz w:val="14"/>
                <w:szCs w:val="14"/>
                <w:color w:val="auto"/>
              </w:rPr>
              <w:t>United</w:t>
            </w:r>
          </w:p>
        </w:tc>
        <w:tc>
          <w:tcPr>
            <w:tcW w:w="980" w:type="dxa"/>
            <w:vAlign w:val="bottom"/>
          </w:tcPr>
          <w:p>
            <w:pPr>
              <w:jc w:val="center"/>
              <w:ind w:right="21"/>
              <w:spacing w:after="0" w:line="129" w:lineRule="exact"/>
              <w:rPr>
                <w:sz w:val="20"/>
                <w:szCs w:val="20"/>
                <w:color w:val="auto"/>
              </w:rPr>
            </w:pPr>
            <w:r>
              <w:rPr>
                <w:rFonts w:ascii="Arial" w:cs="Arial" w:eastAsia="Arial" w:hAnsi="Arial"/>
                <w:sz w:val="14"/>
                <w:szCs w:val="14"/>
                <w:color w:val="auto"/>
                <w:w w:val="90"/>
              </w:rPr>
              <w:t>Canada/</w:t>
            </w: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0" w:type="dxa"/>
            <w:vAlign w:val="bottom"/>
            <w:vMerge w:val="restart"/>
          </w:tcPr>
          <w:p>
            <w:pPr>
              <w:jc w:val="right"/>
              <w:ind w:right="200"/>
              <w:spacing w:after="0"/>
              <w:rPr>
                <w:sz w:val="20"/>
                <w:szCs w:val="20"/>
                <w:color w:val="auto"/>
              </w:rPr>
            </w:pPr>
            <w:r>
              <w:rPr>
                <w:rFonts w:ascii="Arial" w:cs="Arial" w:eastAsia="Arial" w:hAnsi="Arial"/>
                <w:sz w:val="14"/>
                <w:szCs w:val="14"/>
                <w:color w:val="auto"/>
              </w:rPr>
              <w:t>Australia/</w:t>
            </w: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8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980" w:type="dxa"/>
            <w:vAlign w:val="bottom"/>
          </w:tcPr>
          <w:p>
            <w:pPr>
              <w:jc w:val="center"/>
              <w:ind w:right="21"/>
              <w:spacing w:after="0" w:line="135" w:lineRule="exact"/>
              <w:rPr>
                <w:sz w:val="20"/>
                <w:szCs w:val="20"/>
                <w:color w:val="auto"/>
              </w:rPr>
            </w:pPr>
            <w:r>
              <w:rPr>
                <w:rFonts w:ascii="Arial" w:cs="Arial" w:eastAsia="Arial" w:hAnsi="Arial"/>
                <w:sz w:val="14"/>
                <w:szCs w:val="14"/>
                <w:color w:val="auto"/>
                <w:w w:val="91"/>
              </w:rPr>
              <w:t>Other</w:t>
            </w:r>
          </w:p>
        </w:tc>
        <w:tc>
          <w:tcPr>
            <w:tcW w:w="780" w:type="dxa"/>
            <w:vAlign w:val="bottom"/>
            <w:vMerge w:val="restart"/>
          </w:tcPr>
          <w:p>
            <w:pPr>
              <w:jc w:val="right"/>
              <w:ind w:right="120"/>
              <w:spacing w:after="0"/>
              <w:rPr>
                <w:sz w:val="20"/>
                <w:szCs w:val="20"/>
                <w:color w:val="auto"/>
              </w:rPr>
            </w:pPr>
            <w:r>
              <w:rPr>
                <w:rFonts w:ascii="Arial" w:cs="Arial" w:eastAsia="Arial" w:hAnsi="Arial"/>
                <w:sz w:val="14"/>
                <w:szCs w:val="14"/>
                <w:color w:val="auto"/>
              </w:rPr>
              <w:t>Europe</w:t>
            </w:r>
          </w:p>
        </w:tc>
        <w:tc>
          <w:tcPr>
            <w:tcW w:w="1100" w:type="dxa"/>
            <w:vAlign w:val="bottom"/>
            <w:vMerge w:val="restart"/>
          </w:tcPr>
          <w:p>
            <w:pPr>
              <w:jc w:val="center"/>
              <w:ind w:right="160"/>
              <w:spacing w:after="0"/>
              <w:rPr>
                <w:sz w:val="20"/>
                <w:szCs w:val="20"/>
                <w:color w:val="auto"/>
              </w:rPr>
            </w:pPr>
            <w:r>
              <w:rPr>
                <w:rFonts w:ascii="Arial" w:cs="Arial" w:eastAsia="Arial" w:hAnsi="Arial"/>
                <w:sz w:val="14"/>
                <w:szCs w:val="14"/>
                <w:color w:val="auto"/>
              </w:rPr>
              <w:t>Africa</w:t>
            </w:r>
          </w:p>
        </w:tc>
        <w:tc>
          <w:tcPr>
            <w:tcW w:w="660" w:type="dxa"/>
            <w:vAlign w:val="bottom"/>
            <w:vMerge w:val="restart"/>
          </w:tcPr>
          <w:p>
            <w:pPr>
              <w:jc w:val="right"/>
              <w:ind w:right="260"/>
              <w:spacing w:after="0"/>
              <w:rPr>
                <w:sz w:val="20"/>
                <w:szCs w:val="20"/>
                <w:color w:val="auto"/>
              </w:rPr>
            </w:pPr>
            <w:r>
              <w:rPr>
                <w:rFonts w:ascii="Arial" w:cs="Arial" w:eastAsia="Arial" w:hAnsi="Arial"/>
                <w:sz w:val="14"/>
                <w:szCs w:val="14"/>
                <w:color w:val="auto"/>
              </w:rPr>
              <w:t>Asia</w:t>
            </w:r>
          </w:p>
        </w:tc>
        <w:tc>
          <w:tcPr>
            <w:tcW w:w="1000" w:type="dxa"/>
            <w:vAlign w:val="bottom"/>
            <w:vMerge w:val="continue"/>
          </w:tcPr>
          <w:p>
            <w:pPr>
              <w:spacing w:after="0"/>
              <w:rPr>
                <w:sz w:val="11"/>
                <w:szCs w:val="11"/>
                <w:color w:val="auto"/>
              </w:rPr>
            </w:pPr>
          </w:p>
        </w:tc>
        <w:tc>
          <w:tcPr>
            <w:tcW w:w="840" w:type="dxa"/>
            <w:vAlign w:val="bottom"/>
            <w:gridSpan w:val="2"/>
            <w:vMerge w:val="restart"/>
          </w:tcPr>
          <w:p>
            <w:pPr>
              <w:ind w:left="200"/>
              <w:spacing w:after="0"/>
              <w:rPr>
                <w:sz w:val="20"/>
                <w:szCs w:val="20"/>
                <w:color w:val="auto"/>
              </w:rPr>
            </w:pPr>
            <w:r>
              <w:rPr>
                <w:rFonts w:ascii="Arial" w:cs="Arial" w:eastAsia="Arial" w:hAnsi="Arial"/>
                <w:sz w:val="14"/>
                <w:szCs w:val="14"/>
                <w:color w:val="auto"/>
              </w:rPr>
              <w:t>Total</w:t>
            </w:r>
          </w:p>
        </w:tc>
        <w:tc>
          <w:tcPr>
            <w:tcW w:w="12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88"/>
        </w:trPr>
        <w:tc>
          <w:tcPr>
            <w:tcW w:w="3780" w:type="dxa"/>
            <w:vAlign w:val="bottom"/>
          </w:tcPr>
          <w:p>
            <w:pPr>
              <w:spacing w:after="0"/>
              <w:rPr>
                <w:sz w:val="16"/>
                <w:szCs w:val="16"/>
                <w:color w:val="auto"/>
              </w:rPr>
            </w:pPr>
          </w:p>
        </w:tc>
        <w:tc>
          <w:tcPr>
            <w:tcW w:w="840" w:type="dxa"/>
            <w:vAlign w:val="bottom"/>
          </w:tcPr>
          <w:p>
            <w:pPr>
              <w:jc w:val="right"/>
              <w:ind w:right="220"/>
              <w:spacing w:after="0"/>
              <w:rPr>
                <w:sz w:val="20"/>
                <w:szCs w:val="20"/>
                <w:color w:val="auto"/>
              </w:rPr>
            </w:pPr>
            <w:r>
              <w:rPr>
                <w:rFonts w:ascii="Arial" w:cs="Arial" w:eastAsia="Arial" w:hAnsi="Arial"/>
                <w:sz w:val="14"/>
                <w:szCs w:val="14"/>
                <w:color w:val="auto"/>
              </w:rPr>
              <w:t>States</w:t>
            </w:r>
          </w:p>
        </w:tc>
        <w:tc>
          <w:tcPr>
            <w:tcW w:w="980" w:type="dxa"/>
            <w:vAlign w:val="bottom"/>
          </w:tcPr>
          <w:p>
            <w:pPr>
              <w:jc w:val="center"/>
              <w:ind w:right="21"/>
              <w:spacing w:after="0"/>
              <w:rPr>
                <w:sz w:val="20"/>
                <w:szCs w:val="20"/>
                <w:color w:val="auto"/>
              </w:rPr>
            </w:pPr>
            <w:r>
              <w:rPr>
                <w:rFonts w:ascii="Arial" w:cs="Arial" w:eastAsia="Arial" w:hAnsi="Arial"/>
                <w:sz w:val="14"/>
                <w:szCs w:val="14"/>
                <w:color w:val="auto"/>
                <w:w w:val="95"/>
              </w:rPr>
              <w:t>Americas</w:t>
            </w:r>
          </w:p>
        </w:tc>
        <w:tc>
          <w:tcPr>
            <w:tcW w:w="78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000" w:type="dxa"/>
            <w:vAlign w:val="bottom"/>
          </w:tcPr>
          <w:p>
            <w:pPr>
              <w:jc w:val="right"/>
              <w:ind w:right="240"/>
              <w:spacing w:after="0"/>
              <w:rPr>
                <w:sz w:val="20"/>
                <w:szCs w:val="20"/>
                <w:color w:val="auto"/>
              </w:rPr>
            </w:pPr>
            <w:r>
              <w:rPr>
                <w:rFonts w:ascii="Arial" w:cs="Arial" w:eastAsia="Arial" w:hAnsi="Arial"/>
                <w:sz w:val="14"/>
                <w:szCs w:val="14"/>
                <w:color w:val="auto"/>
              </w:rPr>
              <w:t>Oceania</w:t>
            </w:r>
          </w:p>
        </w:tc>
        <w:tc>
          <w:tcPr>
            <w:tcW w:w="840" w:type="dxa"/>
            <w:vAlign w:val="bottom"/>
            <w:gridSpan w:val="2"/>
            <w:vMerge w:val="continue"/>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4"/>
              </w:rPr>
              <w:t xml:space="preserve">All Products </w:t>
            </w:r>
            <w:r>
              <w:rPr>
                <w:rFonts w:ascii="Arial" w:cs="Arial" w:eastAsia="Arial" w:hAnsi="Arial"/>
                <w:sz w:val="14"/>
                <w:szCs w:val="14"/>
                <w:b w:val="1"/>
                <w:bCs w:val="1"/>
                <w:i w:val="1"/>
                <w:iCs w:val="1"/>
                <w:color w:val="auto"/>
                <w:w w:val="94"/>
              </w:rPr>
              <w:t>(1)</w:t>
            </w:r>
          </w:p>
        </w:tc>
        <w:tc>
          <w:tcPr>
            <w:tcW w:w="0" w:type="dxa"/>
            <w:vAlign w:val="bottom"/>
          </w:tcPr>
          <w:p>
            <w:pPr>
              <w:spacing w:after="0"/>
              <w:rPr>
                <w:sz w:val="1"/>
                <w:szCs w:val="1"/>
                <w:color w:val="auto"/>
              </w:rPr>
            </w:pPr>
          </w:p>
        </w:tc>
      </w:tr>
      <w:tr>
        <w:trPr>
          <w:trHeight w:val="130"/>
        </w:trPr>
        <w:tc>
          <w:tcPr>
            <w:tcW w:w="37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880" w:type="dxa"/>
            <w:vAlign w:val="bottom"/>
            <w:tcBorders>
              <w:top w:val="single" w:sz="8" w:color="auto"/>
            </w:tcBorders>
            <w:gridSpan w:val="2"/>
          </w:tcPr>
          <w:p>
            <w:pPr>
              <w:jc w:val="center"/>
              <w:ind w:left="480"/>
              <w:spacing w:after="0" w:line="130" w:lineRule="exact"/>
              <w:rPr>
                <w:sz w:val="20"/>
                <w:szCs w:val="20"/>
                <w:color w:val="auto"/>
              </w:rPr>
            </w:pPr>
            <w:r>
              <w:rPr>
                <w:rFonts w:ascii="Arial" w:cs="Arial" w:eastAsia="Arial" w:hAnsi="Arial"/>
                <w:sz w:val="14"/>
                <w:szCs w:val="14"/>
                <w:i w:val="1"/>
                <w:iCs w:val="1"/>
                <w:color w:val="auto"/>
                <w:w w:val="97"/>
              </w:rPr>
              <w:t>(billions of cubic feet)</w:t>
            </w:r>
          </w:p>
        </w:tc>
        <w:tc>
          <w:tcPr>
            <w:tcW w:w="66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Borders>
              <w:top w:val="single" w:sz="8" w:color="auto"/>
            </w:tcBorders>
          </w:tcPr>
          <w:p>
            <w:pPr>
              <w:jc w:val="center"/>
              <w:spacing w:after="0" w:line="130" w:lineRule="exact"/>
              <w:rPr>
                <w:sz w:val="20"/>
                <w:szCs w:val="20"/>
                <w:color w:val="auto"/>
              </w:rPr>
            </w:pPr>
            <w:r>
              <w:rPr>
                <w:rFonts w:ascii="Arial" w:cs="Arial" w:eastAsia="Arial" w:hAnsi="Arial"/>
                <w:sz w:val="14"/>
                <w:szCs w:val="14"/>
                <w:i w:val="1"/>
                <w:iCs w:val="1"/>
                <w:color w:val="auto"/>
              </w:rPr>
              <w:t>(millions of oil-</w:t>
            </w:r>
          </w:p>
        </w:tc>
        <w:tc>
          <w:tcPr>
            <w:tcW w:w="0" w:type="dxa"/>
            <w:vAlign w:val="bottom"/>
          </w:tcPr>
          <w:p>
            <w:pPr>
              <w:spacing w:after="0"/>
              <w:rPr>
                <w:sz w:val="1"/>
                <w:szCs w:val="1"/>
                <w:color w:val="auto"/>
              </w:rPr>
            </w:pPr>
          </w:p>
        </w:tc>
      </w:tr>
      <w:tr>
        <w:trPr>
          <w:trHeight w:val="182"/>
        </w:trPr>
        <w:tc>
          <w:tcPr>
            <w:tcW w:w="3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Arial" w:cs="Arial" w:eastAsia="Arial" w:hAnsi="Arial"/>
                <w:sz w:val="14"/>
                <w:szCs w:val="14"/>
                <w:i w:val="1"/>
                <w:iCs w:val="1"/>
                <w:color w:val="auto"/>
                <w:w w:val="95"/>
              </w:rPr>
              <w:t>equivalent barrels)</w:t>
            </w:r>
          </w:p>
        </w:tc>
        <w:tc>
          <w:tcPr>
            <w:tcW w:w="0" w:type="dxa"/>
            <w:vAlign w:val="bottom"/>
          </w:tcPr>
          <w:p>
            <w:pPr>
              <w:spacing w:after="0"/>
              <w:rPr>
                <w:sz w:val="1"/>
                <w:szCs w:val="1"/>
                <w:color w:val="auto"/>
              </w:rPr>
            </w:pPr>
          </w:p>
        </w:tc>
      </w:tr>
      <w:tr>
        <w:trPr>
          <w:trHeight w:val="172"/>
        </w:trPr>
        <w:tc>
          <w:tcPr>
            <w:tcW w:w="3780" w:type="dxa"/>
            <w:vAlign w:val="bottom"/>
          </w:tcPr>
          <w:p>
            <w:pPr>
              <w:ind w:left="20"/>
              <w:spacing w:after="0" w:line="172" w:lineRule="exact"/>
              <w:rPr>
                <w:sz w:val="20"/>
                <w:szCs w:val="20"/>
                <w:color w:val="auto"/>
              </w:rPr>
            </w:pPr>
            <w:r>
              <w:rPr>
                <w:rFonts w:ascii="Arial" w:cs="Arial" w:eastAsia="Arial" w:hAnsi="Arial"/>
                <w:sz w:val="16"/>
                <w:szCs w:val="16"/>
                <w:color w:val="auto"/>
              </w:rPr>
              <w:t>Proved developed reserves, as of</w:t>
            </w: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780" w:type="dxa"/>
            <w:vAlign w:val="bottom"/>
          </w:tcPr>
          <w:p>
            <w:pPr>
              <w:ind w:left="180"/>
              <w:spacing w:after="0"/>
              <w:rPr>
                <w:sz w:val="20"/>
                <w:szCs w:val="20"/>
                <w:color w:val="auto"/>
              </w:rPr>
            </w:pPr>
            <w:r>
              <w:rPr>
                <w:rFonts w:ascii="Arial" w:cs="Arial" w:eastAsia="Arial" w:hAnsi="Arial"/>
                <w:sz w:val="16"/>
                <w:szCs w:val="16"/>
                <w:color w:val="auto"/>
              </w:rPr>
              <w:t>December 31, 2019</w:t>
            </w:r>
          </w:p>
        </w:tc>
        <w:tc>
          <w:tcPr>
            <w:tcW w:w="8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80" w:type="dxa"/>
            <w:vAlign w:val="bottom"/>
          </w:tcPr>
          <w:p>
            <w:pPr>
              <w:ind w:left="680"/>
              <w:spacing w:after="0"/>
              <w:rPr>
                <w:sz w:val="20"/>
                <w:szCs w:val="20"/>
                <w:color w:val="auto"/>
              </w:rPr>
            </w:pPr>
            <w:r>
              <w:rPr>
                <w:rFonts w:ascii="Arial" w:cs="Arial" w:eastAsia="Arial" w:hAnsi="Arial"/>
                <w:sz w:val="16"/>
                <w:szCs w:val="16"/>
                <w:color w:val="auto"/>
              </w:rPr>
              <w:t>Consolidated subsidiaries</w:t>
            </w:r>
          </w:p>
        </w:tc>
        <w:tc>
          <w:tcPr>
            <w:tcW w:w="840" w:type="dxa"/>
            <w:vAlign w:val="bottom"/>
          </w:tcPr>
          <w:p>
            <w:pPr>
              <w:jc w:val="right"/>
              <w:ind w:right="80"/>
              <w:spacing w:after="0"/>
              <w:rPr>
                <w:sz w:val="20"/>
                <w:szCs w:val="20"/>
                <w:color w:val="auto"/>
              </w:rPr>
            </w:pPr>
            <w:r>
              <w:rPr>
                <w:rFonts w:ascii="Arial" w:cs="Arial" w:eastAsia="Arial" w:hAnsi="Arial"/>
                <w:sz w:val="16"/>
                <w:szCs w:val="16"/>
                <w:color w:val="auto"/>
              </w:rPr>
              <w:t>11,882</w:t>
            </w:r>
          </w:p>
        </w:tc>
        <w:tc>
          <w:tcPr>
            <w:tcW w:w="980" w:type="dxa"/>
            <w:vAlign w:val="bottom"/>
          </w:tcPr>
          <w:p>
            <w:pPr>
              <w:jc w:val="right"/>
              <w:ind w:right="101"/>
              <w:spacing w:after="0"/>
              <w:rPr>
                <w:sz w:val="20"/>
                <w:szCs w:val="20"/>
                <w:color w:val="auto"/>
              </w:rPr>
            </w:pPr>
            <w:r>
              <w:rPr>
                <w:rFonts w:ascii="Arial" w:cs="Arial" w:eastAsia="Arial" w:hAnsi="Arial"/>
                <w:sz w:val="16"/>
                <w:szCs w:val="16"/>
                <w:color w:val="auto"/>
              </w:rPr>
              <w:t>613</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502</w:t>
            </w:r>
          </w:p>
        </w:tc>
        <w:tc>
          <w:tcPr>
            <w:tcW w:w="1100" w:type="dxa"/>
            <w:vAlign w:val="bottom"/>
          </w:tcPr>
          <w:p>
            <w:pPr>
              <w:jc w:val="right"/>
              <w:ind w:right="300"/>
              <w:spacing w:after="0"/>
              <w:rPr>
                <w:sz w:val="20"/>
                <w:szCs w:val="20"/>
                <w:color w:val="auto"/>
              </w:rPr>
            </w:pPr>
            <w:r>
              <w:rPr>
                <w:rFonts w:ascii="Arial" w:cs="Arial" w:eastAsia="Arial" w:hAnsi="Arial"/>
                <w:sz w:val="16"/>
                <w:szCs w:val="16"/>
                <w:color w:val="auto"/>
              </w:rPr>
              <w:t>377</w:t>
            </w:r>
          </w:p>
        </w:tc>
        <w:tc>
          <w:tcPr>
            <w:tcW w:w="660" w:type="dxa"/>
            <w:vAlign w:val="bottom"/>
          </w:tcPr>
          <w:p>
            <w:pPr>
              <w:jc w:val="right"/>
              <w:ind w:right="80"/>
              <w:spacing w:after="0"/>
              <w:rPr>
                <w:sz w:val="20"/>
                <w:szCs w:val="20"/>
                <w:color w:val="auto"/>
              </w:rPr>
            </w:pPr>
            <w:r>
              <w:rPr>
                <w:rFonts w:ascii="Arial" w:cs="Arial" w:eastAsia="Arial" w:hAnsi="Arial"/>
                <w:sz w:val="16"/>
                <w:szCs w:val="16"/>
                <w:color w:val="auto"/>
              </w:rPr>
              <w:t>3,508</w:t>
            </w:r>
          </w:p>
        </w:tc>
        <w:tc>
          <w:tcPr>
            <w:tcW w:w="1000" w:type="dxa"/>
            <w:vAlign w:val="bottom"/>
          </w:tcPr>
          <w:p>
            <w:pPr>
              <w:jc w:val="right"/>
              <w:ind w:right="120"/>
              <w:spacing w:after="0"/>
              <w:rPr>
                <w:sz w:val="20"/>
                <w:szCs w:val="20"/>
                <w:color w:val="auto"/>
              </w:rPr>
            </w:pPr>
            <w:r>
              <w:rPr>
                <w:rFonts w:ascii="Arial" w:cs="Arial" w:eastAsia="Arial" w:hAnsi="Arial"/>
                <w:sz w:val="16"/>
                <w:szCs w:val="16"/>
                <w:color w:val="auto"/>
              </w:rPr>
              <w:t>3,765</w:t>
            </w:r>
          </w:p>
        </w:tc>
        <w:tc>
          <w:tcPr>
            <w:tcW w:w="720" w:type="dxa"/>
            <w:vAlign w:val="bottom"/>
          </w:tcPr>
          <w:p>
            <w:pPr>
              <w:jc w:val="right"/>
              <w:spacing w:after="0"/>
              <w:rPr>
                <w:sz w:val="20"/>
                <w:szCs w:val="20"/>
                <w:color w:val="auto"/>
              </w:rPr>
            </w:pPr>
            <w:r>
              <w:rPr>
                <w:rFonts w:ascii="Arial" w:cs="Arial" w:eastAsia="Arial" w:hAnsi="Arial"/>
                <w:sz w:val="16"/>
                <w:szCs w:val="16"/>
                <w:color w:val="auto"/>
              </w:rPr>
              <w:t>20,647</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12,075</w:t>
            </w:r>
          </w:p>
        </w:tc>
        <w:tc>
          <w:tcPr>
            <w:tcW w:w="0" w:type="dxa"/>
            <w:vAlign w:val="bottom"/>
          </w:tcPr>
          <w:p>
            <w:pPr>
              <w:spacing w:after="0"/>
              <w:rPr>
                <w:sz w:val="1"/>
                <w:szCs w:val="1"/>
                <w:color w:val="auto"/>
              </w:rPr>
            </w:pPr>
          </w:p>
        </w:tc>
      </w:tr>
      <w:tr>
        <w:trPr>
          <w:trHeight w:val="216"/>
        </w:trPr>
        <w:tc>
          <w:tcPr>
            <w:tcW w:w="3780" w:type="dxa"/>
            <w:vAlign w:val="bottom"/>
          </w:tcPr>
          <w:p>
            <w:pPr>
              <w:ind w:left="680"/>
              <w:spacing w:after="0"/>
              <w:rPr>
                <w:sz w:val="20"/>
                <w:szCs w:val="20"/>
                <w:color w:val="auto"/>
              </w:rPr>
            </w:pPr>
            <w:r>
              <w:rPr>
                <w:rFonts w:ascii="Arial" w:cs="Arial" w:eastAsia="Arial" w:hAnsi="Arial"/>
                <w:sz w:val="16"/>
                <w:szCs w:val="16"/>
                <w:color w:val="auto"/>
              </w:rPr>
              <w:t>Equity companies</w:t>
            </w:r>
          </w:p>
        </w:tc>
        <w:tc>
          <w:tcPr>
            <w:tcW w:w="840" w:type="dxa"/>
            <w:vAlign w:val="bottom"/>
          </w:tcPr>
          <w:p>
            <w:pPr>
              <w:jc w:val="right"/>
              <w:ind w:right="80"/>
              <w:spacing w:after="0"/>
              <w:rPr>
                <w:sz w:val="20"/>
                <w:szCs w:val="20"/>
                <w:color w:val="auto"/>
              </w:rPr>
            </w:pPr>
            <w:r>
              <w:rPr>
                <w:rFonts w:ascii="Arial" w:cs="Arial" w:eastAsia="Arial" w:hAnsi="Arial"/>
                <w:sz w:val="16"/>
                <w:szCs w:val="16"/>
                <w:color w:val="auto"/>
              </w:rPr>
              <w:t>143</w:t>
            </w:r>
          </w:p>
        </w:tc>
        <w:tc>
          <w:tcPr>
            <w:tcW w:w="98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505</w:t>
            </w:r>
          </w:p>
        </w:tc>
        <w:tc>
          <w:tcPr>
            <w:tcW w:w="1100" w:type="dxa"/>
            <w:vAlign w:val="bottom"/>
          </w:tcPr>
          <w:p>
            <w:pPr>
              <w:jc w:val="right"/>
              <w:ind w:right="30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80"/>
              <w:spacing w:after="0"/>
              <w:rPr>
                <w:sz w:val="20"/>
                <w:szCs w:val="20"/>
                <w:color w:val="auto"/>
              </w:rPr>
            </w:pPr>
            <w:r>
              <w:rPr>
                <w:rFonts w:ascii="Arial" w:cs="Arial" w:eastAsia="Arial" w:hAnsi="Arial"/>
                <w:sz w:val="16"/>
                <w:szCs w:val="16"/>
                <w:color w:val="auto"/>
              </w:rPr>
              <w:t>9,859</w:t>
            </w:r>
          </w:p>
        </w:tc>
        <w:tc>
          <w:tcPr>
            <w:tcW w:w="100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10,507</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2,691</w:t>
            </w:r>
          </w:p>
        </w:tc>
        <w:tc>
          <w:tcPr>
            <w:tcW w:w="0" w:type="dxa"/>
            <w:vAlign w:val="bottom"/>
          </w:tcPr>
          <w:p>
            <w:pPr>
              <w:spacing w:after="0"/>
              <w:rPr>
                <w:sz w:val="1"/>
                <w:szCs w:val="1"/>
                <w:color w:val="auto"/>
              </w:rPr>
            </w:pPr>
          </w:p>
        </w:tc>
      </w:tr>
      <w:tr>
        <w:trPr>
          <w:trHeight w:val="428"/>
        </w:trPr>
        <w:tc>
          <w:tcPr>
            <w:tcW w:w="3780" w:type="dxa"/>
            <w:vAlign w:val="bottom"/>
          </w:tcPr>
          <w:p>
            <w:pPr>
              <w:ind w:left="20"/>
              <w:spacing w:after="0"/>
              <w:rPr>
                <w:sz w:val="20"/>
                <w:szCs w:val="20"/>
                <w:color w:val="auto"/>
              </w:rPr>
            </w:pPr>
            <w:r>
              <w:rPr>
                <w:rFonts w:ascii="Arial" w:cs="Arial" w:eastAsia="Arial" w:hAnsi="Arial"/>
                <w:sz w:val="16"/>
                <w:szCs w:val="16"/>
                <w:color w:val="auto"/>
              </w:rPr>
              <w:t>Proved undeveloped reserves, as of</w:t>
            </w: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3780" w:type="dxa"/>
            <w:vAlign w:val="bottom"/>
          </w:tcPr>
          <w:p>
            <w:pPr>
              <w:ind w:left="180"/>
              <w:spacing w:after="0"/>
              <w:rPr>
                <w:sz w:val="20"/>
                <w:szCs w:val="20"/>
                <w:color w:val="auto"/>
              </w:rPr>
            </w:pPr>
            <w:r>
              <w:rPr>
                <w:rFonts w:ascii="Arial" w:cs="Arial" w:eastAsia="Arial" w:hAnsi="Arial"/>
                <w:sz w:val="16"/>
                <w:szCs w:val="16"/>
                <w:color w:val="auto"/>
              </w:rPr>
              <w:t>December 31, 2019</w:t>
            </w:r>
          </w:p>
        </w:tc>
        <w:tc>
          <w:tcPr>
            <w:tcW w:w="8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80" w:type="dxa"/>
            <w:vAlign w:val="bottom"/>
          </w:tcPr>
          <w:p>
            <w:pPr>
              <w:ind w:left="680"/>
              <w:spacing w:after="0"/>
              <w:rPr>
                <w:sz w:val="20"/>
                <w:szCs w:val="20"/>
                <w:color w:val="auto"/>
              </w:rPr>
            </w:pPr>
            <w:r>
              <w:rPr>
                <w:rFonts w:ascii="Arial" w:cs="Arial" w:eastAsia="Arial" w:hAnsi="Arial"/>
                <w:sz w:val="16"/>
                <w:szCs w:val="16"/>
                <w:color w:val="auto"/>
              </w:rPr>
              <w:t>Consolidated subsidiaries</w:t>
            </w:r>
          </w:p>
        </w:tc>
        <w:tc>
          <w:tcPr>
            <w:tcW w:w="840" w:type="dxa"/>
            <w:vAlign w:val="bottom"/>
          </w:tcPr>
          <w:p>
            <w:pPr>
              <w:jc w:val="right"/>
              <w:ind w:right="80"/>
              <w:spacing w:after="0"/>
              <w:rPr>
                <w:sz w:val="20"/>
                <w:szCs w:val="20"/>
                <w:color w:val="auto"/>
              </w:rPr>
            </w:pPr>
            <w:r>
              <w:rPr>
                <w:rFonts w:ascii="Arial" w:cs="Arial" w:eastAsia="Arial" w:hAnsi="Arial"/>
                <w:sz w:val="16"/>
                <w:szCs w:val="16"/>
                <w:color w:val="auto"/>
              </w:rPr>
              <w:t>7,144</w:t>
            </w:r>
          </w:p>
        </w:tc>
        <w:tc>
          <w:tcPr>
            <w:tcW w:w="980" w:type="dxa"/>
            <w:vAlign w:val="bottom"/>
          </w:tcPr>
          <w:p>
            <w:pPr>
              <w:jc w:val="right"/>
              <w:ind w:right="101"/>
              <w:spacing w:after="0"/>
              <w:rPr>
                <w:sz w:val="20"/>
                <w:szCs w:val="20"/>
                <w:color w:val="auto"/>
              </w:rPr>
            </w:pPr>
            <w:r>
              <w:rPr>
                <w:rFonts w:ascii="Arial" w:cs="Arial" w:eastAsia="Arial" w:hAnsi="Arial"/>
                <w:sz w:val="16"/>
                <w:szCs w:val="16"/>
                <w:color w:val="auto"/>
              </w:rPr>
              <w:t>853</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119</w:t>
            </w:r>
          </w:p>
        </w:tc>
        <w:tc>
          <w:tcPr>
            <w:tcW w:w="1100" w:type="dxa"/>
            <w:vAlign w:val="bottom"/>
          </w:tcPr>
          <w:p>
            <w:pPr>
              <w:jc w:val="right"/>
              <w:ind w:right="30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80"/>
              <w:spacing w:after="0"/>
              <w:rPr>
                <w:sz w:val="20"/>
                <w:szCs w:val="20"/>
                <w:color w:val="auto"/>
              </w:rPr>
            </w:pPr>
            <w:r>
              <w:rPr>
                <w:rFonts w:ascii="Arial" w:cs="Arial" w:eastAsia="Arial" w:hAnsi="Arial"/>
                <w:sz w:val="16"/>
                <w:szCs w:val="16"/>
                <w:color w:val="auto"/>
              </w:rPr>
              <w:t>925</w:t>
            </w:r>
          </w:p>
        </w:tc>
        <w:tc>
          <w:tcPr>
            <w:tcW w:w="1000" w:type="dxa"/>
            <w:vAlign w:val="bottom"/>
          </w:tcPr>
          <w:p>
            <w:pPr>
              <w:jc w:val="right"/>
              <w:ind w:right="120"/>
              <w:spacing w:after="0"/>
              <w:rPr>
                <w:sz w:val="20"/>
                <w:szCs w:val="20"/>
                <w:color w:val="auto"/>
              </w:rPr>
            </w:pPr>
            <w:r>
              <w:rPr>
                <w:rFonts w:ascii="Arial" w:cs="Arial" w:eastAsia="Arial" w:hAnsi="Arial"/>
                <w:sz w:val="16"/>
                <w:szCs w:val="16"/>
                <w:color w:val="auto"/>
              </w:rPr>
              <w:t>3,236</w:t>
            </w:r>
          </w:p>
        </w:tc>
        <w:tc>
          <w:tcPr>
            <w:tcW w:w="720" w:type="dxa"/>
            <w:vAlign w:val="bottom"/>
          </w:tcPr>
          <w:p>
            <w:pPr>
              <w:jc w:val="right"/>
              <w:spacing w:after="0"/>
              <w:rPr>
                <w:sz w:val="20"/>
                <w:szCs w:val="20"/>
                <w:color w:val="auto"/>
              </w:rPr>
            </w:pPr>
            <w:r>
              <w:rPr>
                <w:rFonts w:ascii="Arial" w:cs="Arial" w:eastAsia="Arial" w:hAnsi="Arial"/>
                <w:sz w:val="16"/>
                <w:szCs w:val="16"/>
                <w:color w:val="auto"/>
              </w:rPr>
              <w:t>12,277</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6,521</w:t>
            </w:r>
          </w:p>
        </w:tc>
        <w:tc>
          <w:tcPr>
            <w:tcW w:w="0" w:type="dxa"/>
            <w:vAlign w:val="bottom"/>
          </w:tcPr>
          <w:p>
            <w:pPr>
              <w:spacing w:after="0"/>
              <w:rPr>
                <w:sz w:val="1"/>
                <w:szCs w:val="1"/>
                <w:color w:val="auto"/>
              </w:rPr>
            </w:pPr>
          </w:p>
        </w:tc>
      </w:tr>
      <w:tr>
        <w:trPr>
          <w:trHeight w:val="216"/>
        </w:trPr>
        <w:tc>
          <w:tcPr>
            <w:tcW w:w="3780" w:type="dxa"/>
            <w:vAlign w:val="bottom"/>
          </w:tcPr>
          <w:p>
            <w:pPr>
              <w:ind w:left="680"/>
              <w:spacing w:after="0"/>
              <w:rPr>
                <w:sz w:val="20"/>
                <w:szCs w:val="20"/>
                <w:color w:val="auto"/>
              </w:rPr>
            </w:pPr>
            <w:r>
              <w:rPr>
                <w:rFonts w:ascii="Arial" w:cs="Arial" w:eastAsia="Arial" w:hAnsi="Arial"/>
                <w:sz w:val="16"/>
                <w:szCs w:val="16"/>
                <w:color w:val="auto"/>
              </w:rPr>
              <w:t>Equity companies</w:t>
            </w:r>
          </w:p>
        </w:tc>
        <w:tc>
          <w:tcPr>
            <w:tcW w:w="8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70</w:t>
            </w:r>
          </w:p>
        </w:tc>
        <w:tc>
          <w:tcPr>
            <w:tcW w:w="9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76</w:t>
            </w:r>
          </w:p>
        </w:tc>
        <w:tc>
          <w:tcPr>
            <w:tcW w:w="110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color w:val="auto"/>
              </w:rPr>
              <w:t>908</w:t>
            </w:r>
          </w:p>
        </w:tc>
        <w:tc>
          <w:tcPr>
            <w:tcW w:w="6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2,595</w:t>
            </w:r>
          </w:p>
        </w:tc>
        <w:tc>
          <w:tcPr>
            <w:tcW w:w="10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3,649</w:t>
            </w:r>
          </w:p>
        </w:tc>
        <w:tc>
          <w:tcPr>
            <w:tcW w:w="12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1,158</w:t>
            </w:r>
          </w:p>
        </w:tc>
        <w:tc>
          <w:tcPr>
            <w:tcW w:w="0" w:type="dxa"/>
            <w:vAlign w:val="bottom"/>
          </w:tcPr>
          <w:p>
            <w:pPr>
              <w:spacing w:after="0"/>
              <w:rPr>
                <w:sz w:val="1"/>
                <w:szCs w:val="1"/>
                <w:color w:val="auto"/>
              </w:rPr>
            </w:pPr>
          </w:p>
        </w:tc>
      </w:tr>
      <w:tr>
        <w:trPr>
          <w:trHeight w:val="210"/>
        </w:trPr>
        <w:tc>
          <w:tcPr>
            <w:tcW w:w="3780" w:type="dxa"/>
            <w:vAlign w:val="bottom"/>
          </w:tcPr>
          <w:p>
            <w:pPr>
              <w:ind w:left="20"/>
              <w:spacing w:after="0"/>
              <w:rPr>
                <w:sz w:val="20"/>
                <w:szCs w:val="20"/>
                <w:color w:val="auto"/>
              </w:rPr>
            </w:pPr>
            <w:r>
              <w:rPr>
                <w:rFonts w:ascii="Arial" w:cs="Arial" w:eastAsia="Arial" w:hAnsi="Arial"/>
                <w:sz w:val="16"/>
                <w:szCs w:val="16"/>
                <w:color w:val="auto"/>
              </w:rPr>
              <w:t>Total proved reserves at December 31, 2019</w:t>
            </w:r>
          </w:p>
        </w:tc>
        <w:tc>
          <w:tcPr>
            <w:tcW w:w="8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19,239</w:t>
            </w:r>
          </w:p>
        </w:tc>
        <w:tc>
          <w:tcPr>
            <w:tcW w:w="9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1,466</w:t>
            </w: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1,202</w:t>
            </w:r>
          </w:p>
        </w:tc>
        <w:tc>
          <w:tcPr>
            <w:tcW w:w="110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color w:val="auto"/>
              </w:rPr>
              <w:t>1,285</w:t>
            </w:r>
          </w:p>
        </w:tc>
        <w:tc>
          <w:tcPr>
            <w:tcW w:w="6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w w:val="98"/>
              </w:rPr>
              <w:t>16,887</w:t>
            </w:r>
          </w:p>
        </w:tc>
        <w:tc>
          <w:tcPr>
            <w:tcW w:w="10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7,001</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47,080</w:t>
            </w:r>
          </w:p>
        </w:tc>
        <w:tc>
          <w:tcPr>
            <w:tcW w:w="12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22,445</w:t>
            </w:r>
          </w:p>
        </w:tc>
        <w:tc>
          <w:tcPr>
            <w:tcW w:w="0" w:type="dxa"/>
            <w:vAlign w:val="bottom"/>
          </w:tcPr>
          <w:p>
            <w:pPr>
              <w:spacing w:after="0"/>
              <w:rPr>
                <w:sz w:val="1"/>
                <w:szCs w:val="1"/>
                <w:color w:val="auto"/>
              </w:rPr>
            </w:pPr>
          </w:p>
        </w:tc>
      </w:tr>
      <w:tr>
        <w:trPr>
          <w:trHeight w:val="408"/>
        </w:trPr>
        <w:tc>
          <w:tcPr>
            <w:tcW w:w="3780" w:type="dxa"/>
            <w:vAlign w:val="bottom"/>
          </w:tcPr>
          <w:p>
            <w:pPr>
              <w:ind w:left="20"/>
              <w:spacing w:after="0"/>
              <w:rPr>
                <w:sz w:val="20"/>
                <w:szCs w:val="20"/>
                <w:color w:val="auto"/>
              </w:rPr>
            </w:pPr>
            <w:r>
              <w:rPr>
                <w:rFonts w:ascii="Arial" w:cs="Arial" w:eastAsia="Arial" w:hAnsi="Arial"/>
                <w:sz w:val="16"/>
                <w:szCs w:val="16"/>
                <w:color w:val="auto"/>
              </w:rPr>
              <w:t>Proved developed reserves, as of</w:t>
            </w: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3780" w:type="dxa"/>
            <w:vAlign w:val="bottom"/>
          </w:tcPr>
          <w:p>
            <w:pPr>
              <w:ind w:left="180"/>
              <w:spacing w:after="0"/>
              <w:rPr>
                <w:sz w:val="20"/>
                <w:szCs w:val="20"/>
                <w:color w:val="auto"/>
              </w:rPr>
            </w:pPr>
            <w:r>
              <w:rPr>
                <w:rFonts w:ascii="Arial" w:cs="Arial" w:eastAsia="Arial" w:hAnsi="Arial"/>
                <w:sz w:val="16"/>
                <w:szCs w:val="16"/>
                <w:color w:val="auto"/>
              </w:rPr>
              <w:t>December 31, 2020</w:t>
            </w:r>
          </w:p>
        </w:tc>
        <w:tc>
          <w:tcPr>
            <w:tcW w:w="8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80" w:type="dxa"/>
            <w:vAlign w:val="bottom"/>
          </w:tcPr>
          <w:p>
            <w:pPr>
              <w:ind w:left="680"/>
              <w:spacing w:after="0"/>
              <w:rPr>
                <w:sz w:val="20"/>
                <w:szCs w:val="20"/>
                <w:color w:val="auto"/>
              </w:rPr>
            </w:pPr>
            <w:r>
              <w:rPr>
                <w:rFonts w:ascii="Arial" w:cs="Arial" w:eastAsia="Arial" w:hAnsi="Arial"/>
                <w:sz w:val="16"/>
                <w:szCs w:val="16"/>
                <w:color w:val="auto"/>
              </w:rPr>
              <w:t>Consolidated subsidiaries</w:t>
            </w:r>
          </w:p>
        </w:tc>
        <w:tc>
          <w:tcPr>
            <w:tcW w:w="840" w:type="dxa"/>
            <w:vAlign w:val="bottom"/>
          </w:tcPr>
          <w:p>
            <w:pPr>
              <w:jc w:val="right"/>
              <w:ind w:right="80"/>
              <w:spacing w:after="0"/>
              <w:rPr>
                <w:sz w:val="20"/>
                <w:szCs w:val="20"/>
                <w:color w:val="auto"/>
              </w:rPr>
            </w:pPr>
            <w:r>
              <w:rPr>
                <w:rFonts w:ascii="Arial" w:cs="Arial" w:eastAsia="Arial" w:hAnsi="Arial"/>
                <w:sz w:val="16"/>
                <w:szCs w:val="16"/>
                <w:color w:val="auto"/>
              </w:rPr>
              <w:t>10,375</w:t>
            </w:r>
          </w:p>
        </w:tc>
        <w:tc>
          <w:tcPr>
            <w:tcW w:w="980" w:type="dxa"/>
            <w:vAlign w:val="bottom"/>
          </w:tcPr>
          <w:p>
            <w:pPr>
              <w:jc w:val="right"/>
              <w:ind w:right="101"/>
              <w:spacing w:after="0"/>
              <w:rPr>
                <w:sz w:val="20"/>
                <w:szCs w:val="20"/>
                <w:color w:val="auto"/>
              </w:rPr>
            </w:pPr>
            <w:r>
              <w:rPr>
                <w:rFonts w:ascii="Arial" w:cs="Arial" w:eastAsia="Arial" w:hAnsi="Arial"/>
                <w:sz w:val="16"/>
                <w:szCs w:val="16"/>
                <w:color w:val="auto"/>
              </w:rPr>
              <w:t>472</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399</w:t>
            </w:r>
          </w:p>
        </w:tc>
        <w:tc>
          <w:tcPr>
            <w:tcW w:w="1100" w:type="dxa"/>
            <w:vAlign w:val="bottom"/>
          </w:tcPr>
          <w:p>
            <w:pPr>
              <w:jc w:val="right"/>
              <w:ind w:right="300"/>
              <w:spacing w:after="0"/>
              <w:rPr>
                <w:sz w:val="20"/>
                <w:szCs w:val="20"/>
                <w:color w:val="auto"/>
              </w:rPr>
            </w:pPr>
            <w:r>
              <w:rPr>
                <w:rFonts w:ascii="Arial" w:cs="Arial" w:eastAsia="Arial" w:hAnsi="Arial"/>
                <w:sz w:val="16"/>
                <w:szCs w:val="16"/>
                <w:color w:val="auto"/>
              </w:rPr>
              <w:t>318</w:t>
            </w:r>
          </w:p>
        </w:tc>
        <w:tc>
          <w:tcPr>
            <w:tcW w:w="660" w:type="dxa"/>
            <w:vAlign w:val="bottom"/>
          </w:tcPr>
          <w:p>
            <w:pPr>
              <w:jc w:val="right"/>
              <w:ind w:right="80"/>
              <w:spacing w:after="0"/>
              <w:rPr>
                <w:sz w:val="20"/>
                <w:szCs w:val="20"/>
                <w:color w:val="auto"/>
              </w:rPr>
            </w:pPr>
            <w:r>
              <w:rPr>
                <w:rFonts w:ascii="Arial" w:cs="Arial" w:eastAsia="Arial" w:hAnsi="Arial"/>
                <w:sz w:val="16"/>
                <w:szCs w:val="16"/>
                <w:color w:val="auto"/>
              </w:rPr>
              <w:t>3,323</w:t>
            </w:r>
          </w:p>
        </w:tc>
        <w:tc>
          <w:tcPr>
            <w:tcW w:w="1000" w:type="dxa"/>
            <w:vAlign w:val="bottom"/>
          </w:tcPr>
          <w:p>
            <w:pPr>
              <w:jc w:val="right"/>
              <w:ind w:right="120"/>
              <w:spacing w:after="0"/>
              <w:rPr>
                <w:sz w:val="20"/>
                <w:szCs w:val="20"/>
                <w:color w:val="auto"/>
              </w:rPr>
            </w:pPr>
            <w:r>
              <w:rPr>
                <w:rFonts w:ascii="Arial" w:cs="Arial" w:eastAsia="Arial" w:hAnsi="Arial"/>
                <w:sz w:val="16"/>
                <w:szCs w:val="16"/>
                <w:color w:val="auto"/>
              </w:rPr>
              <w:t>3,344</w:t>
            </w:r>
          </w:p>
        </w:tc>
        <w:tc>
          <w:tcPr>
            <w:tcW w:w="720" w:type="dxa"/>
            <w:vAlign w:val="bottom"/>
          </w:tcPr>
          <w:p>
            <w:pPr>
              <w:jc w:val="right"/>
              <w:spacing w:after="0"/>
              <w:rPr>
                <w:sz w:val="20"/>
                <w:szCs w:val="20"/>
                <w:color w:val="auto"/>
              </w:rPr>
            </w:pPr>
            <w:r>
              <w:rPr>
                <w:rFonts w:ascii="Arial" w:cs="Arial" w:eastAsia="Arial" w:hAnsi="Arial"/>
                <w:sz w:val="16"/>
                <w:szCs w:val="16"/>
                <w:color w:val="auto"/>
              </w:rPr>
              <w:t>18,231</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7,915</w:t>
            </w:r>
          </w:p>
        </w:tc>
        <w:tc>
          <w:tcPr>
            <w:tcW w:w="0" w:type="dxa"/>
            <w:vAlign w:val="bottom"/>
          </w:tcPr>
          <w:p>
            <w:pPr>
              <w:spacing w:after="0"/>
              <w:rPr>
                <w:sz w:val="1"/>
                <w:szCs w:val="1"/>
                <w:color w:val="auto"/>
              </w:rPr>
            </w:pPr>
          </w:p>
        </w:tc>
      </w:tr>
      <w:tr>
        <w:trPr>
          <w:trHeight w:val="216"/>
        </w:trPr>
        <w:tc>
          <w:tcPr>
            <w:tcW w:w="3780" w:type="dxa"/>
            <w:vAlign w:val="bottom"/>
          </w:tcPr>
          <w:p>
            <w:pPr>
              <w:ind w:left="680"/>
              <w:spacing w:after="0"/>
              <w:rPr>
                <w:sz w:val="20"/>
                <w:szCs w:val="20"/>
                <w:color w:val="auto"/>
              </w:rPr>
            </w:pPr>
            <w:r>
              <w:rPr>
                <w:rFonts w:ascii="Arial" w:cs="Arial" w:eastAsia="Arial" w:hAnsi="Arial"/>
                <w:sz w:val="16"/>
                <w:szCs w:val="16"/>
                <w:color w:val="auto"/>
              </w:rPr>
              <w:t>Equity companies</w:t>
            </w:r>
          </w:p>
        </w:tc>
        <w:tc>
          <w:tcPr>
            <w:tcW w:w="840" w:type="dxa"/>
            <w:vAlign w:val="bottom"/>
          </w:tcPr>
          <w:p>
            <w:pPr>
              <w:jc w:val="right"/>
              <w:ind w:right="80"/>
              <w:spacing w:after="0"/>
              <w:rPr>
                <w:sz w:val="20"/>
                <w:szCs w:val="20"/>
                <w:color w:val="auto"/>
              </w:rPr>
            </w:pPr>
            <w:r>
              <w:rPr>
                <w:rFonts w:ascii="Arial" w:cs="Arial" w:eastAsia="Arial" w:hAnsi="Arial"/>
                <w:sz w:val="16"/>
                <w:szCs w:val="16"/>
                <w:color w:val="auto"/>
              </w:rPr>
              <w:t>83</w:t>
            </w:r>
          </w:p>
        </w:tc>
        <w:tc>
          <w:tcPr>
            <w:tcW w:w="98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293</w:t>
            </w:r>
          </w:p>
        </w:tc>
        <w:tc>
          <w:tcPr>
            <w:tcW w:w="1100" w:type="dxa"/>
            <w:vAlign w:val="bottom"/>
          </w:tcPr>
          <w:p>
            <w:pPr>
              <w:jc w:val="right"/>
              <w:ind w:right="30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80"/>
              <w:spacing w:after="0"/>
              <w:rPr>
                <w:sz w:val="20"/>
                <w:szCs w:val="20"/>
                <w:color w:val="auto"/>
              </w:rPr>
            </w:pPr>
            <w:r>
              <w:rPr>
                <w:rFonts w:ascii="Arial" w:cs="Arial" w:eastAsia="Arial" w:hAnsi="Arial"/>
                <w:sz w:val="16"/>
                <w:szCs w:val="16"/>
                <w:color w:val="auto"/>
              </w:rPr>
              <w:t>8,992</w:t>
            </w:r>
          </w:p>
        </w:tc>
        <w:tc>
          <w:tcPr>
            <w:tcW w:w="100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9,368</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2,326</w:t>
            </w:r>
          </w:p>
        </w:tc>
        <w:tc>
          <w:tcPr>
            <w:tcW w:w="0" w:type="dxa"/>
            <w:vAlign w:val="bottom"/>
          </w:tcPr>
          <w:p>
            <w:pPr>
              <w:spacing w:after="0"/>
              <w:rPr>
                <w:sz w:val="1"/>
                <w:szCs w:val="1"/>
                <w:color w:val="auto"/>
              </w:rPr>
            </w:pPr>
          </w:p>
        </w:tc>
      </w:tr>
      <w:tr>
        <w:trPr>
          <w:trHeight w:val="428"/>
        </w:trPr>
        <w:tc>
          <w:tcPr>
            <w:tcW w:w="3780" w:type="dxa"/>
            <w:vAlign w:val="bottom"/>
          </w:tcPr>
          <w:p>
            <w:pPr>
              <w:ind w:left="20"/>
              <w:spacing w:after="0"/>
              <w:rPr>
                <w:sz w:val="20"/>
                <w:szCs w:val="20"/>
                <w:color w:val="auto"/>
              </w:rPr>
            </w:pPr>
            <w:r>
              <w:rPr>
                <w:rFonts w:ascii="Arial" w:cs="Arial" w:eastAsia="Arial" w:hAnsi="Arial"/>
                <w:sz w:val="16"/>
                <w:szCs w:val="16"/>
                <w:color w:val="auto"/>
              </w:rPr>
              <w:t>Proved undeveloped reserves, as of</w:t>
            </w: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3780" w:type="dxa"/>
            <w:vAlign w:val="bottom"/>
          </w:tcPr>
          <w:p>
            <w:pPr>
              <w:ind w:left="180"/>
              <w:spacing w:after="0"/>
              <w:rPr>
                <w:sz w:val="20"/>
                <w:szCs w:val="20"/>
                <w:color w:val="auto"/>
              </w:rPr>
            </w:pPr>
            <w:r>
              <w:rPr>
                <w:rFonts w:ascii="Arial" w:cs="Arial" w:eastAsia="Arial" w:hAnsi="Arial"/>
                <w:sz w:val="16"/>
                <w:szCs w:val="16"/>
                <w:color w:val="auto"/>
              </w:rPr>
              <w:t>December 31, 2020</w:t>
            </w:r>
          </w:p>
        </w:tc>
        <w:tc>
          <w:tcPr>
            <w:tcW w:w="8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80" w:type="dxa"/>
            <w:vAlign w:val="bottom"/>
          </w:tcPr>
          <w:p>
            <w:pPr>
              <w:ind w:left="680"/>
              <w:spacing w:after="0"/>
              <w:rPr>
                <w:sz w:val="20"/>
                <w:szCs w:val="20"/>
                <w:color w:val="auto"/>
              </w:rPr>
            </w:pPr>
            <w:r>
              <w:rPr>
                <w:rFonts w:ascii="Arial" w:cs="Arial" w:eastAsia="Arial" w:hAnsi="Arial"/>
                <w:sz w:val="16"/>
                <w:szCs w:val="16"/>
                <w:color w:val="auto"/>
              </w:rPr>
              <w:t>Consolidated subsidiaries</w:t>
            </w:r>
          </w:p>
        </w:tc>
        <w:tc>
          <w:tcPr>
            <w:tcW w:w="840" w:type="dxa"/>
            <w:vAlign w:val="bottom"/>
          </w:tcPr>
          <w:p>
            <w:pPr>
              <w:jc w:val="right"/>
              <w:ind w:right="80"/>
              <w:spacing w:after="0"/>
              <w:rPr>
                <w:sz w:val="20"/>
                <w:szCs w:val="20"/>
                <w:color w:val="auto"/>
              </w:rPr>
            </w:pPr>
            <w:r>
              <w:rPr>
                <w:rFonts w:ascii="Arial" w:cs="Arial" w:eastAsia="Arial" w:hAnsi="Arial"/>
                <w:sz w:val="16"/>
                <w:szCs w:val="16"/>
                <w:color w:val="auto"/>
              </w:rPr>
              <w:t>3,064</w:t>
            </w:r>
          </w:p>
        </w:tc>
        <w:tc>
          <w:tcPr>
            <w:tcW w:w="980" w:type="dxa"/>
            <w:vAlign w:val="bottom"/>
          </w:tcPr>
          <w:p>
            <w:pPr>
              <w:jc w:val="right"/>
              <w:ind w:right="101"/>
              <w:spacing w:after="0"/>
              <w:rPr>
                <w:sz w:val="20"/>
                <w:szCs w:val="20"/>
                <w:color w:val="auto"/>
              </w:rPr>
            </w:pPr>
            <w:r>
              <w:rPr>
                <w:rFonts w:ascii="Arial" w:cs="Arial" w:eastAsia="Arial" w:hAnsi="Arial"/>
                <w:sz w:val="16"/>
                <w:szCs w:val="16"/>
                <w:color w:val="auto"/>
              </w:rPr>
              <w:t>89</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42</w:t>
            </w:r>
          </w:p>
        </w:tc>
        <w:tc>
          <w:tcPr>
            <w:tcW w:w="1100" w:type="dxa"/>
            <w:vAlign w:val="bottom"/>
          </w:tcPr>
          <w:p>
            <w:pPr>
              <w:jc w:val="right"/>
              <w:ind w:right="300"/>
              <w:spacing w:after="0"/>
              <w:rPr>
                <w:sz w:val="20"/>
                <w:szCs w:val="20"/>
                <w:color w:val="auto"/>
              </w:rPr>
            </w:pPr>
            <w:r>
              <w:rPr>
                <w:rFonts w:ascii="Arial" w:cs="Arial" w:eastAsia="Arial" w:hAnsi="Arial"/>
                <w:sz w:val="16"/>
                <w:szCs w:val="16"/>
                <w:color w:val="auto"/>
              </w:rPr>
              <w:t>2</w:t>
            </w:r>
          </w:p>
        </w:tc>
        <w:tc>
          <w:tcPr>
            <w:tcW w:w="660" w:type="dxa"/>
            <w:vAlign w:val="bottom"/>
          </w:tcPr>
          <w:p>
            <w:pPr>
              <w:jc w:val="right"/>
              <w:ind w:right="80"/>
              <w:spacing w:after="0"/>
              <w:rPr>
                <w:sz w:val="20"/>
                <w:szCs w:val="20"/>
                <w:color w:val="auto"/>
              </w:rPr>
            </w:pPr>
            <w:r>
              <w:rPr>
                <w:rFonts w:ascii="Arial" w:cs="Arial" w:eastAsia="Arial" w:hAnsi="Arial"/>
                <w:sz w:val="16"/>
                <w:szCs w:val="16"/>
                <w:color w:val="auto"/>
              </w:rPr>
              <w:t>986</w:t>
            </w:r>
          </w:p>
        </w:tc>
        <w:tc>
          <w:tcPr>
            <w:tcW w:w="1000" w:type="dxa"/>
            <w:vAlign w:val="bottom"/>
          </w:tcPr>
          <w:p>
            <w:pPr>
              <w:jc w:val="right"/>
              <w:ind w:right="120"/>
              <w:spacing w:after="0"/>
              <w:rPr>
                <w:sz w:val="20"/>
                <w:szCs w:val="20"/>
                <w:color w:val="auto"/>
              </w:rPr>
            </w:pPr>
            <w:r>
              <w:rPr>
                <w:rFonts w:ascii="Arial" w:cs="Arial" w:eastAsia="Arial" w:hAnsi="Arial"/>
                <w:sz w:val="16"/>
                <w:szCs w:val="16"/>
                <w:color w:val="auto"/>
              </w:rPr>
              <w:t>2,790</w:t>
            </w:r>
          </w:p>
        </w:tc>
        <w:tc>
          <w:tcPr>
            <w:tcW w:w="720" w:type="dxa"/>
            <w:vAlign w:val="bottom"/>
          </w:tcPr>
          <w:p>
            <w:pPr>
              <w:jc w:val="right"/>
              <w:spacing w:after="0"/>
              <w:rPr>
                <w:sz w:val="20"/>
                <w:szCs w:val="20"/>
                <w:color w:val="auto"/>
              </w:rPr>
            </w:pPr>
            <w:r>
              <w:rPr>
                <w:rFonts w:ascii="Arial" w:cs="Arial" w:eastAsia="Arial" w:hAnsi="Arial"/>
                <w:sz w:val="16"/>
                <w:szCs w:val="16"/>
                <w:color w:val="auto"/>
              </w:rPr>
              <w:t>6,973</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3,922</w:t>
            </w:r>
          </w:p>
        </w:tc>
        <w:tc>
          <w:tcPr>
            <w:tcW w:w="0" w:type="dxa"/>
            <w:vAlign w:val="bottom"/>
          </w:tcPr>
          <w:p>
            <w:pPr>
              <w:spacing w:after="0"/>
              <w:rPr>
                <w:sz w:val="1"/>
                <w:szCs w:val="1"/>
                <w:color w:val="auto"/>
              </w:rPr>
            </w:pPr>
          </w:p>
        </w:tc>
      </w:tr>
      <w:tr>
        <w:trPr>
          <w:trHeight w:val="216"/>
        </w:trPr>
        <w:tc>
          <w:tcPr>
            <w:tcW w:w="3780" w:type="dxa"/>
            <w:vAlign w:val="bottom"/>
          </w:tcPr>
          <w:p>
            <w:pPr>
              <w:ind w:left="680"/>
              <w:spacing w:after="0"/>
              <w:rPr>
                <w:sz w:val="20"/>
                <w:szCs w:val="20"/>
                <w:color w:val="auto"/>
              </w:rPr>
            </w:pPr>
            <w:r>
              <w:rPr>
                <w:rFonts w:ascii="Arial" w:cs="Arial" w:eastAsia="Arial" w:hAnsi="Arial"/>
                <w:sz w:val="16"/>
                <w:szCs w:val="16"/>
                <w:color w:val="auto"/>
              </w:rPr>
              <w:t>Equity companies</w:t>
            </w:r>
          </w:p>
        </w:tc>
        <w:tc>
          <w:tcPr>
            <w:tcW w:w="8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19</w:t>
            </w:r>
          </w:p>
        </w:tc>
        <w:tc>
          <w:tcPr>
            <w:tcW w:w="9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67</w:t>
            </w:r>
          </w:p>
        </w:tc>
        <w:tc>
          <w:tcPr>
            <w:tcW w:w="110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color w:val="auto"/>
              </w:rPr>
              <w:t>917</w:t>
            </w:r>
          </w:p>
        </w:tc>
        <w:tc>
          <w:tcPr>
            <w:tcW w:w="6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2,385</w:t>
            </w:r>
          </w:p>
        </w:tc>
        <w:tc>
          <w:tcPr>
            <w:tcW w:w="10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3,388</w:t>
            </w:r>
          </w:p>
        </w:tc>
        <w:tc>
          <w:tcPr>
            <w:tcW w:w="12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1,048</w:t>
            </w:r>
          </w:p>
        </w:tc>
        <w:tc>
          <w:tcPr>
            <w:tcW w:w="0" w:type="dxa"/>
            <w:vAlign w:val="bottom"/>
          </w:tcPr>
          <w:p>
            <w:pPr>
              <w:spacing w:after="0"/>
              <w:rPr>
                <w:sz w:val="1"/>
                <w:szCs w:val="1"/>
                <w:color w:val="auto"/>
              </w:rPr>
            </w:pPr>
          </w:p>
        </w:tc>
      </w:tr>
      <w:tr>
        <w:trPr>
          <w:trHeight w:val="210"/>
        </w:trPr>
        <w:tc>
          <w:tcPr>
            <w:tcW w:w="3780" w:type="dxa"/>
            <w:vAlign w:val="bottom"/>
          </w:tcPr>
          <w:p>
            <w:pPr>
              <w:ind w:left="20"/>
              <w:spacing w:after="0"/>
              <w:rPr>
                <w:sz w:val="20"/>
                <w:szCs w:val="20"/>
                <w:color w:val="auto"/>
              </w:rPr>
            </w:pPr>
            <w:r>
              <w:rPr>
                <w:rFonts w:ascii="Arial" w:cs="Arial" w:eastAsia="Arial" w:hAnsi="Arial"/>
                <w:sz w:val="16"/>
                <w:szCs w:val="16"/>
                <w:color w:val="auto"/>
              </w:rPr>
              <w:t>Total proved reserves at December 31, 2020</w:t>
            </w:r>
          </w:p>
        </w:tc>
        <w:tc>
          <w:tcPr>
            <w:tcW w:w="8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13,541</w:t>
            </w:r>
          </w:p>
        </w:tc>
        <w:tc>
          <w:tcPr>
            <w:tcW w:w="9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561</w:t>
            </w: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801</w:t>
            </w:r>
          </w:p>
        </w:tc>
        <w:tc>
          <w:tcPr>
            <w:tcW w:w="110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color w:val="auto"/>
              </w:rPr>
              <w:t>1,237</w:t>
            </w:r>
          </w:p>
        </w:tc>
        <w:tc>
          <w:tcPr>
            <w:tcW w:w="6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w w:val="98"/>
              </w:rPr>
              <w:t>15,686</w:t>
            </w:r>
          </w:p>
        </w:tc>
        <w:tc>
          <w:tcPr>
            <w:tcW w:w="10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6,134</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37,960</w:t>
            </w:r>
          </w:p>
        </w:tc>
        <w:tc>
          <w:tcPr>
            <w:tcW w:w="12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15,211</w:t>
            </w:r>
          </w:p>
        </w:tc>
        <w:tc>
          <w:tcPr>
            <w:tcW w:w="0" w:type="dxa"/>
            <w:vAlign w:val="bottom"/>
          </w:tcPr>
          <w:p>
            <w:pPr>
              <w:spacing w:after="0"/>
              <w:rPr>
                <w:sz w:val="1"/>
                <w:szCs w:val="1"/>
                <w:color w:val="auto"/>
              </w:rPr>
            </w:pPr>
          </w:p>
        </w:tc>
      </w:tr>
      <w:tr>
        <w:trPr>
          <w:trHeight w:val="408"/>
        </w:trPr>
        <w:tc>
          <w:tcPr>
            <w:tcW w:w="3780" w:type="dxa"/>
            <w:vAlign w:val="bottom"/>
          </w:tcPr>
          <w:p>
            <w:pPr>
              <w:ind w:left="20"/>
              <w:spacing w:after="0"/>
              <w:rPr>
                <w:sz w:val="20"/>
                <w:szCs w:val="20"/>
                <w:color w:val="auto"/>
              </w:rPr>
            </w:pPr>
            <w:r>
              <w:rPr>
                <w:rFonts w:ascii="Arial" w:cs="Arial" w:eastAsia="Arial" w:hAnsi="Arial"/>
                <w:sz w:val="16"/>
                <w:szCs w:val="16"/>
                <w:color w:val="auto"/>
              </w:rPr>
              <w:t>Proved developed reserves, as of</w:t>
            </w: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3780" w:type="dxa"/>
            <w:vAlign w:val="bottom"/>
          </w:tcPr>
          <w:p>
            <w:pPr>
              <w:ind w:left="180"/>
              <w:spacing w:after="0"/>
              <w:rPr>
                <w:sz w:val="20"/>
                <w:szCs w:val="20"/>
                <w:color w:val="auto"/>
              </w:rPr>
            </w:pPr>
            <w:r>
              <w:rPr>
                <w:rFonts w:ascii="Arial" w:cs="Arial" w:eastAsia="Arial" w:hAnsi="Arial"/>
                <w:sz w:val="16"/>
                <w:szCs w:val="16"/>
                <w:color w:val="auto"/>
              </w:rPr>
              <w:t>December 31, 2021</w:t>
            </w:r>
          </w:p>
        </w:tc>
        <w:tc>
          <w:tcPr>
            <w:tcW w:w="8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80" w:type="dxa"/>
            <w:vAlign w:val="bottom"/>
          </w:tcPr>
          <w:p>
            <w:pPr>
              <w:ind w:left="680"/>
              <w:spacing w:after="0"/>
              <w:rPr>
                <w:sz w:val="20"/>
                <w:szCs w:val="20"/>
                <w:color w:val="auto"/>
              </w:rPr>
            </w:pPr>
            <w:r>
              <w:rPr>
                <w:rFonts w:ascii="Arial" w:cs="Arial" w:eastAsia="Arial" w:hAnsi="Arial"/>
                <w:sz w:val="16"/>
                <w:szCs w:val="16"/>
                <w:color w:val="auto"/>
              </w:rPr>
              <w:t>Consolidated subsidiaries</w:t>
            </w:r>
          </w:p>
        </w:tc>
        <w:tc>
          <w:tcPr>
            <w:tcW w:w="840" w:type="dxa"/>
            <w:vAlign w:val="bottom"/>
          </w:tcPr>
          <w:p>
            <w:pPr>
              <w:jc w:val="right"/>
              <w:ind w:right="80"/>
              <w:spacing w:after="0"/>
              <w:rPr>
                <w:sz w:val="20"/>
                <w:szCs w:val="20"/>
                <w:color w:val="auto"/>
              </w:rPr>
            </w:pPr>
            <w:r>
              <w:rPr>
                <w:rFonts w:ascii="Arial" w:cs="Arial" w:eastAsia="Arial" w:hAnsi="Arial"/>
                <w:sz w:val="16"/>
                <w:szCs w:val="16"/>
                <w:color w:val="auto"/>
              </w:rPr>
              <w:t>11,287</w:t>
            </w:r>
          </w:p>
        </w:tc>
        <w:tc>
          <w:tcPr>
            <w:tcW w:w="980" w:type="dxa"/>
            <w:vAlign w:val="bottom"/>
          </w:tcPr>
          <w:p>
            <w:pPr>
              <w:jc w:val="right"/>
              <w:ind w:right="101"/>
              <w:spacing w:after="0"/>
              <w:rPr>
                <w:sz w:val="20"/>
                <w:szCs w:val="20"/>
                <w:color w:val="auto"/>
              </w:rPr>
            </w:pPr>
            <w:r>
              <w:rPr>
                <w:rFonts w:ascii="Arial" w:cs="Arial" w:eastAsia="Arial" w:hAnsi="Arial"/>
                <w:sz w:val="16"/>
                <w:szCs w:val="16"/>
                <w:color w:val="auto"/>
              </w:rPr>
              <w:t>574</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377</w:t>
            </w:r>
          </w:p>
        </w:tc>
        <w:tc>
          <w:tcPr>
            <w:tcW w:w="1100" w:type="dxa"/>
            <w:vAlign w:val="bottom"/>
          </w:tcPr>
          <w:p>
            <w:pPr>
              <w:jc w:val="right"/>
              <w:ind w:right="300"/>
              <w:spacing w:after="0"/>
              <w:rPr>
                <w:sz w:val="20"/>
                <w:szCs w:val="20"/>
                <w:color w:val="auto"/>
              </w:rPr>
            </w:pPr>
            <w:r>
              <w:rPr>
                <w:rFonts w:ascii="Arial" w:cs="Arial" w:eastAsia="Arial" w:hAnsi="Arial"/>
                <w:sz w:val="16"/>
                <w:szCs w:val="16"/>
                <w:color w:val="auto"/>
              </w:rPr>
              <w:t>315</w:t>
            </w:r>
          </w:p>
        </w:tc>
        <w:tc>
          <w:tcPr>
            <w:tcW w:w="660" w:type="dxa"/>
            <w:vAlign w:val="bottom"/>
          </w:tcPr>
          <w:p>
            <w:pPr>
              <w:jc w:val="right"/>
              <w:ind w:right="80"/>
              <w:spacing w:after="0"/>
              <w:rPr>
                <w:sz w:val="20"/>
                <w:szCs w:val="20"/>
                <w:color w:val="auto"/>
              </w:rPr>
            </w:pPr>
            <w:r>
              <w:rPr>
                <w:rFonts w:ascii="Arial" w:cs="Arial" w:eastAsia="Arial" w:hAnsi="Arial"/>
                <w:sz w:val="16"/>
                <w:szCs w:val="16"/>
                <w:color w:val="auto"/>
              </w:rPr>
              <w:t>2,527</w:t>
            </w:r>
          </w:p>
        </w:tc>
        <w:tc>
          <w:tcPr>
            <w:tcW w:w="1000" w:type="dxa"/>
            <w:vAlign w:val="bottom"/>
          </w:tcPr>
          <w:p>
            <w:pPr>
              <w:jc w:val="right"/>
              <w:ind w:right="120"/>
              <w:spacing w:after="0"/>
              <w:rPr>
                <w:sz w:val="20"/>
                <w:szCs w:val="20"/>
                <w:color w:val="auto"/>
              </w:rPr>
            </w:pPr>
            <w:r>
              <w:rPr>
                <w:rFonts w:ascii="Arial" w:cs="Arial" w:eastAsia="Arial" w:hAnsi="Arial"/>
                <w:sz w:val="16"/>
                <w:szCs w:val="16"/>
                <w:color w:val="auto"/>
              </w:rPr>
              <w:t>3,513</w:t>
            </w:r>
          </w:p>
        </w:tc>
        <w:tc>
          <w:tcPr>
            <w:tcW w:w="720" w:type="dxa"/>
            <w:vAlign w:val="bottom"/>
          </w:tcPr>
          <w:p>
            <w:pPr>
              <w:jc w:val="right"/>
              <w:spacing w:after="0"/>
              <w:rPr>
                <w:sz w:val="20"/>
                <w:szCs w:val="20"/>
                <w:color w:val="auto"/>
              </w:rPr>
            </w:pPr>
            <w:r>
              <w:rPr>
                <w:rFonts w:ascii="Arial" w:cs="Arial" w:eastAsia="Arial" w:hAnsi="Arial"/>
                <w:sz w:val="16"/>
                <w:szCs w:val="16"/>
                <w:color w:val="auto"/>
              </w:rPr>
              <w:t>18,593</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10,540</w:t>
            </w:r>
          </w:p>
        </w:tc>
        <w:tc>
          <w:tcPr>
            <w:tcW w:w="0" w:type="dxa"/>
            <w:vAlign w:val="bottom"/>
          </w:tcPr>
          <w:p>
            <w:pPr>
              <w:spacing w:after="0"/>
              <w:rPr>
                <w:sz w:val="1"/>
                <w:szCs w:val="1"/>
                <w:color w:val="auto"/>
              </w:rPr>
            </w:pPr>
          </w:p>
        </w:tc>
      </w:tr>
      <w:tr>
        <w:trPr>
          <w:trHeight w:val="216"/>
        </w:trPr>
        <w:tc>
          <w:tcPr>
            <w:tcW w:w="3780" w:type="dxa"/>
            <w:vAlign w:val="bottom"/>
          </w:tcPr>
          <w:p>
            <w:pPr>
              <w:ind w:left="680"/>
              <w:spacing w:after="0"/>
              <w:rPr>
                <w:sz w:val="20"/>
                <w:szCs w:val="20"/>
                <w:color w:val="auto"/>
              </w:rPr>
            </w:pPr>
            <w:r>
              <w:rPr>
                <w:rFonts w:ascii="Arial" w:cs="Arial" w:eastAsia="Arial" w:hAnsi="Arial"/>
                <w:sz w:val="16"/>
                <w:szCs w:val="16"/>
                <w:color w:val="auto"/>
              </w:rPr>
              <w:t>Equity companies</w:t>
            </w:r>
          </w:p>
        </w:tc>
        <w:tc>
          <w:tcPr>
            <w:tcW w:w="840" w:type="dxa"/>
            <w:vAlign w:val="bottom"/>
          </w:tcPr>
          <w:p>
            <w:pPr>
              <w:jc w:val="right"/>
              <w:ind w:right="80"/>
              <w:spacing w:after="0"/>
              <w:rPr>
                <w:sz w:val="20"/>
                <w:szCs w:val="20"/>
                <w:color w:val="auto"/>
              </w:rPr>
            </w:pPr>
            <w:r>
              <w:rPr>
                <w:rFonts w:ascii="Arial" w:cs="Arial" w:eastAsia="Arial" w:hAnsi="Arial"/>
                <w:sz w:val="16"/>
                <w:szCs w:val="16"/>
                <w:color w:val="auto"/>
              </w:rPr>
              <w:t>117</w:t>
            </w:r>
          </w:p>
        </w:tc>
        <w:tc>
          <w:tcPr>
            <w:tcW w:w="98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339</w:t>
            </w:r>
          </w:p>
        </w:tc>
        <w:tc>
          <w:tcPr>
            <w:tcW w:w="1100" w:type="dxa"/>
            <w:vAlign w:val="bottom"/>
          </w:tcPr>
          <w:p>
            <w:pPr>
              <w:jc w:val="right"/>
              <w:ind w:right="30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80"/>
              <w:spacing w:after="0"/>
              <w:rPr>
                <w:sz w:val="20"/>
                <w:szCs w:val="20"/>
                <w:color w:val="auto"/>
              </w:rPr>
            </w:pPr>
            <w:r>
              <w:rPr>
                <w:rFonts w:ascii="Arial" w:cs="Arial" w:eastAsia="Arial" w:hAnsi="Arial"/>
                <w:sz w:val="16"/>
                <w:szCs w:val="16"/>
                <w:color w:val="auto"/>
              </w:rPr>
              <w:t>6,017</w:t>
            </w:r>
          </w:p>
        </w:tc>
        <w:tc>
          <w:tcPr>
            <w:tcW w:w="100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6,473</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1,696</w:t>
            </w:r>
          </w:p>
        </w:tc>
        <w:tc>
          <w:tcPr>
            <w:tcW w:w="0" w:type="dxa"/>
            <w:vAlign w:val="bottom"/>
          </w:tcPr>
          <w:p>
            <w:pPr>
              <w:spacing w:after="0"/>
              <w:rPr>
                <w:sz w:val="1"/>
                <w:szCs w:val="1"/>
                <w:color w:val="auto"/>
              </w:rPr>
            </w:pPr>
          </w:p>
        </w:tc>
      </w:tr>
      <w:tr>
        <w:trPr>
          <w:trHeight w:val="428"/>
        </w:trPr>
        <w:tc>
          <w:tcPr>
            <w:tcW w:w="3780" w:type="dxa"/>
            <w:vAlign w:val="bottom"/>
          </w:tcPr>
          <w:p>
            <w:pPr>
              <w:ind w:left="20"/>
              <w:spacing w:after="0"/>
              <w:rPr>
                <w:sz w:val="20"/>
                <w:szCs w:val="20"/>
                <w:color w:val="auto"/>
              </w:rPr>
            </w:pPr>
            <w:r>
              <w:rPr>
                <w:rFonts w:ascii="Arial" w:cs="Arial" w:eastAsia="Arial" w:hAnsi="Arial"/>
                <w:sz w:val="16"/>
                <w:szCs w:val="16"/>
                <w:color w:val="auto"/>
              </w:rPr>
              <w:t>Proved undeveloped reserves, as of</w:t>
            </w: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3780" w:type="dxa"/>
            <w:vAlign w:val="bottom"/>
          </w:tcPr>
          <w:p>
            <w:pPr>
              <w:ind w:left="180"/>
              <w:spacing w:after="0"/>
              <w:rPr>
                <w:sz w:val="20"/>
                <w:szCs w:val="20"/>
                <w:color w:val="auto"/>
              </w:rPr>
            </w:pPr>
            <w:r>
              <w:rPr>
                <w:rFonts w:ascii="Arial" w:cs="Arial" w:eastAsia="Arial" w:hAnsi="Arial"/>
                <w:sz w:val="16"/>
                <w:szCs w:val="16"/>
                <w:color w:val="auto"/>
              </w:rPr>
              <w:t>December 31, 2021</w:t>
            </w:r>
          </w:p>
        </w:tc>
        <w:tc>
          <w:tcPr>
            <w:tcW w:w="8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80" w:type="dxa"/>
            <w:vAlign w:val="bottom"/>
          </w:tcPr>
          <w:p>
            <w:pPr>
              <w:ind w:left="680"/>
              <w:spacing w:after="0"/>
              <w:rPr>
                <w:sz w:val="20"/>
                <w:szCs w:val="20"/>
                <w:color w:val="auto"/>
              </w:rPr>
            </w:pPr>
            <w:r>
              <w:rPr>
                <w:rFonts w:ascii="Arial" w:cs="Arial" w:eastAsia="Arial" w:hAnsi="Arial"/>
                <w:sz w:val="16"/>
                <w:szCs w:val="16"/>
                <w:color w:val="auto"/>
              </w:rPr>
              <w:t>Consolidated subsidiaries</w:t>
            </w:r>
          </w:p>
        </w:tc>
        <w:tc>
          <w:tcPr>
            <w:tcW w:w="840" w:type="dxa"/>
            <w:vAlign w:val="bottom"/>
          </w:tcPr>
          <w:p>
            <w:pPr>
              <w:jc w:val="right"/>
              <w:ind w:right="80"/>
              <w:spacing w:after="0"/>
              <w:rPr>
                <w:sz w:val="20"/>
                <w:szCs w:val="20"/>
                <w:color w:val="auto"/>
              </w:rPr>
            </w:pPr>
            <w:r>
              <w:rPr>
                <w:rFonts w:ascii="Arial" w:cs="Arial" w:eastAsia="Arial" w:hAnsi="Arial"/>
                <w:sz w:val="16"/>
                <w:szCs w:val="16"/>
                <w:color w:val="auto"/>
              </w:rPr>
              <w:t>3,701</w:t>
            </w:r>
          </w:p>
        </w:tc>
        <w:tc>
          <w:tcPr>
            <w:tcW w:w="980" w:type="dxa"/>
            <w:vAlign w:val="bottom"/>
          </w:tcPr>
          <w:p>
            <w:pPr>
              <w:jc w:val="right"/>
              <w:ind w:right="101"/>
              <w:spacing w:after="0"/>
              <w:rPr>
                <w:sz w:val="20"/>
                <w:szCs w:val="20"/>
                <w:color w:val="auto"/>
              </w:rPr>
            </w:pPr>
            <w:r>
              <w:rPr>
                <w:rFonts w:ascii="Arial" w:cs="Arial" w:eastAsia="Arial" w:hAnsi="Arial"/>
                <w:sz w:val="16"/>
                <w:szCs w:val="16"/>
                <w:color w:val="auto"/>
              </w:rPr>
              <w:t>345</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6</w:t>
            </w:r>
          </w:p>
        </w:tc>
        <w:tc>
          <w:tcPr>
            <w:tcW w:w="1100" w:type="dxa"/>
            <w:vAlign w:val="bottom"/>
          </w:tcPr>
          <w:p>
            <w:pPr>
              <w:jc w:val="right"/>
              <w:ind w:right="300"/>
              <w:spacing w:after="0"/>
              <w:rPr>
                <w:sz w:val="20"/>
                <w:szCs w:val="20"/>
                <w:color w:val="auto"/>
              </w:rPr>
            </w:pPr>
            <w:r>
              <w:rPr>
                <w:rFonts w:ascii="Arial" w:cs="Arial" w:eastAsia="Arial" w:hAnsi="Arial"/>
                <w:sz w:val="16"/>
                <w:szCs w:val="16"/>
                <w:color w:val="auto"/>
              </w:rPr>
              <w:t>2</w:t>
            </w:r>
          </w:p>
        </w:tc>
        <w:tc>
          <w:tcPr>
            <w:tcW w:w="660" w:type="dxa"/>
            <w:vAlign w:val="bottom"/>
          </w:tcPr>
          <w:p>
            <w:pPr>
              <w:jc w:val="right"/>
              <w:ind w:right="80"/>
              <w:spacing w:after="0"/>
              <w:rPr>
                <w:sz w:val="20"/>
                <w:szCs w:val="20"/>
                <w:color w:val="auto"/>
              </w:rPr>
            </w:pPr>
            <w:r>
              <w:rPr>
                <w:rFonts w:ascii="Arial" w:cs="Arial" w:eastAsia="Arial" w:hAnsi="Arial"/>
                <w:sz w:val="16"/>
                <w:szCs w:val="16"/>
                <w:color w:val="auto"/>
              </w:rPr>
              <w:t>1,166</w:t>
            </w:r>
          </w:p>
        </w:tc>
        <w:tc>
          <w:tcPr>
            <w:tcW w:w="1000" w:type="dxa"/>
            <w:vAlign w:val="bottom"/>
          </w:tcPr>
          <w:p>
            <w:pPr>
              <w:jc w:val="right"/>
              <w:ind w:right="120"/>
              <w:spacing w:after="0"/>
              <w:rPr>
                <w:sz w:val="20"/>
                <w:szCs w:val="20"/>
                <w:color w:val="auto"/>
              </w:rPr>
            </w:pPr>
            <w:r>
              <w:rPr>
                <w:rFonts w:ascii="Arial" w:cs="Arial" w:eastAsia="Arial" w:hAnsi="Arial"/>
                <w:sz w:val="16"/>
                <w:szCs w:val="16"/>
                <w:color w:val="auto"/>
              </w:rPr>
              <w:t>2,850</w:t>
            </w:r>
          </w:p>
        </w:tc>
        <w:tc>
          <w:tcPr>
            <w:tcW w:w="720" w:type="dxa"/>
            <w:vAlign w:val="bottom"/>
          </w:tcPr>
          <w:p>
            <w:pPr>
              <w:jc w:val="right"/>
              <w:spacing w:after="0"/>
              <w:rPr>
                <w:sz w:val="20"/>
                <w:szCs w:val="20"/>
                <w:color w:val="auto"/>
              </w:rPr>
            </w:pPr>
            <w:r>
              <w:rPr>
                <w:rFonts w:ascii="Arial" w:cs="Arial" w:eastAsia="Arial" w:hAnsi="Arial"/>
                <w:sz w:val="16"/>
                <w:szCs w:val="16"/>
                <w:color w:val="auto"/>
              </w:rPr>
              <w:t>8,070</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4,896</w:t>
            </w:r>
          </w:p>
        </w:tc>
        <w:tc>
          <w:tcPr>
            <w:tcW w:w="0" w:type="dxa"/>
            <w:vAlign w:val="bottom"/>
          </w:tcPr>
          <w:p>
            <w:pPr>
              <w:spacing w:after="0"/>
              <w:rPr>
                <w:sz w:val="1"/>
                <w:szCs w:val="1"/>
                <w:color w:val="auto"/>
              </w:rPr>
            </w:pPr>
          </w:p>
        </w:tc>
      </w:tr>
      <w:tr>
        <w:trPr>
          <w:trHeight w:val="216"/>
        </w:trPr>
        <w:tc>
          <w:tcPr>
            <w:tcW w:w="3780" w:type="dxa"/>
            <w:vAlign w:val="bottom"/>
          </w:tcPr>
          <w:p>
            <w:pPr>
              <w:ind w:left="680"/>
              <w:spacing w:after="0"/>
              <w:rPr>
                <w:sz w:val="20"/>
                <w:szCs w:val="20"/>
                <w:color w:val="auto"/>
              </w:rPr>
            </w:pPr>
            <w:r>
              <w:rPr>
                <w:rFonts w:ascii="Arial" w:cs="Arial" w:eastAsia="Arial" w:hAnsi="Arial"/>
                <w:sz w:val="16"/>
                <w:szCs w:val="16"/>
                <w:color w:val="auto"/>
              </w:rPr>
              <w:t>Equity companies</w:t>
            </w:r>
          </w:p>
        </w:tc>
        <w:tc>
          <w:tcPr>
            <w:tcW w:w="8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23</w:t>
            </w:r>
          </w:p>
        </w:tc>
        <w:tc>
          <w:tcPr>
            <w:tcW w:w="9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69</w:t>
            </w:r>
          </w:p>
        </w:tc>
        <w:tc>
          <w:tcPr>
            <w:tcW w:w="110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color w:val="auto"/>
              </w:rPr>
              <w:t>806</w:t>
            </w:r>
          </w:p>
        </w:tc>
        <w:tc>
          <w:tcPr>
            <w:tcW w:w="6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4,141</w:t>
            </w:r>
          </w:p>
        </w:tc>
        <w:tc>
          <w:tcPr>
            <w:tcW w:w="10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5,039</w:t>
            </w:r>
          </w:p>
        </w:tc>
        <w:tc>
          <w:tcPr>
            <w:tcW w:w="12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1,404</w:t>
            </w:r>
          </w:p>
        </w:tc>
        <w:tc>
          <w:tcPr>
            <w:tcW w:w="0" w:type="dxa"/>
            <w:vAlign w:val="bottom"/>
          </w:tcPr>
          <w:p>
            <w:pPr>
              <w:spacing w:after="0"/>
              <w:rPr>
                <w:sz w:val="1"/>
                <w:szCs w:val="1"/>
                <w:color w:val="auto"/>
              </w:rPr>
            </w:pPr>
          </w:p>
        </w:tc>
      </w:tr>
      <w:tr>
        <w:trPr>
          <w:trHeight w:val="213"/>
        </w:trPr>
        <w:tc>
          <w:tcPr>
            <w:tcW w:w="3780" w:type="dxa"/>
            <w:vAlign w:val="bottom"/>
          </w:tcPr>
          <w:p>
            <w:pPr>
              <w:ind w:left="20"/>
              <w:spacing w:after="0"/>
              <w:rPr>
                <w:sz w:val="20"/>
                <w:szCs w:val="20"/>
                <w:color w:val="auto"/>
              </w:rPr>
            </w:pPr>
            <w:r>
              <w:rPr>
                <w:rFonts w:ascii="Arial" w:cs="Arial" w:eastAsia="Arial" w:hAnsi="Arial"/>
                <w:sz w:val="16"/>
                <w:szCs w:val="16"/>
                <w:color w:val="auto"/>
              </w:rPr>
              <w:t>Total proved reserves at December 31, 2021</w:t>
            </w:r>
          </w:p>
        </w:tc>
        <w:tc>
          <w:tcPr>
            <w:tcW w:w="8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15,128</w:t>
            </w:r>
          </w:p>
        </w:tc>
        <w:tc>
          <w:tcPr>
            <w:tcW w:w="9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919</w:t>
            </w: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791</w:t>
            </w:r>
          </w:p>
        </w:tc>
        <w:tc>
          <w:tcPr>
            <w:tcW w:w="110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color w:val="auto"/>
              </w:rPr>
              <w:t>1,123</w:t>
            </w:r>
          </w:p>
        </w:tc>
        <w:tc>
          <w:tcPr>
            <w:tcW w:w="6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w w:val="98"/>
              </w:rPr>
              <w:t>13,851</w:t>
            </w:r>
          </w:p>
        </w:tc>
        <w:tc>
          <w:tcPr>
            <w:tcW w:w="10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6,363</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38,175</w:t>
            </w:r>
          </w:p>
        </w:tc>
        <w:tc>
          <w:tcPr>
            <w:tcW w:w="12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18,536</w:t>
            </w:r>
          </w:p>
        </w:tc>
        <w:tc>
          <w:tcPr>
            <w:tcW w:w="0" w:type="dxa"/>
            <w:vAlign w:val="bottom"/>
          </w:tcPr>
          <w:p>
            <w:pPr>
              <w:spacing w:after="0"/>
              <w:rPr>
                <w:sz w:val="1"/>
                <w:szCs w:val="1"/>
                <w:color w:val="auto"/>
              </w:rPr>
            </w:pPr>
          </w:p>
        </w:tc>
      </w:tr>
    </w:tbl>
    <w:p>
      <w:pPr>
        <w:spacing w:after="0" w:line="314"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6"/>
          <w:szCs w:val="16"/>
          <w:i w:val="1"/>
          <w:iCs w:val="1"/>
          <w:color w:val="auto"/>
        </w:rPr>
      </w:pPr>
      <w:r>
        <w:rPr>
          <w:rFonts w:ascii="Arial" w:cs="Arial" w:eastAsia="Arial" w:hAnsi="Arial"/>
          <w:sz w:val="16"/>
          <w:szCs w:val="16"/>
          <w:i w:val="1"/>
          <w:iCs w:val="1"/>
          <w:color w:val="auto"/>
        </w:rPr>
        <w:t>Natural gas is converted to an oil-equivalent basis at six billion cubic feet per one million barrels.</w:t>
      </w:r>
    </w:p>
    <w:p>
      <w:pPr>
        <w:spacing w:after="0" w:line="200" w:lineRule="exact"/>
        <w:rPr>
          <w:rFonts w:ascii="Arial" w:cs="Arial" w:eastAsia="Arial" w:hAnsi="Arial"/>
          <w:sz w:val="16"/>
          <w:szCs w:val="16"/>
          <w:i w:val="1"/>
          <w:iCs w:val="1"/>
          <w:color w:val="auto"/>
        </w:rPr>
      </w:pPr>
    </w:p>
    <w:p>
      <w:pPr>
        <w:spacing w:after="0" w:line="200" w:lineRule="exact"/>
        <w:rPr>
          <w:rFonts w:ascii="Arial" w:cs="Arial" w:eastAsia="Arial" w:hAnsi="Arial"/>
          <w:sz w:val="16"/>
          <w:szCs w:val="16"/>
          <w:i w:val="1"/>
          <w:iCs w:val="1"/>
          <w:color w:val="auto"/>
        </w:rPr>
      </w:pPr>
    </w:p>
    <w:p>
      <w:pPr>
        <w:spacing w:after="0" w:line="221" w:lineRule="exact"/>
        <w:rPr>
          <w:rFonts w:ascii="Arial" w:cs="Arial" w:eastAsia="Arial" w:hAnsi="Arial"/>
          <w:sz w:val="16"/>
          <w:szCs w:val="16"/>
          <w:i w:val="1"/>
          <w:iCs w:val="1"/>
          <w:color w:val="auto"/>
        </w:rPr>
      </w:pPr>
    </w:p>
    <w:p>
      <w:pPr>
        <w:ind w:left="5480"/>
        <w:spacing w:after="0"/>
        <w:rPr>
          <w:rFonts w:ascii="Arial" w:cs="Arial" w:eastAsia="Arial" w:hAnsi="Arial"/>
          <w:sz w:val="16"/>
          <w:szCs w:val="16"/>
          <w:i w:val="1"/>
          <w:iCs w:val="1"/>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b w:val="1"/>
          <w:bCs w:val="1"/>
          <w:color w:val="auto"/>
        </w:rPr>
        <w:t>Standardized Measure of Discounted Future Cash Flows</w:t>
      </w:r>
    </w:p>
    <w:p>
      <w:pPr>
        <w:spacing w:after="0" w:line="10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required by the Financial Accounting Standards Board, the standardized measure of discounted future net cash flows is computed by applying first-day-of-the-month average prices, year-end costs and legislated tax rates and a discount factor of 10 percent to net proved reserves. The standardized measure includes costs for future dismantlement, abandonment and rehabilitation obligations. The Corporation believes the standardized measure does not provide a reliable estimate of the Corporation’s expected future cash flows to be obtained from the development and production of its oil and gas properties or of the value of its proved oil and gas reserves. The standardized measure is prepared on the basis of certain prescribed assumptions including first-day-of-the-month average prices, which represent discrete points in time and therefore may cause significant variability in cash flows from year to year as prices change.</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500" w:type="dxa"/>
            <w:vAlign w:val="bottom"/>
          </w:tcPr>
          <w:p>
            <w:pPr>
              <w:ind w:left="20"/>
              <w:spacing w:after="0"/>
              <w:rPr>
                <w:sz w:val="20"/>
                <w:szCs w:val="20"/>
                <w:color w:val="auto"/>
              </w:rPr>
            </w:pPr>
            <w:r>
              <w:rPr>
                <w:rFonts w:ascii="Arial" w:cs="Arial" w:eastAsia="Arial" w:hAnsi="Arial"/>
                <w:sz w:val="18"/>
                <w:szCs w:val="18"/>
                <w:b w:val="1"/>
                <w:bCs w:val="1"/>
                <w:color w:val="auto"/>
              </w:rPr>
              <w:t>Standardized Measure of Discounted</w:t>
            </w:r>
          </w:p>
        </w:tc>
        <w:tc>
          <w:tcPr>
            <w:tcW w:w="156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United States</w:t>
            </w:r>
          </w:p>
        </w:tc>
        <w:tc>
          <w:tcPr>
            <w:tcW w:w="1220" w:type="dxa"/>
            <w:vAlign w:val="bottom"/>
          </w:tcPr>
          <w:p>
            <w:pPr>
              <w:jc w:val="center"/>
              <w:ind w:right="8"/>
              <w:spacing w:after="0"/>
              <w:rPr>
                <w:sz w:val="20"/>
                <w:szCs w:val="20"/>
                <w:color w:val="auto"/>
              </w:rPr>
            </w:pPr>
            <w:r>
              <w:rPr>
                <w:rFonts w:ascii="Arial" w:cs="Arial" w:eastAsia="Arial" w:hAnsi="Arial"/>
                <w:sz w:val="14"/>
                <w:szCs w:val="14"/>
                <w:b w:val="1"/>
                <w:bCs w:val="1"/>
                <w:color w:val="auto"/>
                <w:w w:val="97"/>
              </w:rPr>
              <w:t>Canada/Other</w:t>
            </w:r>
          </w:p>
        </w:tc>
        <w:tc>
          <w:tcPr>
            <w:tcW w:w="72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Europe</w:t>
            </w:r>
          </w:p>
        </w:tc>
        <w:tc>
          <w:tcPr>
            <w:tcW w:w="142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Africa</w:t>
            </w:r>
          </w:p>
        </w:tc>
        <w:tc>
          <w:tcPr>
            <w:tcW w:w="74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Asia</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7"/>
              </w:rPr>
              <w:t>Australia/</w:t>
            </w:r>
          </w:p>
        </w:tc>
        <w:tc>
          <w:tcPr>
            <w:tcW w:w="88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3500" w:type="dxa"/>
            <w:vAlign w:val="bottom"/>
            <w:tcBorders>
              <w:bottom w:val="single" w:sz="8" w:color="auto"/>
            </w:tcBorders>
          </w:tcPr>
          <w:p>
            <w:pPr>
              <w:ind w:left="20"/>
              <w:spacing w:after="0" w:line="189" w:lineRule="exact"/>
              <w:rPr>
                <w:sz w:val="20"/>
                <w:szCs w:val="20"/>
                <w:color w:val="auto"/>
              </w:rPr>
            </w:pPr>
            <w:r>
              <w:rPr>
                <w:rFonts w:ascii="Arial" w:cs="Arial" w:eastAsia="Arial" w:hAnsi="Arial"/>
                <w:sz w:val="18"/>
                <w:szCs w:val="18"/>
                <w:b w:val="1"/>
                <w:bCs w:val="1"/>
                <w:color w:val="auto"/>
              </w:rPr>
              <w:t>Future Cash Flows</w:t>
            </w:r>
          </w:p>
        </w:tc>
        <w:tc>
          <w:tcPr>
            <w:tcW w:w="1560" w:type="dxa"/>
            <w:vAlign w:val="bottom"/>
            <w:tcBorders>
              <w:bottom w:val="single" w:sz="8" w:color="auto"/>
            </w:tcBorders>
            <w:vMerge w:val="continue"/>
          </w:tcPr>
          <w:p>
            <w:pPr>
              <w:spacing w:after="0"/>
              <w:rPr>
                <w:sz w:val="16"/>
                <w:szCs w:val="16"/>
                <w:color w:val="auto"/>
              </w:rPr>
            </w:pPr>
          </w:p>
        </w:tc>
        <w:tc>
          <w:tcPr>
            <w:tcW w:w="122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92"/>
              </w:rPr>
              <w:t xml:space="preserve">Americas </w:t>
            </w:r>
            <w:r>
              <w:rPr>
                <w:rFonts w:ascii="Arial" w:cs="Arial" w:eastAsia="Arial" w:hAnsi="Arial"/>
                <w:sz w:val="14"/>
                <w:szCs w:val="14"/>
                <w:i w:val="1"/>
                <w:iCs w:val="1"/>
                <w:color w:val="auto"/>
                <w:w w:val="92"/>
              </w:rPr>
              <w:t>(1)</w:t>
            </w:r>
          </w:p>
        </w:tc>
        <w:tc>
          <w:tcPr>
            <w:tcW w:w="720" w:type="dxa"/>
            <w:vAlign w:val="bottom"/>
            <w:tcBorders>
              <w:bottom w:val="single" w:sz="8" w:color="auto"/>
            </w:tcBorders>
            <w:vMerge w:val="continue"/>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Oceania</w:t>
            </w: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5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20" w:type="dxa"/>
            <w:vAlign w:val="bottom"/>
          </w:tcPr>
          <w:p>
            <w:pPr>
              <w:ind w:left="80"/>
              <w:spacing w:after="0"/>
              <w:rPr>
                <w:sz w:val="20"/>
                <w:szCs w:val="20"/>
                <w:color w:val="auto"/>
              </w:rPr>
            </w:pPr>
            <w:r>
              <w:rPr>
                <w:rFonts w:ascii="Arial" w:cs="Arial" w:eastAsia="Arial" w:hAnsi="Arial"/>
                <w:sz w:val="14"/>
                <w:szCs w:val="14"/>
                <w:i w:val="1"/>
                <w:iCs w:val="1"/>
                <w:color w:val="auto"/>
              </w:rPr>
              <w:t>(millions of dollars)</w:t>
            </w:r>
          </w:p>
        </w:tc>
        <w:tc>
          <w:tcPr>
            <w:tcW w:w="7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1" w:lineRule="exact"/>
        <w:rPr>
          <w:sz w:val="20"/>
          <w:szCs w:val="20"/>
          <w:color w:val="auto"/>
        </w:rPr>
      </w:pPr>
    </w:p>
    <w:p>
      <w:pPr>
        <w:sectPr>
          <w:pgSz w:w="11900" w:h="16838" w:orient="portrait"/>
          <w:cols w:equalWidth="0" w:num="1">
            <w:col w:w="11240"/>
          </w:cols>
          <w:pgMar w:left="320" w:top="769" w:right="339" w:bottom="1440" w:gutter="0" w:footer="0" w:header="0"/>
        </w:sectPr>
      </w:pPr>
    </w:p>
    <w:p>
      <w:pPr>
        <w:ind w:left="20"/>
        <w:spacing w:after="0"/>
        <w:rPr>
          <w:sz w:val="20"/>
          <w:szCs w:val="20"/>
          <w:color w:val="auto"/>
        </w:rPr>
      </w:pPr>
      <w:r>
        <w:rPr>
          <w:rFonts w:ascii="Arial" w:cs="Arial" w:eastAsia="Arial" w:hAnsi="Arial"/>
          <w:sz w:val="18"/>
          <w:szCs w:val="18"/>
          <w:color w:val="auto"/>
        </w:rPr>
        <w:t>Consolidated Subsidiaries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As of December 31, 2019</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Future cash inflows from sales of oil and gas</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Future production costs</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Future development costs</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Future income tax expenses</w:t>
      </w:r>
    </w:p>
    <w:p>
      <w:pPr>
        <w:spacing w:after="0" w:line="3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Future net cash flows</w:t>
      </w:r>
    </w:p>
    <w:p>
      <w:pPr>
        <w:spacing w:after="0" w:line="23" w:lineRule="exact"/>
        <w:rPr>
          <w:sz w:val="20"/>
          <w:szCs w:val="20"/>
          <w:color w:val="auto"/>
        </w:rPr>
      </w:pPr>
    </w:p>
    <w:p>
      <w:pPr>
        <w:ind w:left="220" w:right="100"/>
        <w:spacing w:after="0" w:line="307" w:lineRule="auto"/>
        <w:rPr>
          <w:sz w:val="20"/>
          <w:szCs w:val="20"/>
          <w:color w:val="auto"/>
        </w:rPr>
      </w:pPr>
      <w:r>
        <w:rPr>
          <w:rFonts w:ascii="Arial" w:cs="Arial" w:eastAsia="Arial" w:hAnsi="Arial"/>
          <w:sz w:val="18"/>
          <w:szCs w:val="18"/>
          <w:color w:val="auto"/>
        </w:rPr>
        <w:t>Effect of discounting net cash flows at 10% Discounted future net cash flows</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Equity Companies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As of December 31, 2019</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Future cash inflows from sales of oil and gas</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Future production costs</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Future development costs</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Future income tax expenses</w:t>
      </w:r>
    </w:p>
    <w:p>
      <w:pPr>
        <w:spacing w:after="0" w:line="3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Future net cash flows</w:t>
      </w:r>
    </w:p>
    <w:p>
      <w:pPr>
        <w:spacing w:after="0" w:line="23" w:lineRule="exact"/>
        <w:rPr>
          <w:sz w:val="20"/>
          <w:szCs w:val="20"/>
          <w:color w:val="auto"/>
        </w:rPr>
      </w:pPr>
    </w:p>
    <w:p>
      <w:pPr>
        <w:ind w:left="220" w:right="100"/>
        <w:spacing w:after="0" w:line="307" w:lineRule="auto"/>
        <w:rPr>
          <w:sz w:val="20"/>
          <w:szCs w:val="20"/>
          <w:color w:val="auto"/>
        </w:rPr>
      </w:pPr>
      <w:r>
        <w:rPr>
          <w:rFonts w:ascii="Arial" w:cs="Arial" w:eastAsia="Arial" w:hAnsi="Arial"/>
          <w:sz w:val="18"/>
          <w:szCs w:val="18"/>
          <w:color w:val="auto"/>
        </w:rPr>
        <w:t>Effect of discounting net cash flows at 10% Discounted future net cash flows</w:t>
      </w:r>
    </w:p>
    <w:p>
      <w:pPr>
        <w:spacing w:after="0" w:line="212" w:lineRule="exact"/>
        <w:rPr>
          <w:sz w:val="20"/>
          <w:szCs w:val="20"/>
          <w:color w:val="auto"/>
        </w:rPr>
      </w:pPr>
    </w:p>
    <w:p>
      <w:pPr>
        <w:ind w:left="260" w:right="480" w:hanging="224"/>
        <w:spacing w:after="0" w:line="237" w:lineRule="auto"/>
        <w:rPr>
          <w:sz w:val="20"/>
          <w:szCs w:val="20"/>
          <w:color w:val="auto"/>
        </w:rPr>
      </w:pPr>
      <w:r>
        <w:rPr>
          <w:rFonts w:ascii="Arial" w:cs="Arial" w:eastAsia="Arial" w:hAnsi="Arial"/>
          <w:sz w:val="17"/>
          <w:szCs w:val="17"/>
          <w:color w:val="auto"/>
        </w:rPr>
        <w:t>Total consolidated and equity interests in standardized measure of discounted future net cash flows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1160" w:type="dxa"/>
            <w:vAlign w:val="bottom"/>
          </w:tcPr>
          <w:p>
            <w:pPr>
              <w:jc w:val="right"/>
              <w:ind w:right="210"/>
              <w:spacing w:after="0"/>
              <w:rPr>
                <w:sz w:val="20"/>
                <w:szCs w:val="20"/>
                <w:color w:val="auto"/>
              </w:rPr>
            </w:pPr>
            <w:r>
              <w:rPr>
                <w:rFonts w:ascii="Arial" w:cs="Arial" w:eastAsia="Arial" w:hAnsi="Arial"/>
                <w:sz w:val="18"/>
                <w:szCs w:val="18"/>
                <w:color w:val="auto"/>
              </w:rPr>
              <w:t>208,981</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190,604</w:t>
            </w:r>
          </w:p>
        </w:tc>
        <w:tc>
          <w:tcPr>
            <w:tcW w:w="1040" w:type="dxa"/>
            <w:vAlign w:val="bottom"/>
          </w:tcPr>
          <w:p>
            <w:pPr>
              <w:jc w:val="right"/>
              <w:ind w:right="210"/>
              <w:spacing w:after="0"/>
              <w:rPr>
                <w:sz w:val="20"/>
                <w:szCs w:val="20"/>
                <w:color w:val="auto"/>
              </w:rPr>
            </w:pPr>
            <w:r>
              <w:rPr>
                <w:rFonts w:ascii="Arial" w:cs="Arial" w:eastAsia="Arial" w:hAnsi="Arial"/>
                <w:sz w:val="18"/>
                <w:szCs w:val="18"/>
                <w:color w:val="auto"/>
              </w:rPr>
              <w:t>5,789</w:t>
            </w: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30,194</w:t>
            </w:r>
          </w:p>
        </w:tc>
        <w:tc>
          <w:tcPr>
            <w:tcW w:w="1080" w:type="dxa"/>
            <w:vAlign w:val="bottom"/>
          </w:tcPr>
          <w:p>
            <w:pPr>
              <w:jc w:val="right"/>
              <w:ind w:right="190"/>
              <w:spacing w:after="0"/>
              <w:rPr>
                <w:sz w:val="20"/>
                <w:szCs w:val="20"/>
                <w:color w:val="auto"/>
              </w:rPr>
            </w:pPr>
            <w:r>
              <w:rPr>
                <w:rFonts w:ascii="Arial" w:cs="Arial" w:eastAsia="Arial" w:hAnsi="Arial"/>
                <w:sz w:val="18"/>
                <w:szCs w:val="18"/>
                <w:color w:val="auto"/>
              </w:rPr>
              <w:t>215,837</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43,599</w:t>
            </w:r>
          </w:p>
        </w:tc>
        <w:tc>
          <w:tcPr>
            <w:tcW w:w="860" w:type="dxa"/>
            <w:vAlign w:val="bottom"/>
          </w:tcPr>
          <w:p>
            <w:pPr>
              <w:jc w:val="right"/>
              <w:spacing w:after="0"/>
              <w:rPr>
                <w:sz w:val="20"/>
                <w:szCs w:val="20"/>
                <w:color w:val="auto"/>
              </w:rPr>
            </w:pPr>
            <w:r>
              <w:rPr>
                <w:rFonts w:ascii="Arial" w:cs="Arial" w:eastAsia="Arial" w:hAnsi="Arial"/>
                <w:sz w:val="18"/>
                <w:szCs w:val="18"/>
                <w:color w:val="auto"/>
              </w:rPr>
              <w:t>695,004</w:t>
            </w:r>
          </w:p>
        </w:tc>
      </w:tr>
      <w:tr>
        <w:trPr>
          <w:trHeight w:val="230"/>
        </w:trPr>
        <w:tc>
          <w:tcPr>
            <w:tcW w:w="1160" w:type="dxa"/>
            <w:vAlign w:val="bottom"/>
          </w:tcPr>
          <w:p>
            <w:pPr>
              <w:jc w:val="right"/>
              <w:ind w:right="210"/>
              <w:spacing w:after="0"/>
              <w:rPr>
                <w:sz w:val="20"/>
                <w:szCs w:val="20"/>
                <w:color w:val="auto"/>
              </w:rPr>
            </w:pPr>
            <w:r>
              <w:rPr>
                <w:rFonts w:ascii="Arial" w:cs="Arial" w:eastAsia="Arial" w:hAnsi="Arial"/>
                <w:sz w:val="18"/>
                <w:szCs w:val="18"/>
                <w:color w:val="auto"/>
              </w:rPr>
              <w:t>90,448</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133,606</w:t>
            </w:r>
          </w:p>
        </w:tc>
        <w:tc>
          <w:tcPr>
            <w:tcW w:w="1040" w:type="dxa"/>
            <w:vAlign w:val="bottom"/>
          </w:tcPr>
          <w:p>
            <w:pPr>
              <w:jc w:val="right"/>
              <w:ind w:right="210"/>
              <w:spacing w:after="0"/>
              <w:rPr>
                <w:sz w:val="20"/>
                <w:szCs w:val="20"/>
                <w:color w:val="auto"/>
              </w:rPr>
            </w:pPr>
            <w:r>
              <w:rPr>
                <w:rFonts w:ascii="Arial" w:cs="Arial" w:eastAsia="Arial" w:hAnsi="Arial"/>
                <w:sz w:val="18"/>
                <w:szCs w:val="18"/>
                <w:color w:val="auto"/>
              </w:rPr>
              <w:t>3,209</w:t>
            </w: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10,177</w:t>
            </w:r>
          </w:p>
        </w:tc>
        <w:tc>
          <w:tcPr>
            <w:tcW w:w="1080" w:type="dxa"/>
            <w:vAlign w:val="bottom"/>
          </w:tcPr>
          <w:p>
            <w:pPr>
              <w:jc w:val="right"/>
              <w:ind w:right="190"/>
              <w:spacing w:after="0"/>
              <w:rPr>
                <w:sz w:val="20"/>
                <w:szCs w:val="20"/>
                <w:color w:val="auto"/>
              </w:rPr>
            </w:pPr>
            <w:r>
              <w:rPr>
                <w:rFonts w:ascii="Arial" w:cs="Arial" w:eastAsia="Arial" w:hAnsi="Arial"/>
                <w:sz w:val="18"/>
                <w:szCs w:val="18"/>
                <w:color w:val="auto"/>
              </w:rPr>
              <w:t>58,255</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12,980</w:t>
            </w:r>
          </w:p>
        </w:tc>
        <w:tc>
          <w:tcPr>
            <w:tcW w:w="860" w:type="dxa"/>
            <w:vAlign w:val="bottom"/>
          </w:tcPr>
          <w:p>
            <w:pPr>
              <w:jc w:val="right"/>
              <w:spacing w:after="0"/>
              <w:rPr>
                <w:sz w:val="20"/>
                <w:szCs w:val="20"/>
                <w:color w:val="auto"/>
              </w:rPr>
            </w:pPr>
            <w:r>
              <w:rPr>
                <w:rFonts w:ascii="Arial" w:cs="Arial" w:eastAsia="Arial" w:hAnsi="Arial"/>
                <w:sz w:val="18"/>
                <w:szCs w:val="18"/>
                <w:color w:val="auto"/>
              </w:rPr>
              <w:t>308,675</w:t>
            </w:r>
          </w:p>
        </w:tc>
      </w:tr>
      <w:tr>
        <w:trPr>
          <w:trHeight w:val="229"/>
        </w:trPr>
        <w:tc>
          <w:tcPr>
            <w:tcW w:w="1160" w:type="dxa"/>
            <w:vAlign w:val="bottom"/>
          </w:tcPr>
          <w:p>
            <w:pPr>
              <w:jc w:val="right"/>
              <w:ind w:right="210"/>
              <w:spacing w:after="0"/>
              <w:rPr>
                <w:sz w:val="20"/>
                <w:szCs w:val="20"/>
                <w:color w:val="auto"/>
              </w:rPr>
            </w:pPr>
            <w:r>
              <w:rPr>
                <w:rFonts w:ascii="Arial" w:cs="Arial" w:eastAsia="Arial" w:hAnsi="Arial"/>
                <w:sz w:val="18"/>
                <w:szCs w:val="18"/>
                <w:color w:val="auto"/>
              </w:rPr>
              <w:t>53,641</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31,158</w:t>
            </w:r>
          </w:p>
        </w:tc>
        <w:tc>
          <w:tcPr>
            <w:tcW w:w="1040" w:type="dxa"/>
            <w:vAlign w:val="bottom"/>
          </w:tcPr>
          <w:p>
            <w:pPr>
              <w:jc w:val="right"/>
              <w:ind w:right="210"/>
              <w:spacing w:after="0"/>
              <w:rPr>
                <w:sz w:val="20"/>
                <w:szCs w:val="20"/>
                <w:color w:val="auto"/>
              </w:rPr>
            </w:pPr>
            <w:r>
              <w:rPr>
                <w:rFonts w:ascii="Arial" w:cs="Arial" w:eastAsia="Arial" w:hAnsi="Arial"/>
                <w:sz w:val="18"/>
                <w:szCs w:val="18"/>
                <w:color w:val="auto"/>
              </w:rPr>
              <w:t>4,397</w:t>
            </w: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6,756</w:t>
            </w:r>
          </w:p>
        </w:tc>
        <w:tc>
          <w:tcPr>
            <w:tcW w:w="1080" w:type="dxa"/>
            <w:vAlign w:val="bottom"/>
          </w:tcPr>
          <w:p>
            <w:pPr>
              <w:jc w:val="right"/>
              <w:ind w:right="190"/>
              <w:spacing w:after="0"/>
              <w:rPr>
                <w:sz w:val="20"/>
                <w:szCs w:val="20"/>
                <w:color w:val="auto"/>
              </w:rPr>
            </w:pPr>
            <w:r>
              <w:rPr>
                <w:rFonts w:ascii="Arial" w:cs="Arial" w:eastAsia="Arial" w:hAnsi="Arial"/>
                <w:sz w:val="18"/>
                <w:szCs w:val="18"/>
                <w:color w:val="auto"/>
              </w:rPr>
              <w:t>14,113</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8,109</w:t>
            </w:r>
          </w:p>
        </w:tc>
        <w:tc>
          <w:tcPr>
            <w:tcW w:w="860" w:type="dxa"/>
            <w:vAlign w:val="bottom"/>
          </w:tcPr>
          <w:p>
            <w:pPr>
              <w:jc w:val="right"/>
              <w:spacing w:after="0"/>
              <w:rPr>
                <w:sz w:val="20"/>
                <w:szCs w:val="20"/>
                <w:color w:val="auto"/>
              </w:rPr>
            </w:pPr>
            <w:r>
              <w:rPr>
                <w:rFonts w:ascii="Arial" w:cs="Arial" w:eastAsia="Arial" w:hAnsi="Arial"/>
                <w:sz w:val="18"/>
                <w:szCs w:val="18"/>
                <w:color w:val="auto"/>
              </w:rPr>
              <w:t>118,174</w:t>
            </w:r>
          </w:p>
        </w:tc>
      </w:tr>
      <w:tr>
        <w:trPr>
          <w:trHeight w:val="230"/>
        </w:trPr>
        <w:tc>
          <w:tcPr>
            <w:tcW w:w="11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12,530</w:t>
            </w: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5,888</w:t>
            </w:r>
          </w:p>
        </w:tc>
        <w:tc>
          <w:tcPr>
            <w:tcW w:w="10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(594)</w:t>
            </w:r>
          </w:p>
        </w:tc>
        <w:tc>
          <w:tcPr>
            <w:tcW w:w="9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5,374</w:t>
            </w:r>
          </w:p>
        </w:tc>
        <w:tc>
          <w:tcPr>
            <w:tcW w:w="10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108,316</w:t>
            </w: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5,158</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136,672</w:t>
            </w:r>
          </w:p>
        </w:tc>
      </w:tr>
      <w:tr>
        <w:trPr>
          <w:trHeight w:val="222"/>
        </w:trPr>
        <w:tc>
          <w:tcPr>
            <w:tcW w:w="1160" w:type="dxa"/>
            <w:vAlign w:val="bottom"/>
          </w:tcPr>
          <w:p>
            <w:pPr>
              <w:jc w:val="right"/>
              <w:ind w:right="210"/>
              <w:spacing w:after="0"/>
              <w:rPr>
                <w:sz w:val="20"/>
                <w:szCs w:val="20"/>
                <w:color w:val="auto"/>
              </w:rPr>
            </w:pPr>
            <w:r>
              <w:rPr>
                <w:rFonts w:ascii="Arial" w:cs="Arial" w:eastAsia="Arial" w:hAnsi="Arial"/>
                <w:sz w:val="18"/>
                <w:szCs w:val="18"/>
                <w:color w:val="auto"/>
              </w:rPr>
              <w:t>52,362</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19,952</w:t>
            </w:r>
          </w:p>
        </w:tc>
        <w:tc>
          <w:tcPr>
            <w:tcW w:w="1040" w:type="dxa"/>
            <w:vAlign w:val="bottom"/>
          </w:tcPr>
          <w:p>
            <w:pPr>
              <w:jc w:val="right"/>
              <w:ind w:right="170"/>
              <w:spacing w:after="0"/>
              <w:rPr>
                <w:sz w:val="20"/>
                <w:szCs w:val="20"/>
                <w:color w:val="auto"/>
              </w:rPr>
            </w:pPr>
            <w:r>
              <w:rPr>
                <w:rFonts w:ascii="Arial" w:cs="Arial" w:eastAsia="Arial" w:hAnsi="Arial"/>
                <w:sz w:val="18"/>
                <w:szCs w:val="18"/>
                <w:color w:val="auto"/>
              </w:rPr>
              <w:t>(1,223)</w:t>
            </w: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7,887</w:t>
            </w:r>
          </w:p>
        </w:tc>
        <w:tc>
          <w:tcPr>
            <w:tcW w:w="1080" w:type="dxa"/>
            <w:vAlign w:val="bottom"/>
          </w:tcPr>
          <w:p>
            <w:pPr>
              <w:jc w:val="right"/>
              <w:ind w:right="190"/>
              <w:spacing w:after="0"/>
              <w:rPr>
                <w:sz w:val="20"/>
                <w:szCs w:val="20"/>
                <w:color w:val="auto"/>
              </w:rPr>
            </w:pPr>
            <w:r>
              <w:rPr>
                <w:rFonts w:ascii="Arial" w:cs="Arial" w:eastAsia="Arial" w:hAnsi="Arial"/>
                <w:sz w:val="18"/>
                <w:szCs w:val="18"/>
                <w:color w:val="auto"/>
              </w:rPr>
              <w:t>35,153</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17,352</w:t>
            </w:r>
          </w:p>
        </w:tc>
        <w:tc>
          <w:tcPr>
            <w:tcW w:w="860" w:type="dxa"/>
            <w:vAlign w:val="bottom"/>
          </w:tcPr>
          <w:p>
            <w:pPr>
              <w:jc w:val="right"/>
              <w:spacing w:after="0"/>
              <w:rPr>
                <w:sz w:val="20"/>
                <w:szCs w:val="20"/>
                <w:color w:val="auto"/>
              </w:rPr>
            </w:pPr>
            <w:r>
              <w:rPr>
                <w:rFonts w:ascii="Arial" w:cs="Arial" w:eastAsia="Arial" w:hAnsi="Arial"/>
                <w:sz w:val="18"/>
                <w:szCs w:val="18"/>
                <w:color w:val="auto"/>
              </w:rPr>
              <w:t>131,483</w:t>
            </w:r>
          </w:p>
        </w:tc>
      </w:tr>
      <w:tr>
        <w:trPr>
          <w:trHeight w:val="230"/>
        </w:trPr>
        <w:tc>
          <w:tcPr>
            <w:tcW w:w="11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30,499</w:t>
            </w: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7,728</w:t>
            </w:r>
          </w:p>
        </w:tc>
        <w:tc>
          <w:tcPr>
            <w:tcW w:w="10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(1,265)</w:t>
            </w:r>
          </w:p>
        </w:tc>
        <w:tc>
          <w:tcPr>
            <w:tcW w:w="9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872</w:t>
            </w:r>
          </w:p>
        </w:tc>
        <w:tc>
          <w:tcPr>
            <w:tcW w:w="10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18,658</w:t>
            </w: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7,491</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63,983</w:t>
            </w:r>
          </w:p>
        </w:tc>
      </w:tr>
      <w:tr>
        <w:trPr>
          <w:trHeight w:val="223"/>
        </w:trPr>
        <w:tc>
          <w:tcPr>
            <w:tcW w:w="11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21,863</w:t>
            </w: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12,224</w:t>
            </w:r>
          </w:p>
        </w:tc>
        <w:tc>
          <w:tcPr>
            <w:tcW w:w="10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42</w:t>
            </w:r>
          </w:p>
        </w:tc>
        <w:tc>
          <w:tcPr>
            <w:tcW w:w="9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7,015</w:t>
            </w:r>
          </w:p>
        </w:tc>
        <w:tc>
          <w:tcPr>
            <w:tcW w:w="10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16,495</w:t>
            </w: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9,861</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67,500</w:t>
            </w:r>
          </w:p>
        </w:tc>
      </w:tr>
      <w:tr>
        <w:trPr>
          <w:trHeight w:val="938"/>
        </w:trPr>
        <w:tc>
          <w:tcPr>
            <w:tcW w:w="1160" w:type="dxa"/>
            <w:vAlign w:val="bottom"/>
          </w:tcPr>
          <w:p>
            <w:pPr>
              <w:jc w:val="right"/>
              <w:ind w:right="210"/>
              <w:spacing w:after="0"/>
              <w:rPr>
                <w:sz w:val="20"/>
                <w:szCs w:val="20"/>
                <w:color w:val="auto"/>
              </w:rPr>
            </w:pPr>
            <w:r>
              <w:rPr>
                <w:rFonts w:ascii="Arial" w:cs="Arial" w:eastAsia="Arial" w:hAnsi="Arial"/>
                <w:sz w:val="18"/>
                <w:szCs w:val="18"/>
                <w:color w:val="auto"/>
              </w:rPr>
              <w:t>15,729</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10"/>
              <w:spacing w:after="0"/>
              <w:rPr>
                <w:sz w:val="20"/>
                <w:szCs w:val="20"/>
                <w:color w:val="auto"/>
              </w:rPr>
            </w:pPr>
            <w:r>
              <w:rPr>
                <w:rFonts w:ascii="Arial" w:cs="Arial" w:eastAsia="Arial" w:hAnsi="Arial"/>
                <w:sz w:val="18"/>
                <w:szCs w:val="18"/>
                <w:color w:val="auto"/>
              </w:rPr>
              <w:t>3,194</w:t>
            </w: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2,509</w:t>
            </w:r>
          </w:p>
        </w:tc>
        <w:tc>
          <w:tcPr>
            <w:tcW w:w="1080" w:type="dxa"/>
            <w:vAlign w:val="bottom"/>
          </w:tcPr>
          <w:p>
            <w:pPr>
              <w:jc w:val="right"/>
              <w:ind w:right="190"/>
              <w:spacing w:after="0"/>
              <w:rPr>
                <w:sz w:val="20"/>
                <w:szCs w:val="20"/>
                <w:color w:val="auto"/>
              </w:rPr>
            </w:pPr>
            <w:r>
              <w:rPr>
                <w:rFonts w:ascii="Arial" w:cs="Arial" w:eastAsia="Arial" w:hAnsi="Arial"/>
                <w:sz w:val="18"/>
                <w:szCs w:val="18"/>
                <w:color w:val="auto"/>
              </w:rPr>
              <w:t>115,451</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136,883</w:t>
            </w:r>
          </w:p>
        </w:tc>
      </w:tr>
      <w:tr>
        <w:trPr>
          <w:trHeight w:val="230"/>
        </w:trPr>
        <w:tc>
          <w:tcPr>
            <w:tcW w:w="1160" w:type="dxa"/>
            <w:vAlign w:val="bottom"/>
          </w:tcPr>
          <w:p>
            <w:pPr>
              <w:jc w:val="right"/>
              <w:ind w:right="210"/>
              <w:spacing w:after="0"/>
              <w:rPr>
                <w:sz w:val="20"/>
                <w:szCs w:val="20"/>
                <w:color w:val="auto"/>
              </w:rPr>
            </w:pPr>
            <w:r>
              <w:rPr>
                <w:rFonts w:ascii="Arial" w:cs="Arial" w:eastAsia="Arial" w:hAnsi="Arial"/>
                <w:sz w:val="18"/>
                <w:szCs w:val="18"/>
                <w:color w:val="auto"/>
              </w:rPr>
              <w:t>6,848</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10"/>
              <w:spacing w:after="0"/>
              <w:rPr>
                <w:sz w:val="20"/>
                <w:szCs w:val="20"/>
                <w:color w:val="auto"/>
              </w:rPr>
            </w:pPr>
            <w:r>
              <w:rPr>
                <w:rFonts w:ascii="Arial" w:cs="Arial" w:eastAsia="Arial" w:hAnsi="Arial"/>
                <w:sz w:val="18"/>
                <w:szCs w:val="18"/>
                <w:color w:val="auto"/>
              </w:rPr>
              <w:t>1,302</w:t>
            </w: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246</w:t>
            </w:r>
          </w:p>
        </w:tc>
        <w:tc>
          <w:tcPr>
            <w:tcW w:w="1080" w:type="dxa"/>
            <w:vAlign w:val="bottom"/>
          </w:tcPr>
          <w:p>
            <w:pPr>
              <w:jc w:val="right"/>
              <w:ind w:right="190"/>
              <w:spacing w:after="0"/>
              <w:rPr>
                <w:sz w:val="20"/>
                <w:szCs w:val="20"/>
                <w:color w:val="auto"/>
              </w:rPr>
            </w:pPr>
            <w:r>
              <w:rPr>
                <w:rFonts w:ascii="Arial" w:cs="Arial" w:eastAsia="Arial" w:hAnsi="Arial"/>
                <w:sz w:val="18"/>
                <w:szCs w:val="18"/>
                <w:color w:val="auto"/>
              </w:rPr>
              <w:t>48,259</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56,655</w:t>
            </w:r>
          </w:p>
        </w:tc>
      </w:tr>
      <w:tr>
        <w:trPr>
          <w:trHeight w:val="229"/>
        </w:trPr>
        <w:tc>
          <w:tcPr>
            <w:tcW w:w="1160" w:type="dxa"/>
            <w:vAlign w:val="bottom"/>
          </w:tcPr>
          <w:p>
            <w:pPr>
              <w:jc w:val="right"/>
              <w:ind w:right="210"/>
              <w:spacing w:after="0"/>
              <w:rPr>
                <w:sz w:val="20"/>
                <w:szCs w:val="20"/>
                <w:color w:val="auto"/>
              </w:rPr>
            </w:pPr>
            <w:r>
              <w:rPr>
                <w:rFonts w:ascii="Arial" w:cs="Arial" w:eastAsia="Arial" w:hAnsi="Arial"/>
                <w:sz w:val="18"/>
                <w:szCs w:val="18"/>
                <w:color w:val="auto"/>
              </w:rPr>
              <w:t>3,681</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10"/>
              <w:spacing w:after="0"/>
              <w:rPr>
                <w:sz w:val="20"/>
                <w:szCs w:val="20"/>
                <w:color w:val="auto"/>
              </w:rPr>
            </w:pPr>
            <w:r>
              <w:rPr>
                <w:rFonts w:ascii="Arial" w:cs="Arial" w:eastAsia="Arial" w:hAnsi="Arial"/>
                <w:sz w:val="18"/>
                <w:szCs w:val="18"/>
                <w:color w:val="auto"/>
              </w:rPr>
              <w:t>1,182</w:t>
            </w: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247</w:t>
            </w:r>
          </w:p>
        </w:tc>
        <w:tc>
          <w:tcPr>
            <w:tcW w:w="1080" w:type="dxa"/>
            <w:vAlign w:val="bottom"/>
          </w:tcPr>
          <w:p>
            <w:pPr>
              <w:jc w:val="right"/>
              <w:ind w:right="190"/>
              <w:spacing w:after="0"/>
              <w:rPr>
                <w:sz w:val="20"/>
                <w:szCs w:val="20"/>
                <w:color w:val="auto"/>
              </w:rPr>
            </w:pPr>
            <w:r>
              <w:rPr>
                <w:rFonts w:ascii="Arial" w:cs="Arial" w:eastAsia="Arial" w:hAnsi="Arial"/>
                <w:sz w:val="18"/>
                <w:szCs w:val="18"/>
                <w:color w:val="auto"/>
              </w:rPr>
              <w:t>11,463</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16,573</w:t>
            </w:r>
          </w:p>
        </w:tc>
      </w:tr>
      <w:tr>
        <w:trPr>
          <w:trHeight w:val="230"/>
        </w:trPr>
        <w:tc>
          <w:tcPr>
            <w:tcW w:w="11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346</w:t>
            </w:r>
          </w:p>
        </w:tc>
        <w:tc>
          <w:tcPr>
            <w:tcW w:w="9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555</w:t>
            </w:r>
          </w:p>
        </w:tc>
        <w:tc>
          <w:tcPr>
            <w:tcW w:w="10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17,891</w:t>
            </w: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18,792</w:t>
            </w:r>
          </w:p>
        </w:tc>
      </w:tr>
      <w:tr>
        <w:trPr>
          <w:trHeight w:val="222"/>
        </w:trPr>
        <w:tc>
          <w:tcPr>
            <w:tcW w:w="1160" w:type="dxa"/>
            <w:vAlign w:val="bottom"/>
          </w:tcPr>
          <w:p>
            <w:pPr>
              <w:jc w:val="right"/>
              <w:ind w:right="210"/>
              <w:spacing w:after="0"/>
              <w:rPr>
                <w:sz w:val="20"/>
                <w:szCs w:val="20"/>
                <w:color w:val="auto"/>
              </w:rPr>
            </w:pPr>
            <w:r>
              <w:rPr>
                <w:rFonts w:ascii="Arial" w:cs="Arial" w:eastAsia="Arial" w:hAnsi="Arial"/>
                <w:sz w:val="18"/>
                <w:szCs w:val="18"/>
                <w:color w:val="auto"/>
              </w:rPr>
              <w:t>5,200</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10"/>
              <w:spacing w:after="0"/>
              <w:rPr>
                <w:sz w:val="20"/>
                <w:szCs w:val="20"/>
                <w:color w:val="auto"/>
              </w:rPr>
            </w:pPr>
            <w:r>
              <w:rPr>
                <w:rFonts w:ascii="Arial" w:cs="Arial" w:eastAsia="Arial" w:hAnsi="Arial"/>
                <w:sz w:val="18"/>
                <w:szCs w:val="18"/>
                <w:color w:val="auto"/>
              </w:rPr>
              <w:t>364</w:t>
            </w: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1,461</w:t>
            </w:r>
          </w:p>
        </w:tc>
        <w:tc>
          <w:tcPr>
            <w:tcW w:w="1080" w:type="dxa"/>
            <w:vAlign w:val="bottom"/>
          </w:tcPr>
          <w:p>
            <w:pPr>
              <w:jc w:val="right"/>
              <w:ind w:right="190"/>
              <w:spacing w:after="0"/>
              <w:rPr>
                <w:sz w:val="20"/>
                <w:szCs w:val="20"/>
                <w:color w:val="auto"/>
              </w:rPr>
            </w:pPr>
            <w:r>
              <w:rPr>
                <w:rFonts w:ascii="Arial" w:cs="Arial" w:eastAsia="Arial" w:hAnsi="Arial"/>
                <w:sz w:val="18"/>
                <w:szCs w:val="18"/>
                <w:color w:val="auto"/>
              </w:rPr>
              <w:t>37,838</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44,863</w:t>
            </w:r>
          </w:p>
        </w:tc>
      </w:tr>
      <w:tr>
        <w:trPr>
          <w:trHeight w:val="230"/>
        </w:trPr>
        <w:tc>
          <w:tcPr>
            <w:tcW w:w="11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2,721</w:t>
            </w: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41</w:t>
            </w:r>
          </w:p>
        </w:tc>
        <w:tc>
          <w:tcPr>
            <w:tcW w:w="9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1,112</w:t>
            </w:r>
          </w:p>
        </w:tc>
        <w:tc>
          <w:tcPr>
            <w:tcW w:w="10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18,573</w:t>
            </w: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22,447</w:t>
            </w:r>
          </w:p>
        </w:tc>
      </w:tr>
      <w:tr>
        <w:trPr>
          <w:trHeight w:val="223"/>
        </w:trPr>
        <w:tc>
          <w:tcPr>
            <w:tcW w:w="11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2,479</w:t>
            </w: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323</w:t>
            </w:r>
          </w:p>
        </w:tc>
        <w:tc>
          <w:tcPr>
            <w:tcW w:w="9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349</w:t>
            </w:r>
          </w:p>
        </w:tc>
        <w:tc>
          <w:tcPr>
            <w:tcW w:w="10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19,265</w:t>
            </w: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22,416</w:t>
            </w:r>
          </w:p>
        </w:tc>
      </w:tr>
      <w:tr>
        <w:trPr>
          <w:trHeight w:val="830"/>
        </w:trPr>
        <w:tc>
          <w:tcPr>
            <w:tcW w:w="11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24,342</w:t>
            </w: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12,224</w:t>
            </w:r>
          </w:p>
        </w:tc>
        <w:tc>
          <w:tcPr>
            <w:tcW w:w="10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365</w:t>
            </w:r>
          </w:p>
        </w:tc>
        <w:tc>
          <w:tcPr>
            <w:tcW w:w="9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7,364</w:t>
            </w:r>
          </w:p>
        </w:tc>
        <w:tc>
          <w:tcPr>
            <w:tcW w:w="10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35,760</w:t>
            </w: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9,861</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89,916</w:t>
            </w:r>
          </w:p>
        </w:tc>
      </w:tr>
    </w:tbl>
    <w:p>
      <w:pPr>
        <w:spacing w:after="0" w:line="161" w:lineRule="exact"/>
        <w:rPr>
          <w:sz w:val="20"/>
          <w:szCs w:val="20"/>
          <w:color w:val="auto"/>
        </w:rPr>
      </w:pPr>
    </w:p>
    <w:p>
      <w:pPr>
        <w:sectPr>
          <w:pgSz w:w="11900" w:h="16838" w:orient="portrait"/>
          <w:cols w:equalWidth="0" w:num="2">
            <w:col w:w="3460" w:space="600"/>
            <w:col w:w="7180"/>
          </w:cols>
          <w:pgMar w:left="320" w:top="769" w:right="339" w:bottom="1440" w:gutter="0" w:footer="0" w:header="0"/>
          <w:type w:val="continuous"/>
        </w:sectPr>
      </w:pPr>
    </w:p>
    <w:p>
      <w:pPr>
        <w:ind w:left="320" w:hanging="312"/>
        <w:spacing w:after="0"/>
        <w:tabs>
          <w:tab w:leader="none" w:pos="320" w:val="left"/>
        </w:tabs>
        <w:numPr>
          <w:ilvl w:val="0"/>
          <w:numId w:val="37"/>
        </w:numPr>
        <w:rPr>
          <w:rFonts w:ascii="Arial" w:cs="Arial" w:eastAsia="Arial" w:hAnsi="Arial"/>
          <w:sz w:val="16"/>
          <w:szCs w:val="16"/>
          <w:i w:val="1"/>
          <w:iCs w:val="1"/>
          <w:color w:val="auto"/>
        </w:rPr>
      </w:pPr>
      <w:r>
        <w:rPr>
          <w:rFonts w:ascii="Arial" w:cs="Arial" w:eastAsia="Arial" w:hAnsi="Arial"/>
          <w:sz w:val="16"/>
          <w:szCs w:val="16"/>
          <w:i w:val="1"/>
          <w:iCs w:val="1"/>
          <w:color w:val="auto"/>
        </w:rPr>
        <w:t>Includes discounted future net cash flows attributable to noncontrolling interests in ExxonMobil consolidated subsidiaries of $1,064 million in 2019.</w:t>
      </w:r>
    </w:p>
    <w:p>
      <w:pPr>
        <w:spacing w:after="0" w:line="200" w:lineRule="exact"/>
        <w:rPr>
          <w:rFonts w:ascii="Arial" w:cs="Arial" w:eastAsia="Arial" w:hAnsi="Arial"/>
          <w:sz w:val="16"/>
          <w:szCs w:val="16"/>
          <w:i w:val="1"/>
          <w:iCs w:val="1"/>
          <w:color w:val="auto"/>
        </w:rPr>
      </w:pPr>
    </w:p>
    <w:p>
      <w:pPr>
        <w:spacing w:after="0" w:line="277" w:lineRule="exact"/>
        <w:rPr>
          <w:rFonts w:ascii="Arial" w:cs="Arial" w:eastAsia="Arial" w:hAnsi="Arial"/>
          <w:sz w:val="16"/>
          <w:szCs w:val="16"/>
          <w:i w:val="1"/>
          <w:iCs w:val="1"/>
          <w:color w:val="auto"/>
        </w:rPr>
      </w:pPr>
    </w:p>
    <w:p>
      <w:pPr>
        <w:ind w:left="5480"/>
        <w:spacing w:after="0"/>
        <w:rPr>
          <w:rFonts w:ascii="Arial" w:cs="Arial" w:eastAsia="Arial" w:hAnsi="Arial"/>
          <w:sz w:val="16"/>
          <w:szCs w:val="16"/>
          <w:i w:val="1"/>
          <w:iCs w:val="1"/>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123" w:name="page124"/>
    <w:bookmarkEnd w:id="123"/>
    <w:tbl>
      <w:tblPr>
        <w:tblLayout w:type="fixed"/>
        <w:tblInd w:w="0" w:type="dxa"/>
        <w:tblCellMar>
          <w:top w:w="0" w:type="dxa"/>
          <w:left w:w="0" w:type="dxa"/>
          <w:bottom w:w="0" w:type="dxa"/>
          <w:right w:w="0" w:type="dxa"/>
        </w:tblCellMar>
      </w:tblPr>
      <w:tr>
        <w:trPr>
          <w:trHeight w:val="221"/>
        </w:trPr>
        <w:tc>
          <w:tcPr>
            <w:tcW w:w="3500" w:type="dxa"/>
            <w:vAlign w:val="bottom"/>
          </w:tcPr>
          <w:p>
            <w:pPr>
              <w:ind w:left="20"/>
              <w:spacing w:after="0"/>
              <w:rPr>
                <w:sz w:val="20"/>
                <w:szCs w:val="20"/>
                <w:color w:val="auto"/>
              </w:rPr>
            </w:pPr>
            <w:r>
              <w:rPr>
                <w:rFonts w:ascii="Arial" w:cs="Arial" w:eastAsia="Arial" w:hAnsi="Arial"/>
                <w:sz w:val="18"/>
                <w:szCs w:val="18"/>
                <w:b w:val="1"/>
                <w:bCs w:val="1"/>
                <w:color w:val="auto"/>
              </w:rPr>
              <w:t>Standardized Measure of Discounted</w:t>
            </w:r>
          </w:p>
        </w:tc>
        <w:tc>
          <w:tcPr>
            <w:tcW w:w="156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United States</w:t>
            </w:r>
          </w:p>
        </w:tc>
        <w:tc>
          <w:tcPr>
            <w:tcW w:w="1220" w:type="dxa"/>
            <w:vAlign w:val="bottom"/>
          </w:tcPr>
          <w:p>
            <w:pPr>
              <w:jc w:val="center"/>
              <w:ind w:right="8"/>
              <w:spacing w:after="0"/>
              <w:rPr>
                <w:sz w:val="20"/>
                <w:szCs w:val="20"/>
                <w:color w:val="auto"/>
              </w:rPr>
            </w:pPr>
            <w:r>
              <w:rPr>
                <w:rFonts w:ascii="Arial" w:cs="Arial" w:eastAsia="Arial" w:hAnsi="Arial"/>
                <w:sz w:val="14"/>
                <w:szCs w:val="14"/>
                <w:b w:val="1"/>
                <w:bCs w:val="1"/>
                <w:color w:val="auto"/>
                <w:w w:val="97"/>
              </w:rPr>
              <w:t>Canada/Other</w:t>
            </w:r>
          </w:p>
        </w:tc>
        <w:tc>
          <w:tcPr>
            <w:tcW w:w="72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Europe</w:t>
            </w:r>
          </w:p>
        </w:tc>
        <w:tc>
          <w:tcPr>
            <w:tcW w:w="142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Africa</w:t>
            </w:r>
          </w:p>
        </w:tc>
        <w:tc>
          <w:tcPr>
            <w:tcW w:w="74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Asia</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7"/>
              </w:rPr>
              <w:t>Australia/</w:t>
            </w:r>
          </w:p>
        </w:tc>
        <w:tc>
          <w:tcPr>
            <w:tcW w:w="88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3500" w:type="dxa"/>
            <w:vAlign w:val="bottom"/>
            <w:tcBorders>
              <w:bottom w:val="single" w:sz="8" w:color="auto"/>
            </w:tcBorders>
          </w:tcPr>
          <w:p>
            <w:pPr>
              <w:ind w:left="20"/>
              <w:spacing w:after="0" w:line="189" w:lineRule="exact"/>
              <w:rPr>
                <w:sz w:val="20"/>
                <w:szCs w:val="20"/>
                <w:color w:val="auto"/>
              </w:rPr>
            </w:pPr>
            <w:r>
              <w:rPr>
                <w:rFonts w:ascii="Arial" w:cs="Arial" w:eastAsia="Arial" w:hAnsi="Arial"/>
                <w:sz w:val="18"/>
                <w:szCs w:val="18"/>
                <w:b w:val="1"/>
                <w:bCs w:val="1"/>
                <w:color w:val="auto"/>
              </w:rPr>
              <w:t>Future Cash Flows (continued)</w:t>
            </w:r>
          </w:p>
        </w:tc>
        <w:tc>
          <w:tcPr>
            <w:tcW w:w="1560" w:type="dxa"/>
            <w:vAlign w:val="bottom"/>
            <w:tcBorders>
              <w:bottom w:val="single" w:sz="8" w:color="auto"/>
            </w:tcBorders>
            <w:vMerge w:val="continue"/>
          </w:tcPr>
          <w:p>
            <w:pPr>
              <w:spacing w:after="0"/>
              <w:rPr>
                <w:sz w:val="16"/>
                <w:szCs w:val="16"/>
                <w:color w:val="auto"/>
              </w:rPr>
            </w:pPr>
          </w:p>
        </w:tc>
        <w:tc>
          <w:tcPr>
            <w:tcW w:w="122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92"/>
              </w:rPr>
              <w:t xml:space="preserve">Americas </w:t>
            </w:r>
            <w:r>
              <w:rPr>
                <w:rFonts w:ascii="Arial" w:cs="Arial" w:eastAsia="Arial" w:hAnsi="Arial"/>
                <w:sz w:val="14"/>
                <w:szCs w:val="14"/>
                <w:i w:val="1"/>
                <w:iCs w:val="1"/>
                <w:color w:val="auto"/>
                <w:w w:val="92"/>
              </w:rPr>
              <w:t>(1)</w:t>
            </w:r>
          </w:p>
        </w:tc>
        <w:tc>
          <w:tcPr>
            <w:tcW w:w="720" w:type="dxa"/>
            <w:vAlign w:val="bottom"/>
            <w:tcBorders>
              <w:bottom w:val="single" w:sz="8" w:color="auto"/>
            </w:tcBorders>
            <w:vMerge w:val="continue"/>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Oceania</w:t>
            </w: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5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20" w:type="dxa"/>
            <w:vAlign w:val="bottom"/>
          </w:tcPr>
          <w:p>
            <w:pPr>
              <w:ind w:left="80"/>
              <w:spacing w:after="0"/>
              <w:rPr>
                <w:sz w:val="20"/>
                <w:szCs w:val="20"/>
                <w:color w:val="auto"/>
              </w:rPr>
            </w:pPr>
            <w:r>
              <w:rPr>
                <w:rFonts w:ascii="Arial" w:cs="Arial" w:eastAsia="Arial" w:hAnsi="Arial"/>
                <w:sz w:val="14"/>
                <w:szCs w:val="14"/>
                <w:i w:val="1"/>
                <w:iCs w:val="1"/>
                <w:color w:val="auto"/>
              </w:rPr>
              <w:t>(millions of dollars)</w:t>
            </w:r>
          </w:p>
        </w:tc>
        <w:tc>
          <w:tcPr>
            <w:tcW w:w="7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1" w:lineRule="exact"/>
        <w:rPr>
          <w:sz w:val="20"/>
          <w:szCs w:val="20"/>
          <w:color w:val="auto"/>
        </w:rPr>
      </w:pPr>
    </w:p>
    <w:p>
      <w:pPr>
        <w:sectPr>
          <w:pgSz w:w="11900" w:h="16838" w:orient="portrait"/>
          <w:cols w:equalWidth="0" w:num="1">
            <w:col w:w="11240"/>
          </w:cols>
          <w:pgMar w:left="320" w:top="904" w:right="339" w:bottom="1440" w:gutter="0" w:footer="0" w:header="0"/>
        </w:sectPr>
      </w:pPr>
    </w:p>
    <w:p>
      <w:pPr>
        <w:ind w:left="20"/>
        <w:spacing w:after="0"/>
        <w:rPr>
          <w:sz w:val="20"/>
          <w:szCs w:val="20"/>
          <w:color w:val="auto"/>
        </w:rPr>
      </w:pPr>
      <w:r>
        <w:rPr>
          <w:rFonts w:ascii="Arial" w:cs="Arial" w:eastAsia="Arial" w:hAnsi="Arial"/>
          <w:sz w:val="18"/>
          <w:szCs w:val="18"/>
          <w:color w:val="auto"/>
        </w:rPr>
        <w:t>Consolidated Subsidiaries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As of December 31, 2020</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Future cash inflows from sales of oil and gas</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Future production costs</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Future development costs</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Future income tax expenses</w:t>
      </w:r>
    </w:p>
    <w:p>
      <w:pPr>
        <w:spacing w:after="0" w:line="3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Future net cash flows</w:t>
      </w:r>
    </w:p>
    <w:p>
      <w:pPr>
        <w:spacing w:after="0" w:line="23" w:lineRule="exact"/>
        <w:rPr>
          <w:sz w:val="20"/>
          <w:szCs w:val="20"/>
          <w:color w:val="auto"/>
        </w:rPr>
      </w:pPr>
    </w:p>
    <w:p>
      <w:pPr>
        <w:ind w:left="220" w:right="100"/>
        <w:spacing w:after="0" w:line="307" w:lineRule="auto"/>
        <w:rPr>
          <w:sz w:val="20"/>
          <w:szCs w:val="20"/>
          <w:color w:val="auto"/>
        </w:rPr>
      </w:pPr>
      <w:r>
        <w:rPr>
          <w:rFonts w:ascii="Arial" w:cs="Arial" w:eastAsia="Arial" w:hAnsi="Arial"/>
          <w:sz w:val="18"/>
          <w:szCs w:val="18"/>
          <w:color w:val="auto"/>
        </w:rPr>
        <w:t>Effect of discounting net cash flows at 10% Discounted future net cash flows</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Equity Companies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As of December 31, 2020</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Future cash inflows from sales of oil and gas</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Future production costs</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Future development costs</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Future income tax expenses</w:t>
      </w:r>
    </w:p>
    <w:p>
      <w:pPr>
        <w:spacing w:after="0" w:line="3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Future net cash flows</w:t>
      </w:r>
    </w:p>
    <w:p>
      <w:pPr>
        <w:spacing w:after="0" w:line="23" w:lineRule="exact"/>
        <w:rPr>
          <w:sz w:val="20"/>
          <w:szCs w:val="20"/>
          <w:color w:val="auto"/>
        </w:rPr>
      </w:pPr>
    </w:p>
    <w:p>
      <w:pPr>
        <w:ind w:left="220" w:right="100"/>
        <w:spacing w:after="0" w:line="307" w:lineRule="auto"/>
        <w:rPr>
          <w:sz w:val="20"/>
          <w:szCs w:val="20"/>
          <w:color w:val="auto"/>
        </w:rPr>
      </w:pPr>
      <w:r>
        <w:rPr>
          <w:rFonts w:ascii="Arial" w:cs="Arial" w:eastAsia="Arial" w:hAnsi="Arial"/>
          <w:sz w:val="18"/>
          <w:szCs w:val="18"/>
          <w:color w:val="auto"/>
        </w:rPr>
        <w:t>Effect of discounting net cash flows at 10% Discounted future net cash flows</w:t>
      </w:r>
    </w:p>
    <w:p>
      <w:pPr>
        <w:spacing w:after="0" w:line="158" w:lineRule="exact"/>
        <w:rPr>
          <w:sz w:val="20"/>
          <w:szCs w:val="20"/>
          <w:color w:val="auto"/>
        </w:rPr>
      </w:pPr>
    </w:p>
    <w:p>
      <w:pPr>
        <w:ind w:left="260" w:right="480" w:hanging="224"/>
        <w:spacing w:after="0" w:line="237" w:lineRule="auto"/>
        <w:rPr>
          <w:sz w:val="20"/>
          <w:szCs w:val="20"/>
          <w:color w:val="auto"/>
        </w:rPr>
      </w:pPr>
      <w:r>
        <w:rPr>
          <w:rFonts w:ascii="Arial" w:cs="Arial" w:eastAsia="Arial" w:hAnsi="Arial"/>
          <w:sz w:val="17"/>
          <w:szCs w:val="17"/>
          <w:color w:val="auto"/>
        </w:rPr>
        <w:t>Total consolidated and equity interests in standardized measure of discounted future net cash flows</w:t>
      </w:r>
    </w:p>
    <w:p>
      <w:pPr>
        <w:spacing w:after="0" w:line="2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Consolidated Subsidiaries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As of December 31, 2021</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Future cash inflows from sales of oil and gas</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Future production costs</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Future development costs</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Future income tax expenses</w:t>
      </w:r>
    </w:p>
    <w:p>
      <w:pPr>
        <w:spacing w:after="0" w:line="3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Future net cash flows</w:t>
      </w:r>
    </w:p>
    <w:p>
      <w:pPr>
        <w:spacing w:after="0" w:line="23" w:lineRule="exact"/>
        <w:rPr>
          <w:sz w:val="20"/>
          <w:szCs w:val="20"/>
          <w:color w:val="auto"/>
        </w:rPr>
      </w:pPr>
    </w:p>
    <w:p>
      <w:pPr>
        <w:ind w:left="220" w:right="100"/>
        <w:spacing w:after="0" w:line="307" w:lineRule="auto"/>
        <w:rPr>
          <w:sz w:val="20"/>
          <w:szCs w:val="20"/>
          <w:color w:val="auto"/>
        </w:rPr>
      </w:pPr>
      <w:r>
        <w:rPr>
          <w:rFonts w:ascii="Arial" w:cs="Arial" w:eastAsia="Arial" w:hAnsi="Arial"/>
          <w:sz w:val="18"/>
          <w:szCs w:val="18"/>
          <w:color w:val="auto"/>
        </w:rPr>
        <w:t>Effect of discounting net cash flows at 10% Discounted future net cash flows</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Equity Companies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As of December 31, 2021</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Future cash inflows from sales of oil and gas</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Future production costs</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Future development costs</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Future income tax expenses</w:t>
      </w:r>
    </w:p>
    <w:p>
      <w:pPr>
        <w:spacing w:after="0" w:line="3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Future net cash flows</w:t>
      </w:r>
    </w:p>
    <w:p>
      <w:pPr>
        <w:spacing w:after="0" w:line="23" w:lineRule="exact"/>
        <w:rPr>
          <w:sz w:val="20"/>
          <w:szCs w:val="20"/>
          <w:color w:val="auto"/>
        </w:rPr>
      </w:pPr>
    </w:p>
    <w:p>
      <w:pPr>
        <w:ind w:left="220" w:right="100"/>
        <w:spacing w:after="0" w:line="307" w:lineRule="auto"/>
        <w:rPr>
          <w:sz w:val="20"/>
          <w:szCs w:val="20"/>
          <w:color w:val="auto"/>
        </w:rPr>
      </w:pPr>
      <w:r>
        <w:rPr>
          <w:rFonts w:ascii="Arial" w:cs="Arial" w:eastAsia="Arial" w:hAnsi="Arial"/>
          <w:sz w:val="18"/>
          <w:szCs w:val="18"/>
          <w:color w:val="auto"/>
        </w:rPr>
        <w:t>Effect of discounting net cash flows at 10% Discounted future net cash flows</w:t>
      </w:r>
    </w:p>
    <w:p>
      <w:pPr>
        <w:spacing w:after="0" w:line="158" w:lineRule="exact"/>
        <w:rPr>
          <w:sz w:val="20"/>
          <w:szCs w:val="20"/>
          <w:color w:val="auto"/>
        </w:rPr>
      </w:pPr>
    </w:p>
    <w:p>
      <w:pPr>
        <w:ind w:left="260" w:right="480" w:hanging="224"/>
        <w:spacing w:after="0" w:line="237" w:lineRule="auto"/>
        <w:rPr>
          <w:sz w:val="20"/>
          <w:szCs w:val="20"/>
          <w:color w:val="auto"/>
        </w:rPr>
      </w:pPr>
      <w:r>
        <w:rPr>
          <w:rFonts w:ascii="Arial" w:cs="Arial" w:eastAsia="Arial" w:hAnsi="Arial"/>
          <w:sz w:val="17"/>
          <w:szCs w:val="17"/>
          <w:color w:val="auto"/>
        </w:rPr>
        <w:t>Total consolidated and equity interests in standardized measure of discounted future net cash flows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1180" w:type="dxa"/>
            <w:vAlign w:val="bottom"/>
          </w:tcPr>
          <w:p>
            <w:pPr>
              <w:jc w:val="right"/>
              <w:ind w:right="230"/>
              <w:spacing w:after="0"/>
              <w:rPr>
                <w:sz w:val="20"/>
                <w:szCs w:val="20"/>
                <w:color w:val="auto"/>
              </w:rPr>
            </w:pPr>
            <w:r>
              <w:rPr>
                <w:rFonts w:ascii="Arial" w:cs="Arial" w:eastAsia="Arial" w:hAnsi="Arial"/>
                <w:sz w:val="18"/>
                <w:szCs w:val="18"/>
                <w:color w:val="auto"/>
              </w:rPr>
              <w:t>93,520</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38,193</w:t>
            </w:r>
          </w:p>
        </w:tc>
        <w:tc>
          <w:tcPr>
            <w:tcW w:w="1040" w:type="dxa"/>
            <w:vAlign w:val="bottom"/>
          </w:tcPr>
          <w:p>
            <w:pPr>
              <w:jc w:val="right"/>
              <w:ind w:right="210"/>
              <w:spacing w:after="0"/>
              <w:rPr>
                <w:sz w:val="20"/>
                <w:szCs w:val="20"/>
                <w:color w:val="auto"/>
              </w:rPr>
            </w:pPr>
            <w:r>
              <w:rPr>
                <w:rFonts w:ascii="Arial" w:cs="Arial" w:eastAsia="Arial" w:hAnsi="Arial"/>
                <w:sz w:val="18"/>
                <w:szCs w:val="18"/>
                <w:color w:val="auto"/>
              </w:rPr>
              <w:t>2,734</w:t>
            </w: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15,411</w:t>
            </w:r>
          </w:p>
        </w:tc>
        <w:tc>
          <w:tcPr>
            <w:tcW w:w="1060" w:type="dxa"/>
            <w:vAlign w:val="bottom"/>
          </w:tcPr>
          <w:p>
            <w:pPr>
              <w:jc w:val="right"/>
              <w:ind w:right="190"/>
              <w:spacing w:after="0"/>
              <w:rPr>
                <w:sz w:val="20"/>
                <w:szCs w:val="20"/>
                <w:color w:val="auto"/>
              </w:rPr>
            </w:pPr>
            <w:r>
              <w:rPr>
                <w:rFonts w:ascii="Arial" w:cs="Arial" w:eastAsia="Arial" w:hAnsi="Arial"/>
                <w:sz w:val="18"/>
                <w:szCs w:val="18"/>
                <w:color w:val="auto"/>
              </w:rPr>
              <w:t>138,080</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19,794</w:t>
            </w:r>
          </w:p>
        </w:tc>
        <w:tc>
          <w:tcPr>
            <w:tcW w:w="860" w:type="dxa"/>
            <w:vAlign w:val="bottom"/>
          </w:tcPr>
          <w:p>
            <w:pPr>
              <w:jc w:val="right"/>
              <w:spacing w:after="0"/>
              <w:rPr>
                <w:sz w:val="20"/>
                <w:szCs w:val="20"/>
                <w:color w:val="auto"/>
              </w:rPr>
            </w:pPr>
            <w:r>
              <w:rPr>
                <w:rFonts w:ascii="Arial" w:cs="Arial" w:eastAsia="Arial" w:hAnsi="Arial"/>
                <w:sz w:val="18"/>
                <w:szCs w:val="18"/>
                <w:color w:val="auto"/>
              </w:rPr>
              <w:t>307,732</w:t>
            </w:r>
          </w:p>
        </w:tc>
      </w:tr>
      <w:tr>
        <w:trPr>
          <w:trHeight w:val="230"/>
        </w:trPr>
        <w:tc>
          <w:tcPr>
            <w:tcW w:w="1180" w:type="dxa"/>
            <w:vAlign w:val="bottom"/>
          </w:tcPr>
          <w:p>
            <w:pPr>
              <w:jc w:val="right"/>
              <w:ind w:right="230"/>
              <w:spacing w:after="0"/>
              <w:rPr>
                <w:sz w:val="20"/>
                <w:szCs w:val="20"/>
                <w:color w:val="auto"/>
              </w:rPr>
            </w:pPr>
            <w:r>
              <w:rPr>
                <w:rFonts w:ascii="Arial" w:cs="Arial" w:eastAsia="Arial" w:hAnsi="Arial"/>
                <w:sz w:val="18"/>
                <w:szCs w:val="18"/>
                <w:color w:val="auto"/>
              </w:rPr>
              <w:t>53,635</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19,971</w:t>
            </w:r>
          </w:p>
        </w:tc>
        <w:tc>
          <w:tcPr>
            <w:tcW w:w="1040" w:type="dxa"/>
            <w:vAlign w:val="bottom"/>
          </w:tcPr>
          <w:p>
            <w:pPr>
              <w:jc w:val="right"/>
              <w:ind w:right="210"/>
              <w:spacing w:after="0"/>
              <w:rPr>
                <w:sz w:val="20"/>
                <w:szCs w:val="20"/>
                <w:color w:val="auto"/>
              </w:rPr>
            </w:pPr>
            <w:r>
              <w:rPr>
                <w:rFonts w:ascii="Arial" w:cs="Arial" w:eastAsia="Arial" w:hAnsi="Arial"/>
                <w:sz w:val="18"/>
                <w:szCs w:val="18"/>
                <w:color w:val="auto"/>
              </w:rPr>
              <w:t>1,815</w:t>
            </w: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6,527</w:t>
            </w:r>
          </w:p>
        </w:tc>
        <w:tc>
          <w:tcPr>
            <w:tcW w:w="1060" w:type="dxa"/>
            <w:vAlign w:val="bottom"/>
          </w:tcPr>
          <w:p>
            <w:pPr>
              <w:jc w:val="right"/>
              <w:ind w:right="190"/>
              <w:spacing w:after="0"/>
              <w:rPr>
                <w:sz w:val="20"/>
                <w:szCs w:val="20"/>
                <w:color w:val="auto"/>
              </w:rPr>
            </w:pPr>
            <w:r>
              <w:rPr>
                <w:rFonts w:ascii="Arial" w:cs="Arial" w:eastAsia="Arial" w:hAnsi="Arial"/>
                <w:sz w:val="18"/>
                <w:szCs w:val="18"/>
                <w:color w:val="auto"/>
              </w:rPr>
              <w:t>42,378</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3,188</w:t>
            </w:r>
          </w:p>
        </w:tc>
        <w:tc>
          <w:tcPr>
            <w:tcW w:w="860" w:type="dxa"/>
            <w:vAlign w:val="bottom"/>
          </w:tcPr>
          <w:p>
            <w:pPr>
              <w:jc w:val="right"/>
              <w:spacing w:after="0"/>
              <w:rPr>
                <w:sz w:val="20"/>
                <w:szCs w:val="20"/>
                <w:color w:val="auto"/>
              </w:rPr>
            </w:pPr>
            <w:r>
              <w:rPr>
                <w:rFonts w:ascii="Arial" w:cs="Arial" w:eastAsia="Arial" w:hAnsi="Arial"/>
                <w:sz w:val="18"/>
                <w:szCs w:val="18"/>
                <w:color w:val="auto"/>
              </w:rPr>
              <w:t>127,514</w:t>
            </w:r>
          </w:p>
        </w:tc>
      </w:tr>
      <w:tr>
        <w:trPr>
          <w:trHeight w:val="229"/>
        </w:trPr>
        <w:tc>
          <w:tcPr>
            <w:tcW w:w="1180" w:type="dxa"/>
            <w:vAlign w:val="bottom"/>
          </w:tcPr>
          <w:p>
            <w:pPr>
              <w:jc w:val="right"/>
              <w:ind w:right="230"/>
              <w:spacing w:after="0"/>
              <w:rPr>
                <w:sz w:val="20"/>
                <w:szCs w:val="20"/>
                <w:color w:val="auto"/>
              </w:rPr>
            </w:pPr>
            <w:r>
              <w:rPr>
                <w:rFonts w:ascii="Arial" w:cs="Arial" w:eastAsia="Arial" w:hAnsi="Arial"/>
                <w:sz w:val="18"/>
                <w:szCs w:val="18"/>
                <w:color w:val="auto"/>
              </w:rPr>
              <w:t>27,668</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10,991</w:t>
            </w:r>
          </w:p>
        </w:tc>
        <w:tc>
          <w:tcPr>
            <w:tcW w:w="1040" w:type="dxa"/>
            <w:vAlign w:val="bottom"/>
          </w:tcPr>
          <w:p>
            <w:pPr>
              <w:jc w:val="right"/>
              <w:ind w:right="210"/>
              <w:spacing w:after="0"/>
              <w:rPr>
                <w:sz w:val="20"/>
                <w:szCs w:val="20"/>
                <w:color w:val="auto"/>
              </w:rPr>
            </w:pPr>
            <w:r>
              <w:rPr>
                <w:rFonts w:ascii="Arial" w:cs="Arial" w:eastAsia="Arial" w:hAnsi="Arial"/>
                <w:sz w:val="18"/>
                <w:szCs w:val="18"/>
                <w:color w:val="auto"/>
              </w:rPr>
              <w:t>4,244</w:t>
            </w: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6,223</w:t>
            </w:r>
          </w:p>
        </w:tc>
        <w:tc>
          <w:tcPr>
            <w:tcW w:w="1060" w:type="dxa"/>
            <w:vAlign w:val="bottom"/>
          </w:tcPr>
          <w:p>
            <w:pPr>
              <w:jc w:val="right"/>
              <w:ind w:right="190"/>
              <w:spacing w:after="0"/>
              <w:rPr>
                <w:sz w:val="20"/>
                <w:szCs w:val="20"/>
                <w:color w:val="auto"/>
              </w:rPr>
            </w:pPr>
            <w:r>
              <w:rPr>
                <w:rFonts w:ascii="Arial" w:cs="Arial" w:eastAsia="Arial" w:hAnsi="Arial"/>
                <w:sz w:val="18"/>
                <w:szCs w:val="18"/>
                <w:color w:val="auto"/>
              </w:rPr>
              <w:t>13,432</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7,580</w:t>
            </w:r>
          </w:p>
        </w:tc>
        <w:tc>
          <w:tcPr>
            <w:tcW w:w="860" w:type="dxa"/>
            <w:vAlign w:val="bottom"/>
          </w:tcPr>
          <w:p>
            <w:pPr>
              <w:jc w:val="right"/>
              <w:spacing w:after="0"/>
              <w:rPr>
                <w:sz w:val="20"/>
                <w:szCs w:val="20"/>
                <w:color w:val="auto"/>
              </w:rPr>
            </w:pPr>
            <w:r>
              <w:rPr>
                <w:rFonts w:ascii="Arial" w:cs="Arial" w:eastAsia="Arial" w:hAnsi="Arial"/>
                <w:sz w:val="18"/>
                <w:szCs w:val="18"/>
                <w:color w:val="auto"/>
              </w:rPr>
              <w:t>70,138</w:t>
            </w:r>
          </w:p>
        </w:tc>
      </w:tr>
      <w:tr>
        <w:trPr>
          <w:trHeight w:val="230"/>
        </w:trPr>
        <w:tc>
          <w:tcPr>
            <w:tcW w:w="11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(2,509)</w:t>
            </w: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851</w:t>
            </w:r>
          </w:p>
        </w:tc>
        <w:tc>
          <w:tcPr>
            <w:tcW w:w="10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(1,121)</w:t>
            </w:r>
          </w:p>
        </w:tc>
        <w:tc>
          <w:tcPr>
            <w:tcW w:w="9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916</w:t>
            </w:r>
          </w:p>
        </w:tc>
        <w:tc>
          <w:tcPr>
            <w:tcW w:w="10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62,223</w:t>
            </w: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1,381</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61,741</w:t>
            </w:r>
          </w:p>
        </w:tc>
      </w:tr>
      <w:tr>
        <w:trPr>
          <w:trHeight w:val="222"/>
        </w:trPr>
        <w:tc>
          <w:tcPr>
            <w:tcW w:w="1180" w:type="dxa"/>
            <w:vAlign w:val="bottom"/>
          </w:tcPr>
          <w:p>
            <w:pPr>
              <w:jc w:val="right"/>
              <w:ind w:right="230"/>
              <w:spacing w:after="0"/>
              <w:rPr>
                <w:sz w:val="20"/>
                <w:szCs w:val="20"/>
                <w:color w:val="auto"/>
              </w:rPr>
            </w:pPr>
            <w:r>
              <w:rPr>
                <w:rFonts w:ascii="Arial" w:cs="Arial" w:eastAsia="Arial" w:hAnsi="Arial"/>
                <w:sz w:val="18"/>
                <w:szCs w:val="18"/>
                <w:color w:val="auto"/>
              </w:rPr>
              <w:t>14,726</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6,380</w:t>
            </w:r>
          </w:p>
        </w:tc>
        <w:tc>
          <w:tcPr>
            <w:tcW w:w="1040" w:type="dxa"/>
            <w:vAlign w:val="bottom"/>
          </w:tcPr>
          <w:p>
            <w:pPr>
              <w:jc w:val="right"/>
              <w:ind w:right="170"/>
              <w:spacing w:after="0"/>
              <w:rPr>
                <w:sz w:val="20"/>
                <w:szCs w:val="20"/>
                <w:color w:val="auto"/>
              </w:rPr>
            </w:pPr>
            <w:r>
              <w:rPr>
                <w:rFonts w:ascii="Arial" w:cs="Arial" w:eastAsia="Arial" w:hAnsi="Arial"/>
                <w:sz w:val="18"/>
                <w:szCs w:val="18"/>
                <w:color w:val="auto"/>
              </w:rPr>
              <w:t>(2,204)</w:t>
            </w: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1,745</w:t>
            </w:r>
          </w:p>
        </w:tc>
        <w:tc>
          <w:tcPr>
            <w:tcW w:w="1060" w:type="dxa"/>
            <w:vAlign w:val="bottom"/>
          </w:tcPr>
          <w:p>
            <w:pPr>
              <w:jc w:val="right"/>
              <w:ind w:right="190"/>
              <w:spacing w:after="0"/>
              <w:rPr>
                <w:sz w:val="20"/>
                <w:szCs w:val="20"/>
                <w:color w:val="auto"/>
              </w:rPr>
            </w:pPr>
            <w:r>
              <w:rPr>
                <w:rFonts w:ascii="Arial" w:cs="Arial" w:eastAsia="Arial" w:hAnsi="Arial"/>
                <w:sz w:val="18"/>
                <w:szCs w:val="18"/>
                <w:color w:val="auto"/>
              </w:rPr>
              <w:t>20,047</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7,645</w:t>
            </w:r>
          </w:p>
        </w:tc>
        <w:tc>
          <w:tcPr>
            <w:tcW w:w="860" w:type="dxa"/>
            <w:vAlign w:val="bottom"/>
          </w:tcPr>
          <w:p>
            <w:pPr>
              <w:jc w:val="right"/>
              <w:spacing w:after="0"/>
              <w:rPr>
                <w:sz w:val="20"/>
                <w:szCs w:val="20"/>
                <w:color w:val="auto"/>
              </w:rPr>
            </w:pPr>
            <w:r>
              <w:rPr>
                <w:rFonts w:ascii="Arial" w:cs="Arial" w:eastAsia="Arial" w:hAnsi="Arial"/>
                <w:sz w:val="18"/>
                <w:szCs w:val="18"/>
                <w:color w:val="auto"/>
              </w:rPr>
              <w:t>48,339</w:t>
            </w:r>
          </w:p>
        </w:tc>
      </w:tr>
      <w:tr>
        <w:trPr>
          <w:trHeight w:val="230"/>
        </w:trPr>
        <w:tc>
          <w:tcPr>
            <w:tcW w:w="11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8,564</w:t>
            </w: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1,116</w:t>
            </w:r>
          </w:p>
        </w:tc>
        <w:tc>
          <w:tcPr>
            <w:tcW w:w="10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(1,565)</w:t>
            </w:r>
          </w:p>
        </w:tc>
        <w:tc>
          <w:tcPr>
            <w:tcW w:w="9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(511)</w:t>
            </w:r>
          </w:p>
        </w:tc>
        <w:tc>
          <w:tcPr>
            <w:tcW w:w="10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10,557</w:t>
            </w: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3,624</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21,785</w:t>
            </w:r>
          </w:p>
        </w:tc>
      </w:tr>
      <w:tr>
        <w:trPr>
          <w:trHeight w:val="223"/>
        </w:trPr>
        <w:tc>
          <w:tcPr>
            <w:tcW w:w="11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6,162</w:t>
            </w: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5,264</w:t>
            </w:r>
          </w:p>
        </w:tc>
        <w:tc>
          <w:tcPr>
            <w:tcW w:w="10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(639)</w:t>
            </w:r>
          </w:p>
        </w:tc>
        <w:tc>
          <w:tcPr>
            <w:tcW w:w="9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2,256</w:t>
            </w:r>
          </w:p>
        </w:tc>
        <w:tc>
          <w:tcPr>
            <w:tcW w:w="10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9,490</w:t>
            </w: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4,021</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26,554</w:t>
            </w:r>
          </w:p>
        </w:tc>
      </w:tr>
      <w:tr>
        <w:trPr>
          <w:trHeight w:val="884"/>
        </w:trPr>
        <w:tc>
          <w:tcPr>
            <w:tcW w:w="1180" w:type="dxa"/>
            <w:vAlign w:val="bottom"/>
          </w:tcPr>
          <w:p>
            <w:pPr>
              <w:jc w:val="right"/>
              <w:ind w:right="230"/>
              <w:spacing w:after="0"/>
              <w:rPr>
                <w:sz w:val="20"/>
                <w:szCs w:val="20"/>
                <w:color w:val="auto"/>
              </w:rPr>
            </w:pPr>
            <w:r>
              <w:rPr>
                <w:rFonts w:ascii="Arial" w:cs="Arial" w:eastAsia="Arial" w:hAnsi="Arial"/>
                <w:sz w:val="18"/>
                <w:szCs w:val="18"/>
                <w:color w:val="auto"/>
              </w:rPr>
              <w:t>5,304</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10"/>
              <w:spacing w:after="0"/>
              <w:rPr>
                <w:sz w:val="20"/>
                <w:szCs w:val="20"/>
                <w:color w:val="auto"/>
              </w:rPr>
            </w:pPr>
            <w:r>
              <w:rPr>
                <w:rFonts w:ascii="Arial" w:cs="Arial" w:eastAsia="Arial" w:hAnsi="Arial"/>
                <w:sz w:val="18"/>
                <w:szCs w:val="18"/>
                <w:color w:val="auto"/>
              </w:rPr>
              <w:t>1,511</w:t>
            </w: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740</w:t>
            </w:r>
          </w:p>
        </w:tc>
        <w:tc>
          <w:tcPr>
            <w:tcW w:w="1060" w:type="dxa"/>
            <w:vAlign w:val="bottom"/>
          </w:tcPr>
          <w:p>
            <w:pPr>
              <w:jc w:val="right"/>
              <w:ind w:right="190"/>
              <w:spacing w:after="0"/>
              <w:rPr>
                <w:sz w:val="20"/>
                <w:szCs w:val="20"/>
                <w:color w:val="auto"/>
              </w:rPr>
            </w:pPr>
            <w:r>
              <w:rPr>
                <w:rFonts w:ascii="Arial" w:cs="Arial" w:eastAsia="Arial" w:hAnsi="Arial"/>
                <w:sz w:val="18"/>
                <w:szCs w:val="18"/>
                <w:color w:val="auto"/>
              </w:rPr>
              <w:t>63,105</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70,660</w:t>
            </w:r>
          </w:p>
        </w:tc>
      </w:tr>
      <w:tr>
        <w:trPr>
          <w:trHeight w:val="230"/>
        </w:trPr>
        <w:tc>
          <w:tcPr>
            <w:tcW w:w="1180" w:type="dxa"/>
            <w:vAlign w:val="bottom"/>
          </w:tcPr>
          <w:p>
            <w:pPr>
              <w:jc w:val="right"/>
              <w:ind w:right="230"/>
              <w:spacing w:after="0"/>
              <w:rPr>
                <w:sz w:val="20"/>
                <w:szCs w:val="20"/>
                <w:color w:val="auto"/>
              </w:rPr>
            </w:pPr>
            <w:r>
              <w:rPr>
                <w:rFonts w:ascii="Arial" w:cs="Arial" w:eastAsia="Arial" w:hAnsi="Arial"/>
                <w:sz w:val="18"/>
                <w:szCs w:val="18"/>
                <w:color w:val="auto"/>
              </w:rPr>
              <w:t>3,467</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10"/>
              <w:spacing w:after="0"/>
              <w:rPr>
                <w:sz w:val="20"/>
                <w:szCs w:val="20"/>
                <w:color w:val="auto"/>
              </w:rPr>
            </w:pPr>
            <w:r>
              <w:rPr>
                <w:rFonts w:ascii="Arial" w:cs="Arial" w:eastAsia="Arial" w:hAnsi="Arial"/>
                <w:sz w:val="18"/>
                <w:szCs w:val="18"/>
                <w:color w:val="auto"/>
              </w:rPr>
              <w:t>694</w:t>
            </w: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247</w:t>
            </w:r>
          </w:p>
        </w:tc>
        <w:tc>
          <w:tcPr>
            <w:tcW w:w="1060" w:type="dxa"/>
            <w:vAlign w:val="bottom"/>
          </w:tcPr>
          <w:p>
            <w:pPr>
              <w:jc w:val="right"/>
              <w:ind w:right="190"/>
              <w:spacing w:after="0"/>
              <w:rPr>
                <w:sz w:val="20"/>
                <w:szCs w:val="20"/>
                <w:color w:val="auto"/>
              </w:rPr>
            </w:pPr>
            <w:r>
              <w:rPr>
                <w:rFonts w:ascii="Arial" w:cs="Arial" w:eastAsia="Arial" w:hAnsi="Arial"/>
                <w:sz w:val="18"/>
                <w:szCs w:val="18"/>
                <w:color w:val="auto"/>
              </w:rPr>
              <w:t>29,170</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33,578</w:t>
            </w:r>
          </w:p>
        </w:tc>
      </w:tr>
      <w:tr>
        <w:trPr>
          <w:trHeight w:val="229"/>
        </w:trPr>
        <w:tc>
          <w:tcPr>
            <w:tcW w:w="1180" w:type="dxa"/>
            <w:vAlign w:val="bottom"/>
          </w:tcPr>
          <w:p>
            <w:pPr>
              <w:jc w:val="right"/>
              <w:ind w:right="230"/>
              <w:spacing w:after="0"/>
              <w:rPr>
                <w:sz w:val="20"/>
                <w:szCs w:val="20"/>
                <w:color w:val="auto"/>
              </w:rPr>
            </w:pPr>
            <w:r>
              <w:rPr>
                <w:rFonts w:ascii="Arial" w:cs="Arial" w:eastAsia="Arial" w:hAnsi="Arial"/>
                <w:sz w:val="18"/>
                <w:szCs w:val="18"/>
                <w:color w:val="auto"/>
              </w:rPr>
              <w:t>2,243</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10"/>
              <w:spacing w:after="0"/>
              <w:rPr>
                <w:sz w:val="20"/>
                <w:szCs w:val="20"/>
                <w:color w:val="auto"/>
              </w:rPr>
            </w:pPr>
            <w:r>
              <w:rPr>
                <w:rFonts w:ascii="Arial" w:cs="Arial" w:eastAsia="Arial" w:hAnsi="Arial"/>
                <w:sz w:val="18"/>
                <w:szCs w:val="18"/>
                <w:color w:val="auto"/>
              </w:rPr>
              <w:t>1,054</w:t>
            </w: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163</w:t>
            </w:r>
          </w:p>
        </w:tc>
        <w:tc>
          <w:tcPr>
            <w:tcW w:w="1060" w:type="dxa"/>
            <w:vAlign w:val="bottom"/>
          </w:tcPr>
          <w:p>
            <w:pPr>
              <w:jc w:val="right"/>
              <w:ind w:right="190"/>
              <w:spacing w:after="0"/>
              <w:rPr>
                <w:sz w:val="20"/>
                <w:szCs w:val="20"/>
                <w:color w:val="auto"/>
              </w:rPr>
            </w:pPr>
            <w:r>
              <w:rPr>
                <w:rFonts w:ascii="Arial" w:cs="Arial" w:eastAsia="Arial" w:hAnsi="Arial"/>
                <w:sz w:val="18"/>
                <w:szCs w:val="18"/>
                <w:color w:val="auto"/>
              </w:rPr>
              <w:t>9,929</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13,389</w:t>
            </w:r>
          </w:p>
        </w:tc>
      </w:tr>
      <w:tr>
        <w:trPr>
          <w:trHeight w:val="230"/>
        </w:trPr>
        <w:tc>
          <w:tcPr>
            <w:tcW w:w="11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(115)</w:t>
            </w:r>
          </w:p>
        </w:tc>
        <w:tc>
          <w:tcPr>
            <w:tcW w:w="9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42</w:t>
            </w:r>
          </w:p>
        </w:tc>
        <w:tc>
          <w:tcPr>
            <w:tcW w:w="10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8,088</w:t>
            </w: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8,015</w:t>
            </w:r>
          </w:p>
        </w:tc>
      </w:tr>
      <w:tr>
        <w:trPr>
          <w:trHeight w:val="222"/>
        </w:trPr>
        <w:tc>
          <w:tcPr>
            <w:tcW w:w="1180" w:type="dxa"/>
            <w:vAlign w:val="bottom"/>
          </w:tcPr>
          <w:p>
            <w:pPr>
              <w:jc w:val="right"/>
              <w:ind w:right="190"/>
              <w:spacing w:after="0"/>
              <w:rPr>
                <w:sz w:val="20"/>
                <w:szCs w:val="20"/>
                <w:color w:val="auto"/>
              </w:rPr>
            </w:pPr>
            <w:r>
              <w:rPr>
                <w:rFonts w:ascii="Arial" w:cs="Arial" w:eastAsia="Arial" w:hAnsi="Arial"/>
                <w:sz w:val="18"/>
                <w:szCs w:val="18"/>
                <w:color w:val="auto"/>
              </w:rPr>
              <w:t>(406)</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70"/>
              <w:spacing w:after="0"/>
              <w:rPr>
                <w:sz w:val="20"/>
                <w:szCs w:val="20"/>
                <w:color w:val="auto"/>
              </w:rPr>
            </w:pPr>
            <w:r>
              <w:rPr>
                <w:rFonts w:ascii="Arial" w:cs="Arial" w:eastAsia="Arial" w:hAnsi="Arial"/>
                <w:sz w:val="18"/>
                <w:szCs w:val="18"/>
                <w:color w:val="auto"/>
              </w:rPr>
              <w:t>(122)</w:t>
            </w: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288</w:t>
            </w:r>
          </w:p>
        </w:tc>
        <w:tc>
          <w:tcPr>
            <w:tcW w:w="1060" w:type="dxa"/>
            <w:vAlign w:val="bottom"/>
          </w:tcPr>
          <w:p>
            <w:pPr>
              <w:jc w:val="right"/>
              <w:ind w:right="190"/>
              <w:spacing w:after="0"/>
              <w:rPr>
                <w:sz w:val="20"/>
                <w:szCs w:val="20"/>
                <w:color w:val="auto"/>
              </w:rPr>
            </w:pPr>
            <w:r>
              <w:rPr>
                <w:rFonts w:ascii="Arial" w:cs="Arial" w:eastAsia="Arial" w:hAnsi="Arial"/>
                <w:sz w:val="18"/>
                <w:szCs w:val="18"/>
                <w:color w:val="auto"/>
              </w:rPr>
              <w:t>15,918</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15,678</w:t>
            </w:r>
          </w:p>
        </w:tc>
      </w:tr>
      <w:tr>
        <w:trPr>
          <w:trHeight w:val="230"/>
        </w:trPr>
        <w:tc>
          <w:tcPr>
            <w:tcW w:w="11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(378)</w:t>
            </w: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(86)</w:t>
            </w:r>
          </w:p>
        </w:tc>
        <w:tc>
          <w:tcPr>
            <w:tcW w:w="9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258</w:t>
            </w:r>
          </w:p>
        </w:tc>
        <w:tc>
          <w:tcPr>
            <w:tcW w:w="10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7,443</w:t>
            </w: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7,237</w:t>
            </w:r>
          </w:p>
        </w:tc>
      </w:tr>
      <w:tr>
        <w:trPr>
          <w:trHeight w:val="223"/>
        </w:trPr>
        <w:tc>
          <w:tcPr>
            <w:tcW w:w="11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(28)</w:t>
            </w: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(36)</w:t>
            </w:r>
          </w:p>
        </w:tc>
        <w:tc>
          <w:tcPr>
            <w:tcW w:w="9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30</w:t>
            </w:r>
          </w:p>
        </w:tc>
        <w:tc>
          <w:tcPr>
            <w:tcW w:w="10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8,475</w:t>
            </w: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8,441</w:t>
            </w:r>
          </w:p>
        </w:tc>
      </w:tr>
      <w:tr>
        <w:trPr>
          <w:trHeight w:val="776"/>
        </w:trPr>
        <w:tc>
          <w:tcPr>
            <w:tcW w:w="11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6,134</w:t>
            </w: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5,264</w:t>
            </w:r>
          </w:p>
        </w:tc>
        <w:tc>
          <w:tcPr>
            <w:tcW w:w="10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(675)</w:t>
            </w:r>
          </w:p>
        </w:tc>
        <w:tc>
          <w:tcPr>
            <w:tcW w:w="9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2,286</w:t>
            </w:r>
          </w:p>
        </w:tc>
        <w:tc>
          <w:tcPr>
            <w:tcW w:w="10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17,965</w:t>
            </w: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4,021</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34,995</w:t>
            </w:r>
          </w:p>
        </w:tc>
      </w:tr>
      <w:tr>
        <w:trPr>
          <w:trHeight w:val="884"/>
        </w:trPr>
        <w:tc>
          <w:tcPr>
            <w:tcW w:w="1180" w:type="dxa"/>
            <w:vAlign w:val="bottom"/>
          </w:tcPr>
          <w:p>
            <w:pPr>
              <w:jc w:val="right"/>
              <w:ind w:right="230"/>
              <w:spacing w:after="0"/>
              <w:rPr>
                <w:sz w:val="20"/>
                <w:szCs w:val="20"/>
                <w:color w:val="auto"/>
              </w:rPr>
            </w:pPr>
            <w:r>
              <w:rPr>
                <w:rFonts w:ascii="Arial" w:cs="Arial" w:eastAsia="Arial" w:hAnsi="Arial"/>
                <w:sz w:val="18"/>
                <w:szCs w:val="18"/>
                <w:color w:val="auto"/>
              </w:rPr>
              <w:t>217,023</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209,711</w:t>
            </w:r>
          </w:p>
        </w:tc>
        <w:tc>
          <w:tcPr>
            <w:tcW w:w="1040" w:type="dxa"/>
            <w:vAlign w:val="bottom"/>
          </w:tcPr>
          <w:p>
            <w:pPr>
              <w:jc w:val="right"/>
              <w:ind w:right="210"/>
              <w:spacing w:after="0"/>
              <w:rPr>
                <w:sz w:val="20"/>
                <w:szCs w:val="20"/>
                <w:color w:val="auto"/>
              </w:rPr>
            </w:pPr>
            <w:r>
              <w:rPr>
                <w:rFonts w:ascii="Arial" w:cs="Arial" w:eastAsia="Arial" w:hAnsi="Arial"/>
                <w:sz w:val="18"/>
                <w:szCs w:val="18"/>
                <w:color w:val="auto"/>
              </w:rPr>
              <w:t>4,322</w:t>
            </w: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24,812</w:t>
            </w:r>
          </w:p>
        </w:tc>
        <w:tc>
          <w:tcPr>
            <w:tcW w:w="1060" w:type="dxa"/>
            <w:vAlign w:val="bottom"/>
          </w:tcPr>
          <w:p>
            <w:pPr>
              <w:jc w:val="right"/>
              <w:ind w:right="190"/>
              <w:spacing w:after="0"/>
              <w:rPr>
                <w:sz w:val="20"/>
                <w:szCs w:val="20"/>
                <w:color w:val="auto"/>
              </w:rPr>
            </w:pPr>
            <w:r>
              <w:rPr>
                <w:rFonts w:ascii="Arial" w:cs="Arial" w:eastAsia="Arial" w:hAnsi="Arial"/>
                <w:sz w:val="18"/>
                <w:szCs w:val="18"/>
                <w:color w:val="auto"/>
              </w:rPr>
              <w:t>211,255</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69,015</w:t>
            </w:r>
          </w:p>
        </w:tc>
        <w:tc>
          <w:tcPr>
            <w:tcW w:w="860" w:type="dxa"/>
            <w:vAlign w:val="bottom"/>
          </w:tcPr>
          <w:p>
            <w:pPr>
              <w:jc w:val="right"/>
              <w:spacing w:after="0"/>
              <w:rPr>
                <w:sz w:val="20"/>
                <w:szCs w:val="20"/>
                <w:color w:val="auto"/>
              </w:rPr>
            </w:pPr>
            <w:r>
              <w:rPr>
                <w:rFonts w:ascii="Arial" w:cs="Arial" w:eastAsia="Arial" w:hAnsi="Arial"/>
                <w:sz w:val="18"/>
                <w:szCs w:val="18"/>
                <w:color w:val="auto"/>
              </w:rPr>
              <w:t>736,138</w:t>
            </w:r>
          </w:p>
        </w:tc>
      </w:tr>
      <w:tr>
        <w:trPr>
          <w:trHeight w:val="229"/>
        </w:trPr>
        <w:tc>
          <w:tcPr>
            <w:tcW w:w="1180" w:type="dxa"/>
            <w:vAlign w:val="bottom"/>
          </w:tcPr>
          <w:p>
            <w:pPr>
              <w:jc w:val="right"/>
              <w:ind w:right="230"/>
              <w:spacing w:after="0"/>
              <w:rPr>
                <w:sz w:val="20"/>
                <w:szCs w:val="20"/>
                <w:color w:val="auto"/>
              </w:rPr>
            </w:pPr>
            <w:r>
              <w:rPr>
                <w:rFonts w:ascii="Arial" w:cs="Arial" w:eastAsia="Arial" w:hAnsi="Arial"/>
                <w:sz w:val="18"/>
                <w:szCs w:val="18"/>
                <w:color w:val="auto"/>
              </w:rPr>
              <w:t>63,464</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111,468</w:t>
            </w:r>
          </w:p>
        </w:tc>
        <w:tc>
          <w:tcPr>
            <w:tcW w:w="1040" w:type="dxa"/>
            <w:vAlign w:val="bottom"/>
          </w:tcPr>
          <w:p>
            <w:pPr>
              <w:jc w:val="right"/>
              <w:ind w:right="210"/>
              <w:spacing w:after="0"/>
              <w:rPr>
                <w:sz w:val="20"/>
                <w:szCs w:val="20"/>
                <w:color w:val="auto"/>
              </w:rPr>
            </w:pPr>
            <w:r>
              <w:rPr>
                <w:rFonts w:ascii="Arial" w:cs="Arial" w:eastAsia="Arial" w:hAnsi="Arial"/>
                <w:sz w:val="18"/>
                <w:szCs w:val="18"/>
                <w:color w:val="auto"/>
              </w:rPr>
              <w:t>1,142</w:t>
            </w: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7,700</w:t>
            </w:r>
          </w:p>
        </w:tc>
        <w:tc>
          <w:tcPr>
            <w:tcW w:w="1060" w:type="dxa"/>
            <w:vAlign w:val="bottom"/>
          </w:tcPr>
          <w:p>
            <w:pPr>
              <w:jc w:val="right"/>
              <w:ind w:right="190"/>
              <w:spacing w:after="0"/>
              <w:rPr>
                <w:sz w:val="20"/>
                <w:szCs w:val="20"/>
                <w:color w:val="auto"/>
              </w:rPr>
            </w:pPr>
            <w:r>
              <w:rPr>
                <w:rFonts w:ascii="Arial" w:cs="Arial" w:eastAsia="Arial" w:hAnsi="Arial"/>
                <w:sz w:val="18"/>
                <w:szCs w:val="18"/>
                <w:color w:val="auto"/>
              </w:rPr>
              <w:t>55,241</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14,880</w:t>
            </w:r>
          </w:p>
        </w:tc>
        <w:tc>
          <w:tcPr>
            <w:tcW w:w="860" w:type="dxa"/>
            <w:vAlign w:val="bottom"/>
          </w:tcPr>
          <w:p>
            <w:pPr>
              <w:jc w:val="right"/>
              <w:spacing w:after="0"/>
              <w:rPr>
                <w:sz w:val="20"/>
                <w:szCs w:val="20"/>
                <w:color w:val="auto"/>
              </w:rPr>
            </w:pPr>
            <w:r>
              <w:rPr>
                <w:rFonts w:ascii="Arial" w:cs="Arial" w:eastAsia="Arial" w:hAnsi="Arial"/>
                <w:sz w:val="18"/>
                <w:szCs w:val="18"/>
                <w:color w:val="auto"/>
              </w:rPr>
              <w:t>253,895</w:t>
            </w:r>
          </w:p>
        </w:tc>
      </w:tr>
      <w:tr>
        <w:trPr>
          <w:trHeight w:val="230"/>
        </w:trPr>
        <w:tc>
          <w:tcPr>
            <w:tcW w:w="1180" w:type="dxa"/>
            <w:vAlign w:val="bottom"/>
          </w:tcPr>
          <w:p>
            <w:pPr>
              <w:jc w:val="right"/>
              <w:ind w:right="230"/>
              <w:spacing w:after="0"/>
              <w:rPr>
                <w:sz w:val="20"/>
                <w:szCs w:val="20"/>
                <w:color w:val="auto"/>
              </w:rPr>
            </w:pPr>
            <w:r>
              <w:rPr>
                <w:rFonts w:ascii="Arial" w:cs="Arial" w:eastAsia="Arial" w:hAnsi="Arial"/>
                <w:sz w:val="18"/>
                <w:szCs w:val="18"/>
                <w:color w:val="auto"/>
              </w:rPr>
              <w:t>29,941</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31,736</w:t>
            </w:r>
          </w:p>
        </w:tc>
        <w:tc>
          <w:tcPr>
            <w:tcW w:w="1040" w:type="dxa"/>
            <w:vAlign w:val="bottom"/>
          </w:tcPr>
          <w:p>
            <w:pPr>
              <w:jc w:val="right"/>
              <w:ind w:right="210"/>
              <w:spacing w:after="0"/>
              <w:rPr>
                <w:sz w:val="20"/>
                <w:szCs w:val="20"/>
                <w:color w:val="auto"/>
              </w:rPr>
            </w:pPr>
            <w:r>
              <w:rPr>
                <w:rFonts w:ascii="Arial" w:cs="Arial" w:eastAsia="Arial" w:hAnsi="Arial"/>
                <w:sz w:val="18"/>
                <w:szCs w:val="18"/>
                <w:color w:val="auto"/>
              </w:rPr>
              <w:t>2,113</w:t>
            </w: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5,921</w:t>
            </w:r>
          </w:p>
        </w:tc>
        <w:tc>
          <w:tcPr>
            <w:tcW w:w="1060" w:type="dxa"/>
            <w:vAlign w:val="bottom"/>
          </w:tcPr>
          <w:p>
            <w:pPr>
              <w:jc w:val="right"/>
              <w:ind w:right="190"/>
              <w:spacing w:after="0"/>
              <w:rPr>
                <w:sz w:val="20"/>
                <w:szCs w:val="20"/>
                <w:color w:val="auto"/>
              </w:rPr>
            </w:pPr>
            <w:r>
              <w:rPr>
                <w:rFonts w:ascii="Arial" w:cs="Arial" w:eastAsia="Arial" w:hAnsi="Arial"/>
                <w:sz w:val="18"/>
                <w:szCs w:val="18"/>
                <w:color w:val="auto"/>
              </w:rPr>
              <w:t>14,519</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7,286</w:t>
            </w:r>
          </w:p>
        </w:tc>
        <w:tc>
          <w:tcPr>
            <w:tcW w:w="860" w:type="dxa"/>
            <w:vAlign w:val="bottom"/>
          </w:tcPr>
          <w:p>
            <w:pPr>
              <w:jc w:val="right"/>
              <w:spacing w:after="0"/>
              <w:rPr>
                <w:sz w:val="20"/>
                <w:szCs w:val="20"/>
                <w:color w:val="auto"/>
              </w:rPr>
            </w:pPr>
            <w:r>
              <w:rPr>
                <w:rFonts w:ascii="Arial" w:cs="Arial" w:eastAsia="Arial" w:hAnsi="Arial"/>
                <w:sz w:val="18"/>
                <w:szCs w:val="18"/>
                <w:color w:val="auto"/>
              </w:rPr>
              <w:t>91,516</w:t>
            </w:r>
          </w:p>
        </w:tc>
      </w:tr>
      <w:tr>
        <w:trPr>
          <w:trHeight w:val="230"/>
        </w:trPr>
        <w:tc>
          <w:tcPr>
            <w:tcW w:w="11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24,770</w:t>
            </w: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12,004</w:t>
            </w:r>
          </w:p>
        </w:tc>
        <w:tc>
          <w:tcPr>
            <w:tcW w:w="10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451</w:t>
            </w:r>
          </w:p>
        </w:tc>
        <w:tc>
          <w:tcPr>
            <w:tcW w:w="9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4,319</w:t>
            </w:r>
          </w:p>
        </w:tc>
        <w:tc>
          <w:tcPr>
            <w:tcW w:w="10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107,577</w:t>
            </w: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13,038</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162,159</w:t>
            </w:r>
          </w:p>
        </w:tc>
      </w:tr>
      <w:tr>
        <w:trPr>
          <w:trHeight w:val="222"/>
        </w:trPr>
        <w:tc>
          <w:tcPr>
            <w:tcW w:w="1180" w:type="dxa"/>
            <w:vAlign w:val="bottom"/>
          </w:tcPr>
          <w:p>
            <w:pPr>
              <w:jc w:val="right"/>
              <w:ind w:right="230"/>
              <w:spacing w:after="0"/>
              <w:rPr>
                <w:sz w:val="20"/>
                <w:szCs w:val="20"/>
                <w:color w:val="auto"/>
              </w:rPr>
            </w:pPr>
            <w:r>
              <w:rPr>
                <w:rFonts w:ascii="Arial" w:cs="Arial" w:eastAsia="Arial" w:hAnsi="Arial"/>
                <w:sz w:val="18"/>
                <w:szCs w:val="18"/>
                <w:color w:val="auto"/>
              </w:rPr>
              <w:t>98,848</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54,503</w:t>
            </w:r>
          </w:p>
        </w:tc>
        <w:tc>
          <w:tcPr>
            <w:tcW w:w="1040" w:type="dxa"/>
            <w:vAlign w:val="bottom"/>
          </w:tcPr>
          <w:p>
            <w:pPr>
              <w:jc w:val="right"/>
              <w:ind w:right="210"/>
              <w:spacing w:after="0"/>
              <w:rPr>
                <w:sz w:val="20"/>
                <w:szCs w:val="20"/>
                <w:color w:val="auto"/>
              </w:rPr>
            </w:pPr>
            <w:r>
              <w:rPr>
                <w:rFonts w:ascii="Arial" w:cs="Arial" w:eastAsia="Arial" w:hAnsi="Arial"/>
                <w:sz w:val="18"/>
                <w:szCs w:val="18"/>
                <w:color w:val="auto"/>
              </w:rPr>
              <w:t>616</w:t>
            </w: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6,872</w:t>
            </w:r>
          </w:p>
        </w:tc>
        <w:tc>
          <w:tcPr>
            <w:tcW w:w="1060" w:type="dxa"/>
            <w:vAlign w:val="bottom"/>
          </w:tcPr>
          <w:p>
            <w:pPr>
              <w:jc w:val="right"/>
              <w:ind w:right="190"/>
              <w:spacing w:after="0"/>
              <w:rPr>
                <w:sz w:val="20"/>
                <w:szCs w:val="20"/>
                <w:color w:val="auto"/>
              </w:rPr>
            </w:pPr>
            <w:r>
              <w:rPr>
                <w:rFonts w:ascii="Arial" w:cs="Arial" w:eastAsia="Arial" w:hAnsi="Arial"/>
                <w:sz w:val="18"/>
                <w:szCs w:val="18"/>
                <w:color w:val="auto"/>
              </w:rPr>
              <w:t>33,918</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33,811</w:t>
            </w:r>
          </w:p>
        </w:tc>
        <w:tc>
          <w:tcPr>
            <w:tcW w:w="860" w:type="dxa"/>
            <w:vAlign w:val="bottom"/>
          </w:tcPr>
          <w:p>
            <w:pPr>
              <w:jc w:val="right"/>
              <w:spacing w:after="0"/>
              <w:rPr>
                <w:sz w:val="20"/>
                <w:szCs w:val="20"/>
                <w:color w:val="auto"/>
              </w:rPr>
            </w:pPr>
            <w:r>
              <w:rPr>
                <w:rFonts w:ascii="Arial" w:cs="Arial" w:eastAsia="Arial" w:hAnsi="Arial"/>
                <w:sz w:val="18"/>
                <w:szCs w:val="18"/>
                <w:color w:val="auto"/>
              </w:rPr>
              <w:t>228,568</w:t>
            </w:r>
          </w:p>
        </w:tc>
      </w:tr>
      <w:tr>
        <w:trPr>
          <w:trHeight w:val="230"/>
        </w:trPr>
        <w:tc>
          <w:tcPr>
            <w:tcW w:w="11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50,524</w:t>
            </w: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25,793</w:t>
            </w:r>
          </w:p>
        </w:tc>
        <w:tc>
          <w:tcPr>
            <w:tcW w:w="10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(502)</w:t>
            </w:r>
          </w:p>
        </w:tc>
        <w:tc>
          <w:tcPr>
            <w:tcW w:w="9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739</w:t>
            </w:r>
          </w:p>
        </w:tc>
        <w:tc>
          <w:tcPr>
            <w:tcW w:w="10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17,383</w:t>
            </w: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18,751</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112,688</w:t>
            </w:r>
          </w:p>
        </w:tc>
      </w:tr>
      <w:tr>
        <w:trPr>
          <w:trHeight w:val="223"/>
        </w:trPr>
        <w:tc>
          <w:tcPr>
            <w:tcW w:w="11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48,324</w:t>
            </w: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28,710</w:t>
            </w:r>
          </w:p>
        </w:tc>
        <w:tc>
          <w:tcPr>
            <w:tcW w:w="10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1,118</w:t>
            </w:r>
          </w:p>
        </w:tc>
        <w:tc>
          <w:tcPr>
            <w:tcW w:w="9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6,133</w:t>
            </w:r>
          </w:p>
        </w:tc>
        <w:tc>
          <w:tcPr>
            <w:tcW w:w="10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16,535</w:t>
            </w: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15,060</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115,880</w:t>
            </w:r>
          </w:p>
        </w:tc>
      </w:tr>
      <w:tr>
        <w:trPr>
          <w:trHeight w:val="884"/>
        </w:trPr>
        <w:tc>
          <w:tcPr>
            <w:tcW w:w="1180" w:type="dxa"/>
            <w:vAlign w:val="bottom"/>
          </w:tcPr>
          <w:p>
            <w:pPr>
              <w:jc w:val="right"/>
              <w:ind w:right="230"/>
              <w:spacing w:after="0"/>
              <w:rPr>
                <w:sz w:val="20"/>
                <w:szCs w:val="20"/>
                <w:color w:val="auto"/>
              </w:rPr>
            </w:pPr>
            <w:r>
              <w:rPr>
                <w:rFonts w:ascii="Arial" w:cs="Arial" w:eastAsia="Arial" w:hAnsi="Arial"/>
                <w:sz w:val="18"/>
                <w:szCs w:val="18"/>
                <w:color w:val="auto"/>
              </w:rPr>
              <w:t>10,607</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10"/>
              <w:spacing w:after="0"/>
              <w:rPr>
                <w:sz w:val="20"/>
                <w:szCs w:val="20"/>
                <w:color w:val="auto"/>
              </w:rPr>
            </w:pPr>
            <w:r>
              <w:rPr>
                <w:rFonts w:ascii="Arial" w:cs="Arial" w:eastAsia="Arial" w:hAnsi="Arial"/>
                <w:sz w:val="18"/>
                <w:szCs w:val="18"/>
                <w:color w:val="auto"/>
              </w:rPr>
              <w:t>5,889</w:t>
            </w: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4,553</w:t>
            </w:r>
          </w:p>
        </w:tc>
        <w:tc>
          <w:tcPr>
            <w:tcW w:w="1060" w:type="dxa"/>
            <w:vAlign w:val="bottom"/>
          </w:tcPr>
          <w:p>
            <w:pPr>
              <w:jc w:val="right"/>
              <w:ind w:right="190"/>
              <w:spacing w:after="0"/>
              <w:rPr>
                <w:sz w:val="20"/>
                <w:szCs w:val="20"/>
                <w:color w:val="auto"/>
              </w:rPr>
            </w:pPr>
            <w:r>
              <w:rPr>
                <w:rFonts w:ascii="Arial" w:cs="Arial" w:eastAsia="Arial" w:hAnsi="Arial"/>
                <w:sz w:val="18"/>
                <w:szCs w:val="18"/>
                <w:color w:val="auto"/>
              </w:rPr>
              <w:t>146,845</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167,894</w:t>
            </w:r>
          </w:p>
        </w:tc>
      </w:tr>
      <w:tr>
        <w:trPr>
          <w:trHeight w:val="229"/>
        </w:trPr>
        <w:tc>
          <w:tcPr>
            <w:tcW w:w="1180" w:type="dxa"/>
            <w:vAlign w:val="bottom"/>
          </w:tcPr>
          <w:p>
            <w:pPr>
              <w:jc w:val="right"/>
              <w:ind w:right="230"/>
              <w:spacing w:after="0"/>
              <w:rPr>
                <w:sz w:val="20"/>
                <w:szCs w:val="20"/>
                <w:color w:val="auto"/>
              </w:rPr>
            </w:pPr>
            <w:r>
              <w:rPr>
                <w:rFonts w:ascii="Arial" w:cs="Arial" w:eastAsia="Arial" w:hAnsi="Arial"/>
                <w:sz w:val="18"/>
                <w:szCs w:val="18"/>
                <w:color w:val="auto"/>
              </w:rPr>
              <w:t>5,005</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10"/>
              <w:spacing w:after="0"/>
              <w:rPr>
                <w:sz w:val="20"/>
                <w:szCs w:val="20"/>
                <w:color w:val="auto"/>
              </w:rPr>
            </w:pPr>
            <w:r>
              <w:rPr>
                <w:rFonts w:ascii="Arial" w:cs="Arial" w:eastAsia="Arial" w:hAnsi="Arial"/>
                <w:sz w:val="18"/>
                <w:szCs w:val="18"/>
                <w:color w:val="auto"/>
              </w:rPr>
              <w:t>785</w:t>
            </w: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261</w:t>
            </w:r>
          </w:p>
        </w:tc>
        <w:tc>
          <w:tcPr>
            <w:tcW w:w="1060" w:type="dxa"/>
            <w:vAlign w:val="bottom"/>
          </w:tcPr>
          <w:p>
            <w:pPr>
              <w:jc w:val="right"/>
              <w:ind w:right="190"/>
              <w:spacing w:after="0"/>
              <w:rPr>
                <w:sz w:val="20"/>
                <w:szCs w:val="20"/>
                <w:color w:val="auto"/>
              </w:rPr>
            </w:pPr>
            <w:r>
              <w:rPr>
                <w:rFonts w:ascii="Arial" w:cs="Arial" w:eastAsia="Arial" w:hAnsi="Arial"/>
                <w:sz w:val="18"/>
                <w:szCs w:val="18"/>
                <w:color w:val="auto"/>
              </w:rPr>
              <w:t>49,810</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55,861</w:t>
            </w:r>
          </w:p>
        </w:tc>
      </w:tr>
      <w:tr>
        <w:trPr>
          <w:trHeight w:val="230"/>
        </w:trPr>
        <w:tc>
          <w:tcPr>
            <w:tcW w:w="1180" w:type="dxa"/>
            <w:vAlign w:val="bottom"/>
          </w:tcPr>
          <w:p>
            <w:pPr>
              <w:jc w:val="right"/>
              <w:ind w:right="230"/>
              <w:spacing w:after="0"/>
              <w:rPr>
                <w:sz w:val="20"/>
                <w:szCs w:val="20"/>
                <w:color w:val="auto"/>
              </w:rPr>
            </w:pPr>
            <w:r>
              <w:rPr>
                <w:rFonts w:ascii="Arial" w:cs="Arial" w:eastAsia="Arial" w:hAnsi="Arial"/>
                <w:sz w:val="18"/>
                <w:szCs w:val="18"/>
                <w:color w:val="auto"/>
              </w:rPr>
              <w:t>2,340</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10"/>
              <w:spacing w:after="0"/>
              <w:rPr>
                <w:sz w:val="20"/>
                <w:szCs w:val="20"/>
                <w:color w:val="auto"/>
              </w:rPr>
            </w:pPr>
            <w:r>
              <w:rPr>
                <w:rFonts w:ascii="Arial" w:cs="Arial" w:eastAsia="Arial" w:hAnsi="Arial"/>
                <w:sz w:val="18"/>
                <w:szCs w:val="18"/>
                <w:color w:val="auto"/>
              </w:rPr>
              <w:t>1,137</w:t>
            </w: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62</w:t>
            </w:r>
          </w:p>
        </w:tc>
        <w:tc>
          <w:tcPr>
            <w:tcW w:w="1060" w:type="dxa"/>
            <w:vAlign w:val="bottom"/>
          </w:tcPr>
          <w:p>
            <w:pPr>
              <w:jc w:val="right"/>
              <w:ind w:right="190"/>
              <w:spacing w:after="0"/>
              <w:rPr>
                <w:sz w:val="20"/>
                <w:szCs w:val="20"/>
                <w:color w:val="auto"/>
              </w:rPr>
            </w:pPr>
            <w:r>
              <w:rPr>
                <w:rFonts w:ascii="Arial" w:cs="Arial" w:eastAsia="Arial" w:hAnsi="Arial"/>
                <w:sz w:val="18"/>
                <w:szCs w:val="18"/>
                <w:color w:val="auto"/>
              </w:rPr>
              <w:t>8,317</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11,856</w:t>
            </w:r>
          </w:p>
        </w:tc>
      </w:tr>
      <w:tr>
        <w:trPr>
          <w:trHeight w:val="230"/>
        </w:trPr>
        <w:tc>
          <w:tcPr>
            <w:tcW w:w="11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1,793</w:t>
            </w:r>
          </w:p>
        </w:tc>
        <w:tc>
          <w:tcPr>
            <w:tcW w:w="9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1,168</w:t>
            </w:r>
          </w:p>
        </w:tc>
        <w:tc>
          <w:tcPr>
            <w:tcW w:w="10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29,463</w:t>
            </w: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32,424</w:t>
            </w:r>
          </w:p>
        </w:tc>
      </w:tr>
      <w:tr>
        <w:trPr>
          <w:trHeight w:val="222"/>
        </w:trPr>
        <w:tc>
          <w:tcPr>
            <w:tcW w:w="1180" w:type="dxa"/>
            <w:vAlign w:val="bottom"/>
          </w:tcPr>
          <w:p>
            <w:pPr>
              <w:jc w:val="right"/>
              <w:ind w:right="230"/>
              <w:spacing w:after="0"/>
              <w:rPr>
                <w:sz w:val="20"/>
                <w:szCs w:val="20"/>
                <w:color w:val="auto"/>
              </w:rPr>
            </w:pPr>
            <w:r>
              <w:rPr>
                <w:rFonts w:ascii="Arial" w:cs="Arial" w:eastAsia="Arial" w:hAnsi="Arial"/>
                <w:sz w:val="18"/>
                <w:szCs w:val="18"/>
                <w:color w:val="auto"/>
              </w:rPr>
              <w:t>3,262</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10"/>
              <w:spacing w:after="0"/>
              <w:rPr>
                <w:sz w:val="20"/>
                <w:szCs w:val="20"/>
                <w:color w:val="auto"/>
              </w:rPr>
            </w:pPr>
            <w:r>
              <w:rPr>
                <w:rFonts w:ascii="Arial" w:cs="Arial" w:eastAsia="Arial" w:hAnsi="Arial"/>
                <w:sz w:val="18"/>
                <w:szCs w:val="18"/>
                <w:color w:val="auto"/>
              </w:rPr>
              <w:t>2,174</w:t>
            </w: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3,062</w:t>
            </w:r>
          </w:p>
        </w:tc>
        <w:tc>
          <w:tcPr>
            <w:tcW w:w="1060" w:type="dxa"/>
            <w:vAlign w:val="bottom"/>
          </w:tcPr>
          <w:p>
            <w:pPr>
              <w:jc w:val="right"/>
              <w:ind w:right="190"/>
              <w:spacing w:after="0"/>
              <w:rPr>
                <w:sz w:val="20"/>
                <w:szCs w:val="20"/>
                <w:color w:val="auto"/>
              </w:rPr>
            </w:pPr>
            <w:r>
              <w:rPr>
                <w:rFonts w:ascii="Arial" w:cs="Arial" w:eastAsia="Arial" w:hAnsi="Arial"/>
                <w:sz w:val="18"/>
                <w:szCs w:val="18"/>
                <w:color w:val="auto"/>
              </w:rPr>
              <w:t>59,255</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67,753</w:t>
            </w:r>
          </w:p>
        </w:tc>
      </w:tr>
      <w:tr>
        <w:trPr>
          <w:trHeight w:val="230"/>
        </w:trPr>
        <w:tc>
          <w:tcPr>
            <w:tcW w:w="11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1,553</w:t>
            </w: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683</w:t>
            </w:r>
          </w:p>
        </w:tc>
        <w:tc>
          <w:tcPr>
            <w:tcW w:w="9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1,868</w:t>
            </w:r>
          </w:p>
        </w:tc>
        <w:tc>
          <w:tcPr>
            <w:tcW w:w="10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25,710</w:t>
            </w: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29,814</w:t>
            </w:r>
          </w:p>
        </w:tc>
      </w:tr>
      <w:tr>
        <w:trPr>
          <w:trHeight w:val="223"/>
        </w:trPr>
        <w:tc>
          <w:tcPr>
            <w:tcW w:w="11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1,709</w:t>
            </w: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1,491</w:t>
            </w:r>
          </w:p>
        </w:tc>
        <w:tc>
          <w:tcPr>
            <w:tcW w:w="9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1,194</w:t>
            </w:r>
          </w:p>
        </w:tc>
        <w:tc>
          <w:tcPr>
            <w:tcW w:w="10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33,545</w:t>
            </w: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37,939</w:t>
            </w:r>
          </w:p>
        </w:tc>
      </w:tr>
      <w:tr>
        <w:trPr>
          <w:trHeight w:val="776"/>
        </w:trPr>
        <w:tc>
          <w:tcPr>
            <w:tcW w:w="11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50,033</w:t>
            </w: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28,710</w:t>
            </w:r>
          </w:p>
        </w:tc>
        <w:tc>
          <w:tcPr>
            <w:tcW w:w="10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2,609</w:t>
            </w:r>
          </w:p>
        </w:tc>
        <w:tc>
          <w:tcPr>
            <w:tcW w:w="9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7,327</w:t>
            </w:r>
          </w:p>
        </w:tc>
        <w:tc>
          <w:tcPr>
            <w:tcW w:w="10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50,080</w:t>
            </w: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15,060</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153,819</w:t>
            </w:r>
          </w:p>
        </w:tc>
      </w:tr>
    </w:tbl>
    <w:p>
      <w:pPr>
        <w:spacing w:after="0" w:line="148" w:lineRule="exact"/>
        <w:rPr>
          <w:sz w:val="20"/>
          <w:szCs w:val="20"/>
          <w:color w:val="auto"/>
        </w:rPr>
      </w:pPr>
    </w:p>
    <w:p>
      <w:pPr>
        <w:sectPr>
          <w:pgSz w:w="11900" w:h="16838" w:orient="portrait"/>
          <w:cols w:equalWidth="0" w:num="2">
            <w:col w:w="3460" w:space="600"/>
            <w:col w:w="7180"/>
          </w:cols>
          <w:pgMar w:left="320" w:top="904" w:right="339" w:bottom="1440" w:gutter="0" w:footer="0" w:header="0"/>
          <w:type w:val="continuous"/>
        </w:sectPr>
      </w:pPr>
    </w:p>
    <w:p>
      <w:pPr>
        <w:ind w:left="340" w:right="20" w:hanging="332"/>
        <w:spacing w:after="0" w:line="277" w:lineRule="auto"/>
        <w:tabs>
          <w:tab w:leader="none" w:pos="334" w:val="left"/>
        </w:tabs>
        <w:numPr>
          <w:ilvl w:val="0"/>
          <w:numId w:val="38"/>
        </w:numPr>
        <w:rPr>
          <w:rFonts w:ascii="Arial" w:cs="Arial" w:eastAsia="Arial" w:hAnsi="Arial"/>
          <w:sz w:val="18"/>
          <w:szCs w:val="18"/>
          <w:i w:val="1"/>
          <w:iCs w:val="1"/>
          <w:color w:val="auto"/>
        </w:rPr>
      </w:pPr>
      <w:r>
        <w:rPr>
          <w:rFonts w:ascii="Arial" w:cs="Arial" w:eastAsia="Arial" w:hAnsi="Arial"/>
          <w:sz w:val="18"/>
          <w:szCs w:val="18"/>
          <w:i w:val="1"/>
          <w:iCs w:val="1"/>
          <w:color w:val="auto"/>
        </w:rPr>
        <w:t>Includes discounted future net cash flows attributable to noncontrolling interests in ExxonMobil consolidated subsidiaries of $(150) million in 2020 and $3,666 million in 2021.</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124" w:name="page125"/>
    <w:bookmarkEnd w:id="124"/>
    <w:p>
      <w:pPr>
        <w:spacing w:after="0"/>
        <w:rPr>
          <w:sz w:val="20"/>
          <w:szCs w:val="20"/>
          <w:color w:val="auto"/>
        </w:rPr>
      </w:pPr>
      <w:r>
        <w:rPr>
          <w:rFonts w:ascii="Arial" w:cs="Arial" w:eastAsia="Arial" w:hAnsi="Arial"/>
          <w:sz w:val="18"/>
          <w:szCs w:val="18"/>
          <w:b w:val="1"/>
          <w:bCs w:val="1"/>
          <w:color w:val="auto"/>
        </w:rPr>
        <w:t>Change in Standardized Measure of Discounted Future Net Cash Flows Relating to Proved Oil and Gas Reserves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Consolidated and Equity Interests</w:t>
            </w:r>
          </w:p>
        </w:tc>
        <w:tc>
          <w:tcPr>
            <w:tcW w:w="9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16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8"/>
        </w:trPr>
        <w:tc>
          <w:tcPr>
            <w:tcW w:w="5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40" w:type="dxa"/>
            <w:vAlign w:val="bottom"/>
          </w:tcPr>
          <w:p>
            <w:pPr>
              <w:jc w:val="center"/>
              <w:ind w:right="4"/>
              <w:spacing w:after="0" w:line="129" w:lineRule="exact"/>
              <w:rPr>
                <w:sz w:val="20"/>
                <w:szCs w:val="20"/>
                <w:color w:val="auto"/>
              </w:rPr>
            </w:pPr>
            <w:r>
              <w:rPr>
                <w:rFonts w:ascii="Arial" w:cs="Arial" w:eastAsia="Arial" w:hAnsi="Arial"/>
                <w:sz w:val="14"/>
                <w:szCs w:val="14"/>
                <w:b w:val="1"/>
                <w:bCs w:val="1"/>
                <w:color w:val="auto"/>
                <w:w w:val="90"/>
              </w:rPr>
              <w:t>Consolidated</w:t>
            </w:r>
          </w:p>
        </w:tc>
        <w:tc>
          <w:tcPr>
            <w:tcW w:w="17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4"/>
              </w:rPr>
              <w:t>Share of Equity Method</w:t>
            </w:r>
          </w:p>
        </w:tc>
        <w:tc>
          <w:tcPr>
            <w:tcW w:w="16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1"/>
              </w:rPr>
              <w:t>Total Consolidated and</w:t>
            </w:r>
          </w:p>
        </w:tc>
        <w:tc>
          <w:tcPr>
            <w:tcW w:w="0" w:type="dxa"/>
            <w:vAlign w:val="bottom"/>
          </w:tcPr>
          <w:p>
            <w:pPr>
              <w:spacing w:after="0"/>
              <w:rPr>
                <w:sz w:val="1"/>
                <w:szCs w:val="1"/>
                <w:color w:val="auto"/>
              </w:rPr>
            </w:pPr>
          </w:p>
        </w:tc>
      </w:tr>
      <w:tr>
        <w:trPr>
          <w:trHeight w:val="188"/>
        </w:trPr>
        <w:tc>
          <w:tcPr>
            <w:tcW w:w="5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4"/>
              <w:spacing w:after="0"/>
              <w:rPr>
                <w:sz w:val="20"/>
                <w:szCs w:val="20"/>
                <w:color w:val="auto"/>
              </w:rPr>
            </w:pPr>
            <w:r>
              <w:rPr>
                <w:rFonts w:ascii="Arial" w:cs="Arial" w:eastAsia="Arial" w:hAnsi="Arial"/>
                <w:sz w:val="14"/>
                <w:szCs w:val="14"/>
                <w:b w:val="1"/>
                <w:bCs w:val="1"/>
                <w:color w:val="auto"/>
                <w:w w:val="91"/>
              </w:rPr>
              <w:t>Subsidiaries</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Investees</w:t>
            </w: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Equity Interests</w:t>
            </w:r>
          </w:p>
        </w:tc>
        <w:tc>
          <w:tcPr>
            <w:tcW w:w="0" w:type="dxa"/>
            <w:vAlign w:val="bottom"/>
          </w:tcPr>
          <w:p>
            <w:pPr>
              <w:spacing w:after="0"/>
              <w:rPr>
                <w:sz w:val="1"/>
                <w:szCs w:val="1"/>
                <w:color w:val="auto"/>
              </w:rPr>
            </w:pPr>
          </w:p>
        </w:tc>
      </w:tr>
      <w:tr>
        <w:trPr>
          <w:trHeight w:val="185"/>
        </w:trPr>
        <w:tc>
          <w:tcPr>
            <w:tcW w:w="5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720" w:type="dxa"/>
            <w:vAlign w:val="bottom"/>
          </w:tcPr>
          <w:p>
            <w:pPr>
              <w:jc w:val="center"/>
              <w:spacing w:after="0"/>
              <w:rPr>
                <w:sz w:val="20"/>
                <w:szCs w:val="20"/>
                <w:color w:val="auto"/>
              </w:rPr>
            </w:pPr>
            <w:r>
              <w:rPr>
                <w:rFonts w:ascii="Arial" w:cs="Arial" w:eastAsia="Arial" w:hAnsi="Arial"/>
                <w:sz w:val="14"/>
                <w:szCs w:val="14"/>
                <w:i w:val="1"/>
                <w:iCs w:val="1"/>
                <w:color w:val="auto"/>
                <w:w w:val="99"/>
              </w:rPr>
              <w:t>(millions of dollars)</w:t>
            </w: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5300" w:type="dxa"/>
            <w:vAlign w:val="bottom"/>
          </w:tcPr>
          <w:p>
            <w:pPr>
              <w:ind w:left="20"/>
              <w:spacing w:after="0"/>
              <w:rPr>
                <w:sz w:val="20"/>
                <w:szCs w:val="20"/>
                <w:color w:val="auto"/>
              </w:rPr>
            </w:pPr>
            <w:r>
              <w:rPr>
                <w:rFonts w:ascii="Arial" w:cs="Arial" w:eastAsia="Arial" w:hAnsi="Arial"/>
                <w:sz w:val="18"/>
                <w:szCs w:val="18"/>
                <w:color w:val="auto"/>
              </w:rPr>
              <w:t>Discounted future net cash flows as of December 31, 2018</w:t>
            </w:r>
          </w:p>
        </w:tc>
        <w:tc>
          <w:tcPr>
            <w:tcW w:w="2600" w:type="dxa"/>
            <w:vAlign w:val="bottom"/>
            <w:gridSpan w:val="3"/>
          </w:tcPr>
          <w:p>
            <w:pPr>
              <w:jc w:val="right"/>
              <w:ind w:right="64"/>
              <w:spacing w:after="0"/>
              <w:rPr>
                <w:sz w:val="20"/>
                <w:szCs w:val="20"/>
                <w:color w:val="auto"/>
              </w:rPr>
            </w:pPr>
            <w:r>
              <w:rPr>
                <w:rFonts w:ascii="Arial" w:cs="Arial" w:eastAsia="Arial" w:hAnsi="Arial"/>
                <w:sz w:val="18"/>
                <w:szCs w:val="18"/>
                <w:color w:val="auto"/>
              </w:rPr>
              <w:t>106,104</w:t>
            </w:r>
          </w:p>
        </w:tc>
        <w:tc>
          <w:tcPr>
            <w:tcW w:w="1720" w:type="dxa"/>
            <w:vAlign w:val="bottom"/>
          </w:tcPr>
          <w:p>
            <w:pPr>
              <w:jc w:val="right"/>
              <w:ind w:right="75"/>
              <w:spacing w:after="0"/>
              <w:rPr>
                <w:sz w:val="20"/>
                <w:szCs w:val="20"/>
                <w:color w:val="auto"/>
              </w:rPr>
            </w:pPr>
            <w:r>
              <w:rPr>
                <w:rFonts w:ascii="Arial" w:cs="Arial" w:eastAsia="Arial" w:hAnsi="Arial"/>
                <w:sz w:val="18"/>
                <w:szCs w:val="18"/>
                <w:color w:val="auto"/>
              </w:rPr>
              <w:t>37,572</w:t>
            </w:r>
          </w:p>
        </w:tc>
        <w:tc>
          <w:tcPr>
            <w:tcW w:w="1620" w:type="dxa"/>
            <w:vAlign w:val="bottom"/>
          </w:tcPr>
          <w:p>
            <w:pPr>
              <w:jc w:val="right"/>
              <w:spacing w:after="0"/>
              <w:rPr>
                <w:sz w:val="20"/>
                <w:szCs w:val="20"/>
                <w:color w:val="auto"/>
              </w:rPr>
            </w:pPr>
            <w:r>
              <w:rPr>
                <w:rFonts w:ascii="Arial" w:cs="Arial" w:eastAsia="Arial" w:hAnsi="Arial"/>
                <w:sz w:val="18"/>
                <w:szCs w:val="18"/>
                <w:color w:val="auto"/>
              </w:rPr>
              <w:t>143,676</w:t>
            </w:r>
          </w:p>
        </w:tc>
        <w:tc>
          <w:tcPr>
            <w:tcW w:w="0" w:type="dxa"/>
            <w:vAlign w:val="bottom"/>
          </w:tcPr>
          <w:p>
            <w:pPr>
              <w:spacing w:after="0"/>
              <w:rPr>
                <w:sz w:val="1"/>
                <w:szCs w:val="1"/>
                <w:color w:val="auto"/>
              </w:rPr>
            </w:pPr>
          </w:p>
        </w:tc>
      </w:tr>
      <w:tr>
        <w:trPr>
          <w:trHeight w:val="432"/>
        </w:trPr>
        <w:tc>
          <w:tcPr>
            <w:tcW w:w="5300" w:type="dxa"/>
            <w:vAlign w:val="bottom"/>
          </w:tcPr>
          <w:p>
            <w:pPr>
              <w:ind w:left="20"/>
              <w:spacing w:after="0"/>
              <w:rPr>
                <w:sz w:val="20"/>
                <w:szCs w:val="20"/>
                <w:color w:val="auto"/>
              </w:rPr>
            </w:pPr>
            <w:r>
              <w:rPr>
                <w:rFonts w:ascii="Arial" w:cs="Arial" w:eastAsia="Arial" w:hAnsi="Arial"/>
                <w:sz w:val="18"/>
                <w:szCs w:val="18"/>
                <w:color w:val="auto"/>
                <w:w w:val="92"/>
              </w:rPr>
              <w:t>Value of reserves added during the year due to extensions, discoveries,</w:t>
            </w:r>
          </w:p>
        </w:tc>
        <w:tc>
          <w:tcPr>
            <w:tcW w:w="2600" w:type="dxa"/>
            <w:vAlign w:val="bottom"/>
            <w:gridSpan w:val="3"/>
            <w:vMerge w:val="restart"/>
          </w:tcPr>
          <w:p>
            <w:pPr>
              <w:jc w:val="right"/>
              <w:ind w:right="4"/>
              <w:spacing w:after="0"/>
              <w:rPr>
                <w:sz w:val="20"/>
                <w:szCs w:val="20"/>
                <w:color w:val="auto"/>
              </w:rPr>
            </w:pPr>
            <w:r>
              <w:rPr>
                <w:rFonts w:ascii="Arial" w:cs="Arial" w:eastAsia="Arial" w:hAnsi="Arial"/>
                <w:sz w:val="18"/>
                <w:szCs w:val="18"/>
                <w:color w:val="auto"/>
              </w:rPr>
              <w:t>(1,252)</w:t>
            </w:r>
          </w:p>
        </w:tc>
        <w:tc>
          <w:tcPr>
            <w:tcW w:w="1720" w:type="dxa"/>
            <w:vAlign w:val="bottom"/>
            <w:vMerge w:val="restart"/>
          </w:tcPr>
          <w:p>
            <w:pPr>
              <w:jc w:val="right"/>
              <w:ind w:right="75"/>
              <w:spacing w:after="0"/>
              <w:rPr>
                <w:sz w:val="20"/>
                <w:szCs w:val="20"/>
                <w:color w:val="auto"/>
              </w:rPr>
            </w:pPr>
            <w:r>
              <w:rPr>
                <w:rFonts w:ascii="Arial" w:cs="Arial" w:eastAsia="Arial" w:hAnsi="Arial"/>
                <w:sz w:val="18"/>
                <w:szCs w:val="18"/>
                <w:color w:val="auto"/>
              </w:rPr>
              <w:t>4</w:t>
            </w:r>
          </w:p>
        </w:tc>
        <w:tc>
          <w:tcPr>
            <w:tcW w:w="1620" w:type="dxa"/>
            <w:vAlign w:val="bottom"/>
            <w:vMerge w:val="restart"/>
          </w:tcPr>
          <w:p>
            <w:pPr>
              <w:jc w:val="right"/>
              <w:spacing w:after="0"/>
              <w:rPr>
                <w:sz w:val="20"/>
                <w:szCs w:val="20"/>
                <w:color w:val="auto"/>
              </w:rPr>
            </w:pPr>
            <w:r>
              <w:rPr>
                <w:rFonts w:ascii="Arial" w:cs="Arial" w:eastAsia="Arial" w:hAnsi="Arial"/>
                <w:sz w:val="18"/>
                <w:szCs w:val="18"/>
                <w:color w:val="auto"/>
              </w:rPr>
              <w:t>(1,248)</w:t>
            </w:r>
          </w:p>
        </w:tc>
        <w:tc>
          <w:tcPr>
            <w:tcW w:w="0" w:type="dxa"/>
            <w:vAlign w:val="bottom"/>
          </w:tcPr>
          <w:p>
            <w:pPr>
              <w:spacing w:after="0"/>
              <w:rPr>
                <w:sz w:val="1"/>
                <w:szCs w:val="1"/>
                <w:color w:val="auto"/>
              </w:rPr>
            </w:pPr>
          </w:p>
        </w:tc>
      </w:tr>
      <w:tr>
        <w:trPr>
          <w:trHeight w:val="229"/>
        </w:trPr>
        <w:tc>
          <w:tcPr>
            <w:tcW w:w="5300" w:type="dxa"/>
            <w:vAlign w:val="bottom"/>
          </w:tcPr>
          <w:p>
            <w:pPr>
              <w:jc w:val="center"/>
              <w:ind w:right="350"/>
              <w:spacing w:after="0"/>
              <w:rPr>
                <w:sz w:val="20"/>
                <w:szCs w:val="20"/>
                <w:color w:val="auto"/>
              </w:rPr>
            </w:pPr>
            <w:r>
              <w:rPr>
                <w:rFonts w:ascii="Arial" w:cs="Arial" w:eastAsia="Arial" w:hAnsi="Arial"/>
                <w:sz w:val="18"/>
                <w:szCs w:val="18"/>
                <w:color w:val="auto"/>
                <w:w w:val="88"/>
              </w:rPr>
              <w:t>improved recovery and net purchases/sales less related costs</w:t>
            </w:r>
          </w:p>
        </w:tc>
        <w:tc>
          <w:tcPr>
            <w:tcW w:w="2600" w:type="dxa"/>
            <w:vAlign w:val="bottom"/>
            <w:gridSpan w:val="3"/>
            <w:vMerge w:val="continue"/>
          </w:tcPr>
          <w:p>
            <w:pPr>
              <w:spacing w:after="0"/>
              <w:rPr>
                <w:sz w:val="19"/>
                <w:szCs w:val="19"/>
                <w:color w:val="auto"/>
              </w:rPr>
            </w:pPr>
          </w:p>
        </w:tc>
        <w:tc>
          <w:tcPr>
            <w:tcW w:w="1720" w:type="dxa"/>
            <w:vAlign w:val="bottom"/>
            <w:vMerge w:val="continue"/>
          </w:tcPr>
          <w:p>
            <w:pPr>
              <w:spacing w:after="0"/>
              <w:rPr>
                <w:sz w:val="19"/>
                <w:szCs w:val="19"/>
                <w:color w:val="auto"/>
              </w:rPr>
            </w:pPr>
          </w:p>
        </w:tc>
        <w:tc>
          <w:tcPr>
            <w:tcW w:w="16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tcPr>
          <w:p>
            <w:pPr>
              <w:ind w:left="20"/>
              <w:spacing w:after="0"/>
              <w:rPr>
                <w:sz w:val="20"/>
                <w:szCs w:val="20"/>
                <w:color w:val="auto"/>
              </w:rPr>
            </w:pPr>
            <w:r>
              <w:rPr>
                <w:rFonts w:ascii="Arial" w:cs="Arial" w:eastAsia="Arial" w:hAnsi="Arial"/>
                <w:sz w:val="18"/>
                <w:szCs w:val="18"/>
                <w:color w:val="auto"/>
              </w:rPr>
              <w:t>Changes in value of previous-year reserves due to:</w:t>
            </w: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300" w:type="dxa"/>
            <w:vAlign w:val="bottom"/>
          </w:tcPr>
          <w:p>
            <w:pPr>
              <w:ind w:left="220"/>
              <w:spacing w:after="0" w:line="176" w:lineRule="exact"/>
              <w:rPr>
                <w:sz w:val="20"/>
                <w:szCs w:val="20"/>
                <w:color w:val="auto"/>
              </w:rPr>
            </w:pPr>
            <w:r>
              <w:rPr>
                <w:rFonts w:ascii="Arial" w:cs="Arial" w:eastAsia="Arial" w:hAnsi="Arial"/>
                <w:sz w:val="18"/>
                <w:szCs w:val="18"/>
                <w:color w:val="auto"/>
                <w:w w:val="95"/>
              </w:rPr>
              <w:t>Sales and transfers of oil and gas produced during the year, net of</w:t>
            </w:r>
          </w:p>
        </w:tc>
        <w:tc>
          <w:tcPr>
            <w:tcW w:w="2600" w:type="dxa"/>
            <w:vAlign w:val="bottom"/>
            <w:gridSpan w:val="3"/>
            <w:vMerge w:val="restart"/>
          </w:tcPr>
          <w:p>
            <w:pPr>
              <w:jc w:val="right"/>
              <w:ind w:right="4"/>
              <w:spacing w:after="0"/>
              <w:rPr>
                <w:sz w:val="20"/>
                <w:szCs w:val="20"/>
                <w:color w:val="auto"/>
              </w:rPr>
            </w:pPr>
            <w:r>
              <w:rPr>
                <w:rFonts w:ascii="Arial" w:cs="Arial" w:eastAsia="Arial" w:hAnsi="Arial"/>
                <w:sz w:val="18"/>
                <w:szCs w:val="18"/>
                <w:color w:val="auto"/>
              </w:rPr>
              <w:t>(29,159)</w:t>
            </w:r>
          </w:p>
        </w:tc>
        <w:tc>
          <w:tcPr>
            <w:tcW w:w="1720" w:type="dxa"/>
            <w:vAlign w:val="bottom"/>
            <w:vMerge w:val="restart"/>
          </w:tcPr>
          <w:p>
            <w:pPr>
              <w:jc w:val="right"/>
              <w:ind w:right="15"/>
              <w:spacing w:after="0"/>
              <w:rPr>
                <w:sz w:val="20"/>
                <w:szCs w:val="20"/>
                <w:color w:val="auto"/>
              </w:rPr>
            </w:pPr>
            <w:r>
              <w:rPr>
                <w:rFonts w:ascii="Arial" w:cs="Arial" w:eastAsia="Arial" w:hAnsi="Arial"/>
                <w:sz w:val="18"/>
                <w:szCs w:val="18"/>
                <w:color w:val="auto"/>
              </w:rPr>
              <w:t>(8,202)</w:t>
            </w:r>
          </w:p>
        </w:tc>
        <w:tc>
          <w:tcPr>
            <w:tcW w:w="1620" w:type="dxa"/>
            <w:vAlign w:val="bottom"/>
            <w:vMerge w:val="restart"/>
          </w:tcPr>
          <w:p>
            <w:pPr>
              <w:jc w:val="right"/>
              <w:spacing w:after="0"/>
              <w:rPr>
                <w:sz w:val="20"/>
                <w:szCs w:val="20"/>
                <w:color w:val="auto"/>
              </w:rPr>
            </w:pPr>
            <w:r>
              <w:rPr>
                <w:rFonts w:ascii="Arial" w:cs="Arial" w:eastAsia="Arial" w:hAnsi="Arial"/>
                <w:sz w:val="18"/>
                <w:szCs w:val="18"/>
                <w:color w:val="auto"/>
              </w:rPr>
              <w:t>(37,361)</w:t>
            </w:r>
          </w:p>
        </w:tc>
        <w:tc>
          <w:tcPr>
            <w:tcW w:w="0" w:type="dxa"/>
            <w:vAlign w:val="bottom"/>
          </w:tcPr>
          <w:p>
            <w:pPr>
              <w:spacing w:after="0"/>
              <w:rPr>
                <w:sz w:val="1"/>
                <w:szCs w:val="1"/>
                <w:color w:val="auto"/>
              </w:rPr>
            </w:pPr>
          </w:p>
        </w:tc>
      </w:tr>
      <w:tr>
        <w:trPr>
          <w:trHeight w:val="229"/>
        </w:trPr>
        <w:tc>
          <w:tcPr>
            <w:tcW w:w="5300" w:type="dxa"/>
            <w:vAlign w:val="bottom"/>
          </w:tcPr>
          <w:p>
            <w:pPr>
              <w:ind w:left="460"/>
              <w:spacing w:after="0"/>
              <w:rPr>
                <w:sz w:val="20"/>
                <w:szCs w:val="20"/>
                <w:color w:val="auto"/>
              </w:rPr>
            </w:pPr>
            <w:r>
              <w:rPr>
                <w:rFonts w:ascii="Arial" w:cs="Arial" w:eastAsia="Arial" w:hAnsi="Arial"/>
                <w:sz w:val="18"/>
                <w:szCs w:val="18"/>
                <w:color w:val="auto"/>
              </w:rPr>
              <w:t>production (lifting) costs</w:t>
            </w:r>
          </w:p>
        </w:tc>
        <w:tc>
          <w:tcPr>
            <w:tcW w:w="2600" w:type="dxa"/>
            <w:vAlign w:val="bottom"/>
            <w:gridSpan w:val="3"/>
            <w:vMerge w:val="continue"/>
          </w:tcPr>
          <w:p>
            <w:pPr>
              <w:spacing w:after="0"/>
              <w:rPr>
                <w:sz w:val="19"/>
                <w:szCs w:val="19"/>
                <w:color w:val="auto"/>
              </w:rPr>
            </w:pPr>
          </w:p>
        </w:tc>
        <w:tc>
          <w:tcPr>
            <w:tcW w:w="1720" w:type="dxa"/>
            <w:vAlign w:val="bottom"/>
            <w:vMerge w:val="continue"/>
          </w:tcPr>
          <w:p>
            <w:pPr>
              <w:spacing w:after="0"/>
              <w:rPr>
                <w:sz w:val="19"/>
                <w:szCs w:val="19"/>
                <w:color w:val="auto"/>
              </w:rPr>
            </w:pPr>
          </w:p>
        </w:tc>
        <w:tc>
          <w:tcPr>
            <w:tcW w:w="16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tcPr>
          <w:p>
            <w:pPr>
              <w:ind w:left="220"/>
              <w:spacing w:after="0"/>
              <w:rPr>
                <w:sz w:val="20"/>
                <w:szCs w:val="20"/>
                <w:color w:val="auto"/>
              </w:rPr>
            </w:pPr>
            <w:r>
              <w:rPr>
                <w:rFonts w:ascii="Arial" w:cs="Arial" w:eastAsia="Arial" w:hAnsi="Arial"/>
                <w:sz w:val="18"/>
                <w:szCs w:val="18"/>
                <w:color w:val="auto"/>
              </w:rPr>
              <w:t>Development costs incurred during the year</w:t>
            </w:r>
          </w:p>
        </w:tc>
        <w:tc>
          <w:tcPr>
            <w:tcW w:w="2600" w:type="dxa"/>
            <w:vAlign w:val="bottom"/>
            <w:gridSpan w:val="3"/>
          </w:tcPr>
          <w:p>
            <w:pPr>
              <w:jc w:val="right"/>
              <w:ind w:right="64"/>
              <w:spacing w:after="0"/>
              <w:rPr>
                <w:sz w:val="20"/>
                <w:szCs w:val="20"/>
                <w:color w:val="auto"/>
              </w:rPr>
            </w:pPr>
            <w:r>
              <w:rPr>
                <w:rFonts w:ascii="Arial" w:cs="Arial" w:eastAsia="Arial" w:hAnsi="Arial"/>
                <w:sz w:val="18"/>
                <w:szCs w:val="18"/>
                <w:color w:val="auto"/>
              </w:rPr>
              <w:t>16,544</w:t>
            </w:r>
          </w:p>
        </w:tc>
        <w:tc>
          <w:tcPr>
            <w:tcW w:w="1720" w:type="dxa"/>
            <w:vAlign w:val="bottom"/>
          </w:tcPr>
          <w:p>
            <w:pPr>
              <w:jc w:val="right"/>
              <w:ind w:right="75"/>
              <w:spacing w:after="0"/>
              <w:rPr>
                <w:sz w:val="20"/>
                <w:szCs w:val="20"/>
                <w:color w:val="auto"/>
              </w:rPr>
            </w:pPr>
            <w:r>
              <w:rPr>
                <w:rFonts w:ascii="Arial" w:cs="Arial" w:eastAsia="Arial" w:hAnsi="Arial"/>
                <w:sz w:val="18"/>
                <w:szCs w:val="18"/>
                <w:color w:val="auto"/>
              </w:rPr>
              <w:t>2,927</w:t>
            </w:r>
          </w:p>
        </w:tc>
        <w:tc>
          <w:tcPr>
            <w:tcW w:w="1620" w:type="dxa"/>
            <w:vAlign w:val="bottom"/>
          </w:tcPr>
          <w:p>
            <w:pPr>
              <w:jc w:val="right"/>
              <w:spacing w:after="0"/>
              <w:rPr>
                <w:sz w:val="20"/>
                <w:szCs w:val="20"/>
                <w:color w:val="auto"/>
              </w:rPr>
            </w:pPr>
            <w:r>
              <w:rPr>
                <w:rFonts w:ascii="Arial" w:cs="Arial" w:eastAsia="Arial" w:hAnsi="Arial"/>
                <w:sz w:val="18"/>
                <w:szCs w:val="18"/>
                <w:color w:val="auto"/>
              </w:rPr>
              <w:t>19,471</w:t>
            </w:r>
          </w:p>
        </w:tc>
        <w:tc>
          <w:tcPr>
            <w:tcW w:w="0" w:type="dxa"/>
            <w:vAlign w:val="bottom"/>
          </w:tcPr>
          <w:p>
            <w:pPr>
              <w:spacing w:after="0"/>
              <w:rPr>
                <w:sz w:val="1"/>
                <w:szCs w:val="1"/>
                <w:color w:val="auto"/>
              </w:rPr>
            </w:pPr>
          </w:p>
        </w:tc>
      </w:tr>
      <w:tr>
        <w:trPr>
          <w:trHeight w:val="230"/>
        </w:trPr>
        <w:tc>
          <w:tcPr>
            <w:tcW w:w="5300" w:type="dxa"/>
            <w:vAlign w:val="bottom"/>
          </w:tcPr>
          <w:p>
            <w:pPr>
              <w:ind w:left="220"/>
              <w:spacing w:after="0"/>
              <w:rPr>
                <w:sz w:val="20"/>
                <w:szCs w:val="20"/>
                <w:color w:val="auto"/>
              </w:rPr>
            </w:pPr>
            <w:r>
              <w:rPr>
                <w:rFonts w:ascii="Arial" w:cs="Arial" w:eastAsia="Arial" w:hAnsi="Arial"/>
                <w:sz w:val="18"/>
                <w:szCs w:val="18"/>
                <w:color w:val="auto"/>
              </w:rPr>
              <w:t>Net change in prices, lifting and development costs</w:t>
            </w:r>
          </w:p>
        </w:tc>
        <w:tc>
          <w:tcPr>
            <w:tcW w:w="2600" w:type="dxa"/>
            <w:vAlign w:val="bottom"/>
            <w:gridSpan w:val="3"/>
          </w:tcPr>
          <w:p>
            <w:pPr>
              <w:jc w:val="right"/>
              <w:ind w:right="4"/>
              <w:spacing w:after="0"/>
              <w:rPr>
                <w:sz w:val="20"/>
                <w:szCs w:val="20"/>
                <w:color w:val="auto"/>
              </w:rPr>
            </w:pPr>
            <w:r>
              <w:rPr>
                <w:rFonts w:ascii="Arial" w:cs="Arial" w:eastAsia="Arial" w:hAnsi="Arial"/>
                <w:sz w:val="18"/>
                <w:szCs w:val="18"/>
                <w:color w:val="auto"/>
              </w:rPr>
              <w:t>(66,455)</w:t>
            </w:r>
          </w:p>
        </w:tc>
        <w:tc>
          <w:tcPr>
            <w:tcW w:w="1720" w:type="dxa"/>
            <w:vAlign w:val="bottom"/>
          </w:tcPr>
          <w:p>
            <w:pPr>
              <w:jc w:val="right"/>
              <w:ind w:right="15"/>
              <w:spacing w:after="0"/>
              <w:rPr>
                <w:sz w:val="20"/>
                <w:szCs w:val="20"/>
                <w:color w:val="auto"/>
              </w:rPr>
            </w:pPr>
            <w:r>
              <w:rPr>
                <w:rFonts w:ascii="Arial" w:cs="Arial" w:eastAsia="Arial" w:hAnsi="Arial"/>
                <w:sz w:val="18"/>
                <w:szCs w:val="18"/>
                <w:color w:val="auto"/>
              </w:rPr>
              <w:t>(21,046)</w:t>
            </w:r>
          </w:p>
        </w:tc>
        <w:tc>
          <w:tcPr>
            <w:tcW w:w="1620" w:type="dxa"/>
            <w:vAlign w:val="bottom"/>
          </w:tcPr>
          <w:p>
            <w:pPr>
              <w:jc w:val="right"/>
              <w:spacing w:after="0"/>
              <w:rPr>
                <w:sz w:val="20"/>
                <w:szCs w:val="20"/>
                <w:color w:val="auto"/>
              </w:rPr>
            </w:pPr>
            <w:r>
              <w:rPr>
                <w:rFonts w:ascii="Arial" w:cs="Arial" w:eastAsia="Arial" w:hAnsi="Arial"/>
                <w:sz w:val="18"/>
                <w:szCs w:val="18"/>
                <w:color w:val="auto"/>
              </w:rPr>
              <w:t>(87,501)</w:t>
            </w:r>
          </w:p>
        </w:tc>
        <w:tc>
          <w:tcPr>
            <w:tcW w:w="0" w:type="dxa"/>
            <w:vAlign w:val="bottom"/>
          </w:tcPr>
          <w:p>
            <w:pPr>
              <w:spacing w:after="0"/>
              <w:rPr>
                <w:sz w:val="1"/>
                <w:szCs w:val="1"/>
                <w:color w:val="auto"/>
              </w:rPr>
            </w:pPr>
          </w:p>
        </w:tc>
      </w:tr>
      <w:tr>
        <w:trPr>
          <w:trHeight w:val="229"/>
        </w:trPr>
        <w:tc>
          <w:tcPr>
            <w:tcW w:w="5300" w:type="dxa"/>
            <w:vAlign w:val="bottom"/>
          </w:tcPr>
          <w:p>
            <w:pPr>
              <w:ind w:left="220"/>
              <w:spacing w:after="0"/>
              <w:rPr>
                <w:sz w:val="20"/>
                <w:szCs w:val="20"/>
                <w:color w:val="auto"/>
              </w:rPr>
            </w:pPr>
            <w:r>
              <w:rPr>
                <w:rFonts w:ascii="Arial" w:cs="Arial" w:eastAsia="Arial" w:hAnsi="Arial"/>
                <w:sz w:val="18"/>
                <w:szCs w:val="18"/>
                <w:color w:val="auto"/>
              </w:rPr>
              <w:t>Revisions of previous reserves estimates</w:t>
            </w:r>
          </w:p>
        </w:tc>
        <w:tc>
          <w:tcPr>
            <w:tcW w:w="2600" w:type="dxa"/>
            <w:vAlign w:val="bottom"/>
            <w:gridSpan w:val="3"/>
          </w:tcPr>
          <w:p>
            <w:pPr>
              <w:jc w:val="right"/>
              <w:ind w:right="64"/>
              <w:spacing w:after="0"/>
              <w:rPr>
                <w:sz w:val="20"/>
                <w:szCs w:val="20"/>
                <w:color w:val="auto"/>
              </w:rPr>
            </w:pPr>
            <w:r>
              <w:rPr>
                <w:rFonts w:ascii="Arial" w:cs="Arial" w:eastAsia="Arial" w:hAnsi="Arial"/>
                <w:sz w:val="18"/>
                <w:szCs w:val="18"/>
                <w:color w:val="auto"/>
              </w:rPr>
              <w:t>4,906</w:t>
            </w:r>
          </w:p>
        </w:tc>
        <w:tc>
          <w:tcPr>
            <w:tcW w:w="1720" w:type="dxa"/>
            <w:vAlign w:val="bottom"/>
          </w:tcPr>
          <w:p>
            <w:pPr>
              <w:jc w:val="right"/>
              <w:ind w:right="75"/>
              <w:spacing w:after="0"/>
              <w:rPr>
                <w:sz w:val="20"/>
                <w:szCs w:val="20"/>
                <w:color w:val="auto"/>
              </w:rPr>
            </w:pPr>
            <w:r>
              <w:rPr>
                <w:rFonts w:ascii="Arial" w:cs="Arial" w:eastAsia="Arial" w:hAnsi="Arial"/>
                <w:sz w:val="18"/>
                <w:szCs w:val="18"/>
                <w:color w:val="auto"/>
              </w:rPr>
              <w:t>657</w:t>
            </w:r>
          </w:p>
        </w:tc>
        <w:tc>
          <w:tcPr>
            <w:tcW w:w="1620" w:type="dxa"/>
            <w:vAlign w:val="bottom"/>
          </w:tcPr>
          <w:p>
            <w:pPr>
              <w:jc w:val="right"/>
              <w:spacing w:after="0"/>
              <w:rPr>
                <w:sz w:val="20"/>
                <w:szCs w:val="20"/>
                <w:color w:val="auto"/>
              </w:rPr>
            </w:pPr>
            <w:r>
              <w:rPr>
                <w:rFonts w:ascii="Arial" w:cs="Arial" w:eastAsia="Arial" w:hAnsi="Arial"/>
                <w:sz w:val="18"/>
                <w:szCs w:val="18"/>
                <w:color w:val="auto"/>
              </w:rPr>
              <w:t>5,563</w:t>
            </w:r>
          </w:p>
        </w:tc>
        <w:tc>
          <w:tcPr>
            <w:tcW w:w="0" w:type="dxa"/>
            <w:vAlign w:val="bottom"/>
          </w:tcPr>
          <w:p>
            <w:pPr>
              <w:spacing w:after="0"/>
              <w:rPr>
                <w:sz w:val="1"/>
                <w:szCs w:val="1"/>
                <w:color w:val="auto"/>
              </w:rPr>
            </w:pPr>
          </w:p>
        </w:tc>
      </w:tr>
      <w:tr>
        <w:trPr>
          <w:trHeight w:val="230"/>
        </w:trPr>
        <w:tc>
          <w:tcPr>
            <w:tcW w:w="5300" w:type="dxa"/>
            <w:vAlign w:val="bottom"/>
          </w:tcPr>
          <w:p>
            <w:pPr>
              <w:ind w:left="220"/>
              <w:spacing w:after="0"/>
              <w:rPr>
                <w:sz w:val="20"/>
                <w:szCs w:val="20"/>
                <w:color w:val="auto"/>
              </w:rPr>
            </w:pPr>
            <w:r>
              <w:rPr>
                <w:rFonts w:ascii="Arial" w:cs="Arial" w:eastAsia="Arial" w:hAnsi="Arial"/>
                <w:sz w:val="18"/>
                <w:szCs w:val="18"/>
                <w:color w:val="auto"/>
              </w:rPr>
              <w:t>Accretion of discount</w:t>
            </w:r>
          </w:p>
        </w:tc>
        <w:tc>
          <w:tcPr>
            <w:tcW w:w="2600" w:type="dxa"/>
            <w:vAlign w:val="bottom"/>
            <w:gridSpan w:val="3"/>
          </w:tcPr>
          <w:p>
            <w:pPr>
              <w:jc w:val="right"/>
              <w:ind w:right="64"/>
              <w:spacing w:after="0"/>
              <w:rPr>
                <w:sz w:val="20"/>
                <w:szCs w:val="20"/>
                <w:color w:val="auto"/>
              </w:rPr>
            </w:pPr>
            <w:r>
              <w:rPr>
                <w:rFonts w:ascii="Arial" w:cs="Arial" w:eastAsia="Arial" w:hAnsi="Arial"/>
                <w:sz w:val="18"/>
                <w:szCs w:val="18"/>
                <w:color w:val="auto"/>
              </w:rPr>
              <w:t>11,433</w:t>
            </w:r>
          </w:p>
        </w:tc>
        <w:tc>
          <w:tcPr>
            <w:tcW w:w="1720" w:type="dxa"/>
            <w:vAlign w:val="bottom"/>
          </w:tcPr>
          <w:p>
            <w:pPr>
              <w:jc w:val="right"/>
              <w:ind w:right="75"/>
              <w:spacing w:after="0"/>
              <w:rPr>
                <w:sz w:val="20"/>
                <w:szCs w:val="20"/>
                <w:color w:val="auto"/>
              </w:rPr>
            </w:pPr>
            <w:r>
              <w:rPr>
                <w:rFonts w:ascii="Arial" w:cs="Arial" w:eastAsia="Arial" w:hAnsi="Arial"/>
                <w:sz w:val="18"/>
                <w:szCs w:val="18"/>
                <w:color w:val="auto"/>
              </w:rPr>
              <w:t>3,956</w:t>
            </w:r>
          </w:p>
        </w:tc>
        <w:tc>
          <w:tcPr>
            <w:tcW w:w="1620" w:type="dxa"/>
            <w:vAlign w:val="bottom"/>
          </w:tcPr>
          <w:p>
            <w:pPr>
              <w:jc w:val="right"/>
              <w:spacing w:after="0"/>
              <w:rPr>
                <w:sz w:val="20"/>
                <w:szCs w:val="20"/>
                <w:color w:val="auto"/>
              </w:rPr>
            </w:pPr>
            <w:r>
              <w:rPr>
                <w:rFonts w:ascii="Arial" w:cs="Arial" w:eastAsia="Arial" w:hAnsi="Arial"/>
                <w:sz w:val="18"/>
                <w:szCs w:val="18"/>
                <w:color w:val="auto"/>
              </w:rPr>
              <w:t>15,389</w:t>
            </w:r>
          </w:p>
        </w:tc>
        <w:tc>
          <w:tcPr>
            <w:tcW w:w="0" w:type="dxa"/>
            <w:vAlign w:val="bottom"/>
          </w:tcPr>
          <w:p>
            <w:pPr>
              <w:spacing w:after="0"/>
              <w:rPr>
                <w:sz w:val="1"/>
                <w:szCs w:val="1"/>
                <w:color w:val="auto"/>
              </w:rPr>
            </w:pPr>
          </w:p>
        </w:tc>
      </w:tr>
      <w:tr>
        <w:trPr>
          <w:trHeight w:val="230"/>
        </w:trPr>
        <w:tc>
          <w:tcPr>
            <w:tcW w:w="5300" w:type="dxa"/>
            <w:vAlign w:val="bottom"/>
          </w:tcPr>
          <w:p>
            <w:pPr>
              <w:ind w:left="20"/>
              <w:spacing w:after="0"/>
              <w:rPr>
                <w:sz w:val="20"/>
                <w:szCs w:val="20"/>
                <w:color w:val="auto"/>
              </w:rPr>
            </w:pPr>
            <w:r>
              <w:rPr>
                <w:rFonts w:ascii="Arial" w:cs="Arial" w:eastAsia="Arial" w:hAnsi="Arial"/>
                <w:sz w:val="18"/>
                <w:szCs w:val="18"/>
                <w:color w:val="auto"/>
              </w:rPr>
              <w:t>Net change in income taxes</w:t>
            </w:r>
          </w:p>
        </w:tc>
        <w:tc>
          <w:tcPr>
            <w:tcW w:w="2600" w:type="dxa"/>
            <w:vAlign w:val="bottom"/>
            <w:gridSpan w:val="3"/>
          </w:tcPr>
          <w:p>
            <w:pPr>
              <w:jc w:val="right"/>
              <w:ind w:right="64"/>
              <w:spacing w:after="0"/>
              <w:rPr>
                <w:sz w:val="20"/>
                <w:szCs w:val="20"/>
                <w:color w:val="auto"/>
              </w:rPr>
            </w:pPr>
            <w:r>
              <w:rPr>
                <w:rFonts w:ascii="Arial" w:cs="Arial" w:eastAsia="Arial" w:hAnsi="Arial"/>
                <w:sz w:val="18"/>
                <w:szCs w:val="18"/>
                <w:color w:val="auto"/>
              </w:rPr>
              <w:t>25,379</w:t>
            </w:r>
          </w:p>
        </w:tc>
        <w:tc>
          <w:tcPr>
            <w:tcW w:w="1720" w:type="dxa"/>
            <w:vAlign w:val="bottom"/>
          </w:tcPr>
          <w:p>
            <w:pPr>
              <w:jc w:val="right"/>
              <w:ind w:right="75"/>
              <w:spacing w:after="0"/>
              <w:rPr>
                <w:sz w:val="20"/>
                <w:szCs w:val="20"/>
                <w:color w:val="auto"/>
              </w:rPr>
            </w:pPr>
            <w:r>
              <w:rPr>
                <w:rFonts w:ascii="Arial" w:cs="Arial" w:eastAsia="Arial" w:hAnsi="Arial"/>
                <w:sz w:val="18"/>
                <w:szCs w:val="18"/>
                <w:color w:val="auto"/>
              </w:rPr>
              <w:t>6,548</w:t>
            </w:r>
          </w:p>
        </w:tc>
        <w:tc>
          <w:tcPr>
            <w:tcW w:w="1620" w:type="dxa"/>
            <w:vAlign w:val="bottom"/>
          </w:tcPr>
          <w:p>
            <w:pPr>
              <w:jc w:val="right"/>
              <w:spacing w:after="0"/>
              <w:rPr>
                <w:sz w:val="20"/>
                <w:szCs w:val="20"/>
                <w:color w:val="auto"/>
              </w:rPr>
            </w:pPr>
            <w:r>
              <w:rPr>
                <w:rFonts w:ascii="Arial" w:cs="Arial" w:eastAsia="Arial" w:hAnsi="Arial"/>
                <w:sz w:val="18"/>
                <w:szCs w:val="18"/>
                <w:color w:val="auto"/>
              </w:rPr>
              <w:t>31,927</w:t>
            </w:r>
          </w:p>
        </w:tc>
        <w:tc>
          <w:tcPr>
            <w:tcW w:w="0" w:type="dxa"/>
            <w:vAlign w:val="bottom"/>
          </w:tcPr>
          <w:p>
            <w:pPr>
              <w:spacing w:after="0"/>
              <w:rPr>
                <w:sz w:val="1"/>
                <w:szCs w:val="1"/>
                <w:color w:val="auto"/>
              </w:rPr>
            </w:pPr>
          </w:p>
        </w:tc>
      </w:tr>
      <w:tr>
        <w:trPr>
          <w:trHeight w:val="224"/>
        </w:trPr>
        <w:tc>
          <w:tcPr>
            <w:tcW w:w="5300" w:type="dxa"/>
            <w:vAlign w:val="bottom"/>
          </w:tcPr>
          <w:p>
            <w:pPr>
              <w:jc w:val="center"/>
              <w:ind w:right="390"/>
              <w:spacing w:after="0"/>
              <w:rPr>
                <w:sz w:val="20"/>
                <w:szCs w:val="20"/>
                <w:color w:val="auto"/>
              </w:rPr>
            </w:pPr>
            <w:r>
              <w:rPr>
                <w:rFonts w:ascii="Arial" w:cs="Arial" w:eastAsia="Arial" w:hAnsi="Arial"/>
                <w:sz w:val="18"/>
                <w:szCs w:val="18"/>
                <w:color w:val="auto"/>
                <w:w w:val="88"/>
              </w:rPr>
              <w:t>Total change in the standardized measure during the year</w:t>
            </w:r>
          </w:p>
        </w:tc>
        <w:tc>
          <w:tcPr>
            <w:tcW w:w="940" w:type="dxa"/>
            <w:vAlign w:val="bottom"/>
          </w:tcPr>
          <w:p>
            <w:pPr>
              <w:spacing w:after="0"/>
              <w:rPr>
                <w:sz w:val="19"/>
                <w:szCs w:val="19"/>
                <w:color w:val="auto"/>
              </w:rPr>
            </w:pPr>
          </w:p>
        </w:tc>
        <w:tc>
          <w:tcPr>
            <w:tcW w:w="1660" w:type="dxa"/>
            <w:vAlign w:val="bottom"/>
            <w:tcBorders>
              <w:top w:val="single" w:sz="8" w:color="auto"/>
            </w:tcBorders>
            <w:gridSpan w:val="2"/>
          </w:tcPr>
          <w:p>
            <w:pPr>
              <w:jc w:val="right"/>
              <w:ind w:right="4"/>
              <w:spacing w:after="0"/>
              <w:rPr>
                <w:sz w:val="20"/>
                <w:szCs w:val="20"/>
                <w:color w:val="auto"/>
              </w:rPr>
            </w:pPr>
            <w:r>
              <w:rPr>
                <w:rFonts w:ascii="Arial" w:cs="Arial" w:eastAsia="Arial" w:hAnsi="Arial"/>
                <w:sz w:val="18"/>
                <w:szCs w:val="18"/>
                <w:color w:val="auto"/>
              </w:rPr>
              <w:t>(38,604)</w:t>
            </w:r>
          </w:p>
        </w:tc>
        <w:tc>
          <w:tcPr>
            <w:tcW w:w="17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(15,156)</w:t>
            </w: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(53,760)</w:t>
            </w:r>
          </w:p>
        </w:tc>
        <w:tc>
          <w:tcPr>
            <w:tcW w:w="0" w:type="dxa"/>
            <w:vAlign w:val="bottom"/>
          </w:tcPr>
          <w:p>
            <w:pPr>
              <w:spacing w:after="0"/>
              <w:rPr>
                <w:sz w:val="1"/>
                <w:szCs w:val="1"/>
                <w:color w:val="auto"/>
              </w:rPr>
            </w:pPr>
          </w:p>
        </w:tc>
      </w:tr>
      <w:tr>
        <w:trPr>
          <w:trHeight w:val="499"/>
        </w:trPr>
        <w:tc>
          <w:tcPr>
            <w:tcW w:w="5300" w:type="dxa"/>
            <w:vAlign w:val="bottom"/>
          </w:tcPr>
          <w:p>
            <w:pPr>
              <w:ind w:left="20"/>
              <w:spacing w:after="0"/>
              <w:rPr>
                <w:sz w:val="20"/>
                <w:szCs w:val="20"/>
                <w:color w:val="auto"/>
              </w:rPr>
            </w:pPr>
            <w:r>
              <w:rPr>
                <w:rFonts w:ascii="Arial" w:cs="Arial" w:eastAsia="Arial" w:hAnsi="Arial"/>
                <w:sz w:val="18"/>
                <w:szCs w:val="18"/>
                <w:color w:val="auto"/>
              </w:rPr>
              <w:t>Discounted future net cash flows as of December 31, 2019</w:t>
            </w:r>
          </w:p>
        </w:tc>
        <w:tc>
          <w:tcPr>
            <w:tcW w:w="2600" w:type="dxa"/>
            <w:vAlign w:val="bottom"/>
            <w:gridSpan w:val="3"/>
          </w:tcPr>
          <w:p>
            <w:pPr>
              <w:jc w:val="right"/>
              <w:ind w:right="64"/>
              <w:spacing w:after="0"/>
              <w:rPr>
                <w:sz w:val="20"/>
                <w:szCs w:val="20"/>
                <w:color w:val="auto"/>
              </w:rPr>
            </w:pPr>
            <w:r>
              <w:rPr>
                <w:rFonts w:ascii="Arial" w:cs="Arial" w:eastAsia="Arial" w:hAnsi="Arial"/>
                <w:sz w:val="18"/>
                <w:szCs w:val="18"/>
                <w:color w:val="auto"/>
              </w:rPr>
              <w:t>67,500</w:t>
            </w:r>
          </w:p>
        </w:tc>
        <w:tc>
          <w:tcPr>
            <w:tcW w:w="1720" w:type="dxa"/>
            <w:vAlign w:val="bottom"/>
          </w:tcPr>
          <w:p>
            <w:pPr>
              <w:jc w:val="right"/>
              <w:ind w:right="75"/>
              <w:spacing w:after="0"/>
              <w:rPr>
                <w:sz w:val="20"/>
                <w:szCs w:val="20"/>
                <w:color w:val="auto"/>
              </w:rPr>
            </w:pPr>
            <w:r>
              <w:rPr>
                <w:rFonts w:ascii="Arial" w:cs="Arial" w:eastAsia="Arial" w:hAnsi="Arial"/>
                <w:sz w:val="18"/>
                <w:szCs w:val="18"/>
                <w:color w:val="auto"/>
              </w:rPr>
              <w:t>22,416</w:t>
            </w:r>
          </w:p>
        </w:tc>
        <w:tc>
          <w:tcPr>
            <w:tcW w:w="1620" w:type="dxa"/>
            <w:vAlign w:val="bottom"/>
          </w:tcPr>
          <w:p>
            <w:pPr>
              <w:jc w:val="right"/>
              <w:spacing w:after="0"/>
              <w:rPr>
                <w:sz w:val="20"/>
                <w:szCs w:val="20"/>
                <w:color w:val="auto"/>
              </w:rPr>
            </w:pPr>
            <w:r>
              <w:rPr>
                <w:rFonts w:ascii="Arial" w:cs="Arial" w:eastAsia="Arial" w:hAnsi="Arial"/>
                <w:sz w:val="18"/>
                <w:szCs w:val="18"/>
                <w:color w:val="auto"/>
              </w:rPr>
              <w:t>89,916</w:t>
            </w:r>
          </w:p>
        </w:tc>
        <w:tc>
          <w:tcPr>
            <w:tcW w:w="0" w:type="dxa"/>
            <w:vAlign w:val="bottom"/>
          </w:tcPr>
          <w:p>
            <w:pPr>
              <w:spacing w:after="0"/>
              <w:rPr>
                <w:sz w:val="1"/>
                <w:szCs w:val="1"/>
                <w:color w:val="auto"/>
              </w:rPr>
            </w:pPr>
          </w:p>
        </w:tc>
      </w:tr>
      <w:tr>
        <w:trPr>
          <w:trHeight w:val="695"/>
        </w:trPr>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Consolidated and Equity Interests</w:t>
            </w:r>
          </w:p>
        </w:tc>
        <w:tc>
          <w:tcPr>
            <w:tcW w:w="940" w:type="dxa"/>
            <w:vAlign w:val="bottom"/>
            <w:tcBorders>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640" w:type="dxa"/>
            <w:vAlign w:val="bottom"/>
            <w:tcBorders>
              <w:top w:val="single" w:sz="8" w:color="auto"/>
              <w:bottom w:val="single" w:sz="8" w:color="auto"/>
            </w:tcBorders>
          </w:tcPr>
          <w:p>
            <w:pPr>
              <w:spacing w:after="0"/>
              <w:rPr>
                <w:sz w:val="24"/>
                <w:szCs w:val="24"/>
                <w:color w:val="auto"/>
              </w:rPr>
            </w:pPr>
          </w:p>
        </w:tc>
        <w:tc>
          <w:tcPr>
            <w:tcW w:w="17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162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5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40" w:type="dxa"/>
            <w:vAlign w:val="bottom"/>
          </w:tcPr>
          <w:p>
            <w:pPr>
              <w:jc w:val="center"/>
              <w:ind w:right="4"/>
              <w:spacing w:after="0" w:line="129" w:lineRule="exact"/>
              <w:rPr>
                <w:sz w:val="20"/>
                <w:szCs w:val="20"/>
                <w:color w:val="auto"/>
              </w:rPr>
            </w:pPr>
            <w:r>
              <w:rPr>
                <w:rFonts w:ascii="Arial" w:cs="Arial" w:eastAsia="Arial" w:hAnsi="Arial"/>
                <w:sz w:val="14"/>
                <w:szCs w:val="14"/>
                <w:b w:val="1"/>
                <w:bCs w:val="1"/>
                <w:color w:val="auto"/>
                <w:w w:val="90"/>
              </w:rPr>
              <w:t>Consolidated</w:t>
            </w:r>
          </w:p>
        </w:tc>
        <w:tc>
          <w:tcPr>
            <w:tcW w:w="17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4"/>
              </w:rPr>
              <w:t>Share of Equity Method</w:t>
            </w:r>
          </w:p>
        </w:tc>
        <w:tc>
          <w:tcPr>
            <w:tcW w:w="16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1"/>
              </w:rPr>
              <w:t>Total Consolidated and</w:t>
            </w:r>
          </w:p>
        </w:tc>
        <w:tc>
          <w:tcPr>
            <w:tcW w:w="0" w:type="dxa"/>
            <w:vAlign w:val="bottom"/>
          </w:tcPr>
          <w:p>
            <w:pPr>
              <w:spacing w:after="0"/>
              <w:rPr>
                <w:sz w:val="1"/>
                <w:szCs w:val="1"/>
                <w:color w:val="auto"/>
              </w:rPr>
            </w:pPr>
          </w:p>
        </w:tc>
      </w:tr>
      <w:tr>
        <w:trPr>
          <w:trHeight w:val="188"/>
        </w:trPr>
        <w:tc>
          <w:tcPr>
            <w:tcW w:w="5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4"/>
              <w:spacing w:after="0"/>
              <w:rPr>
                <w:sz w:val="20"/>
                <w:szCs w:val="20"/>
                <w:color w:val="auto"/>
              </w:rPr>
            </w:pPr>
            <w:r>
              <w:rPr>
                <w:rFonts w:ascii="Arial" w:cs="Arial" w:eastAsia="Arial" w:hAnsi="Arial"/>
                <w:sz w:val="14"/>
                <w:szCs w:val="14"/>
                <w:b w:val="1"/>
                <w:bCs w:val="1"/>
                <w:color w:val="auto"/>
                <w:w w:val="91"/>
              </w:rPr>
              <w:t>Subsidiaries</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Investees</w:t>
            </w: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Equity Interests</w:t>
            </w:r>
          </w:p>
        </w:tc>
        <w:tc>
          <w:tcPr>
            <w:tcW w:w="0" w:type="dxa"/>
            <w:vAlign w:val="bottom"/>
          </w:tcPr>
          <w:p>
            <w:pPr>
              <w:spacing w:after="0"/>
              <w:rPr>
                <w:sz w:val="1"/>
                <w:szCs w:val="1"/>
                <w:color w:val="auto"/>
              </w:rPr>
            </w:pPr>
          </w:p>
        </w:tc>
      </w:tr>
      <w:tr>
        <w:trPr>
          <w:trHeight w:val="185"/>
        </w:trPr>
        <w:tc>
          <w:tcPr>
            <w:tcW w:w="5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720" w:type="dxa"/>
            <w:vAlign w:val="bottom"/>
          </w:tcPr>
          <w:p>
            <w:pPr>
              <w:jc w:val="center"/>
              <w:spacing w:after="0"/>
              <w:rPr>
                <w:sz w:val="20"/>
                <w:szCs w:val="20"/>
                <w:color w:val="auto"/>
              </w:rPr>
            </w:pPr>
            <w:r>
              <w:rPr>
                <w:rFonts w:ascii="Arial" w:cs="Arial" w:eastAsia="Arial" w:hAnsi="Arial"/>
                <w:sz w:val="14"/>
                <w:szCs w:val="14"/>
                <w:i w:val="1"/>
                <w:iCs w:val="1"/>
                <w:color w:val="auto"/>
                <w:w w:val="99"/>
              </w:rPr>
              <w:t>(millions of dollars)</w:t>
            </w: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5300" w:type="dxa"/>
            <w:vAlign w:val="bottom"/>
          </w:tcPr>
          <w:p>
            <w:pPr>
              <w:ind w:left="20"/>
              <w:spacing w:after="0"/>
              <w:rPr>
                <w:sz w:val="20"/>
                <w:szCs w:val="20"/>
                <w:color w:val="auto"/>
              </w:rPr>
            </w:pPr>
            <w:r>
              <w:rPr>
                <w:rFonts w:ascii="Arial" w:cs="Arial" w:eastAsia="Arial" w:hAnsi="Arial"/>
                <w:sz w:val="18"/>
                <w:szCs w:val="18"/>
                <w:color w:val="auto"/>
              </w:rPr>
              <w:t>Discounted future net cash flows as of December 31, 2019</w:t>
            </w:r>
          </w:p>
        </w:tc>
        <w:tc>
          <w:tcPr>
            <w:tcW w:w="2600" w:type="dxa"/>
            <w:vAlign w:val="bottom"/>
            <w:gridSpan w:val="3"/>
          </w:tcPr>
          <w:p>
            <w:pPr>
              <w:jc w:val="right"/>
              <w:ind w:right="64"/>
              <w:spacing w:after="0"/>
              <w:rPr>
                <w:sz w:val="20"/>
                <w:szCs w:val="20"/>
                <w:color w:val="auto"/>
              </w:rPr>
            </w:pPr>
            <w:r>
              <w:rPr>
                <w:rFonts w:ascii="Arial" w:cs="Arial" w:eastAsia="Arial" w:hAnsi="Arial"/>
                <w:sz w:val="18"/>
                <w:szCs w:val="18"/>
                <w:color w:val="auto"/>
              </w:rPr>
              <w:t>67,500</w:t>
            </w:r>
          </w:p>
        </w:tc>
        <w:tc>
          <w:tcPr>
            <w:tcW w:w="1720" w:type="dxa"/>
            <w:vAlign w:val="bottom"/>
          </w:tcPr>
          <w:p>
            <w:pPr>
              <w:jc w:val="right"/>
              <w:ind w:right="75"/>
              <w:spacing w:after="0"/>
              <w:rPr>
                <w:sz w:val="20"/>
                <w:szCs w:val="20"/>
                <w:color w:val="auto"/>
              </w:rPr>
            </w:pPr>
            <w:r>
              <w:rPr>
                <w:rFonts w:ascii="Arial" w:cs="Arial" w:eastAsia="Arial" w:hAnsi="Arial"/>
                <w:sz w:val="18"/>
                <w:szCs w:val="18"/>
                <w:color w:val="auto"/>
              </w:rPr>
              <w:t>22,416</w:t>
            </w:r>
          </w:p>
        </w:tc>
        <w:tc>
          <w:tcPr>
            <w:tcW w:w="1620" w:type="dxa"/>
            <w:vAlign w:val="bottom"/>
          </w:tcPr>
          <w:p>
            <w:pPr>
              <w:jc w:val="right"/>
              <w:spacing w:after="0"/>
              <w:rPr>
                <w:sz w:val="20"/>
                <w:szCs w:val="20"/>
                <w:color w:val="auto"/>
              </w:rPr>
            </w:pPr>
            <w:r>
              <w:rPr>
                <w:rFonts w:ascii="Arial" w:cs="Arial" w:eastAsia="Arial" w:hAnsi="Arial"/>
                <w:sz w:val="18"/>
                <w:szCs w:val="18"/>
                <w:color w:val="auto"/>
              </w:rPr>
              <w:t>89,916</w:t>
            </w:r>
          </w:p>
        </w:tc>
        <w:tc>
          <w:tcPr>
            <w:tcW w:w="0" w:type="dxa"/>
            <w:vAlign w:val="bottom"/>
          </w:tcPr>
          <w:p>
            <w:pPr>
              <w:spacing w:after="0"/>
              <w:rPr>
                <w:sz w:val="1"/>
                <w:szCs w:val="1"/>
                <w:color w:val="auto"/>
              </w:rPr>
            </w:pPr>
          </w:p>
        </w:tc>
      </w:tr>
      <w:tr>
        <w:trPr>
          <w:trHeight w:val="432"/>
        </w:trPr>
        <w:tc>
          <w:tcPr>
            <w:tcW w:w="5300" w:type="dxa"/>
            <w:vAlign w:val="bottom"/>
          </w:tcPr>
          <w:p>
            <w:pPr>
              <w:ind w:left="20"/>
              <w:spacing w:after="0"/>
              <w:rPr>
                <w:sz w:val="20"/>
                <w:szCs w:val="20"/>
                <w:color w:val="auto"/>
              </w:rPr>
            </w:pPr>
            <w:r>
              <w:rPr>
                <w:rFonts w:ascii="Arial" w:cs="Arial" w:eastAsia="Arial" w:hAnsi="Arial"/>
                <w:sz w:val="18"/>
                <w:szCs w:val="18"/>
                <w:color w:val="auto"/>
                <w:w w:val="92"/>
              </w:rPr>
              <w:t>Value of reserves added during the year due to extensions, discoveries,</w:t>
            </w:r>
          </w:p>
        </w:tc>
        <w:tc>
          <w:tcPr>
            <w:tcW w:w="2600" w:type="dxa"/>
            <w:vAlign w:val="bottom"/>
            <w:gridSpan w:val="3"/>
            <w:vMerge w:val="restart"/>
          </w:tcPr>
          <w:p>
            <w:pPr>
              <w:jc w:val="right"/>
              <w:ind w:right="64"/>
              <w:spacing w:after="0"/>
              <w:rPr>
                <w:sz w:val="20"/>
                <w:szCs w:val="20"/>
                <w:color w:val="auto"/>
              </w:rPr>
            </w:pPr>
            <w:r>
              <w:rPr>
                <w:rFonts w:ascii="Arial" w:cs="Arial" w:eastAsia="Arial" w:hAnsi="Arial"/>
                <w:sz w:val="18"/>
                <w:szCs w:val="18"/>
                <w:color w:val="auto"/>
              </w:rPr>
              <w:t>169</w:t>
            </w:r>
          </w:p>
        </w:tc>
        <w:tc>
          <w:tcPr>
            <w:tcW w:w="1720" w:type="dxa"/>
            <w:vAlign w:val="bottom"/>
            <w:vMerge w:val="restart"/>
          </w:tcPr>
          <w:p>
            <w:pPr>
              <w:jc w:val="right"/>
              <w:ind w:right="75"/>
              <w:spacing w:after="0"/>
              <w:rPr>
                <w:sz w:val="20"/>
                <w:szCs w:val="20"/>
                <w:color w:val="auto"/>
              </w:rPr>
            </w:pPr>
            <w:r>
              <w:rPr>
                <w:rFonts w:ascii="Arial" w:cs="Arial" w:eastAsia="Arial" w:hAnsi="Arial"/>
                <w:sz w:val="18"/>
                <w:szCs w:val="18"/>
                <w:color w:val="auto"/>
              </w:rPr>
              <w:t>—</w:t>
            </w:r>
          </w:p>
        </w:tc>
        <w:tc>
          <w:tcPr>
            <w:tcW w:w="1620" w:type="dxa"/>
            <w:vAlign w:val="bottom"/>
            <w:vMerge w:val="restart"/>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135"/>
        </w:trPr>
        <w:tc>
          <w:tcPr>
            <w:tcW w:w="5300" w:type="dxa"/>
            <w:vAlign w:val="bottom"/>
            <w:vMerge w:val="restart"/>
          </w:tcPr>
          <w:p>
            <w:pPr>
              <w:jc w:val="center"/>
              <w:ind w:right="350"/>
              <w:spacing w:after="0"/>
              <w:rPr>
                <w:sz w:val="20"/>
                <w:szCs w:val="20"/>
                <w:color w:val="auto"/>
              </w:rPr>
            </w:pPr>
            <w:r>
              <w:rPr>
                <w:rFonts w:ascii="Arial" w:cs="Arial" w:eastAsia="Arial" w:hAnsi="Arial"/>
                <w:sz w:val="18"/>
                <w:szCs w:val="18"/>
                <w:color w:val="auto"/>
                <w:w w:val="88"/>
              </w:rPr>
              <w:t>improved recovery and net purchases/sales less related costs</w:t>
            </w:r>
          </w:p>
        </w:tc>
        <w:tc>
          <w:tcPr>
            <w:tcW w:w="2600" w:type="dxa"/>
            <w:vAlign w:val="bottom"/>
            <w:gridSpan w:val="3"/>
            <w:vMerge w:val="continue"/>
          </w:tcPr>
          <w:p>
            <w:pPr>
              <w:spacing w:after="0"/>
              <w:rPr>
                <w:sz w:val="11"/>
                <w:szCs w:val="11"/>
                <w:color w:val="auto"/>
              </w:rPr>
            </w:pPr>
          </w:p>
        </w:tc>
        <w:tc>
          <w:tcPr>
            <w:tcW w:w="1720" w:type="dxa"/>
            <w:vAlign w:val="bottom"/>
            <w:vMerge w:val="continue"/>
          </w:tcPr>
          <w:p>
            <w:pPr>
              <w:spacing w:after="0"/>
              <w:rPr>
                <w:sz w:val="11"/>
                <w:szCs w:val="11"/>
                <w:color w:val="auto"/>
              </w:rPr>
            </w:pPr>
          </w:p>
        </w:tc>
        <w:tc>
          <w:tcPr>
            <w:tcW w:w="1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530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20"/>
              <w:spacing w:after="0"/>
              <w:rPr>
                <w:sz w:val="20"/>
                <w:szCs w:val="20"/>
                <w:color w:val="auto"/>
              </w:rPr>
            </w:pPr>
            <w:r>
              <w:rPr>
                <w:rFonts w:ascii="Arial" w:cs="Arial" w:eastAsia="Arial" w:hAnsi="Arial"/>
                <w:sz w:val="18"/>
                <w:szCs w:val="18"/>
                <w:color w:val="auto"/>
              </w:rPr>
              <w:t>Changes in value of previous-year reserves due to:</w:t>
            </w: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300" w:type="dxa"/>
            <w:vAlign w:val="bottom"/>
          </w:tcPr>
          <w:p>
            <w:pPr>
              <w:ind w:left="220"/>
              <w:spacing w:after="0" w:line="176" w:lineRule="exact"/>
              <w:rPr>
                <w:sz w:val="20"/>
                <w:szCs w:val="20"/>
                <w:color w:val="auto"/>
              </w:rPr>
            </w:pPr>
            <w:r>
              <w:rPr>
                <w:rFonts w:ascii="Arial" w:cs="Arial" w:eastAsia="Arial" w:hAnsi="Arial"/>
                <w:sz w:val="18"/>
                <w:szCs w:val="18"/>
                <w:color w:val="auto"/>
                <w:w w:val="95"/>
              </w:rPr>
              <w:t>Sales and transfers of oil and gas produced during the year, net of</w:t>
            </w:r>
          </w:p>
        </w:tc>
        <w:tc>
          <w:tcPr>
            <w:tcW w:w="2600" w:type="dxa"/>
            <w:vAlign w:val="bottom"/>
            <w:gridSpan w:val="3"/>
            <w:vMerge w:val="restart"/>
          </w:tcPr>
          <w:p>
            <w:pPr>
              <w:jc w:val="right"/>
              <w:ind w:right="4"/>
              <w:spacing w:after="0"/>
              <w:rPr>
                <w:sz w:val="20"/>
                <w:szCs w:val="20"/>
                <w:color w:val="auto"/>
              </w:rPr>
            </w:pPr>
            <w:r>
              <w:rPr>
                <w:rFonts w:ascii="Arial" w:cs="Arial" w:eastAsia="Arial" w:hAnsi="Arial"/>
                <w:sz w:val="18"/>
                <w:szCs w:val="18"/>
                <w:color w:val="auto"/>
              </w:rPr>
              <w:t>(15,048)</w:t>
            </w:r>
          </w:p>
        </w:tc>
        <w:tc>
          <w:tcPr>
            <w:tcW w:w="1720" w:type="dxa"/>
            <w:vAlign w:val="bottom"/>
            <w:vMerge w:val="restart"/>
          </w:tcPr>
          <w:p>
            <w:pPr>
              <w:jc w:val="right"/>
              <w:ind w:right="15"/>
              <w:spacing w:after="0"/>
              <w:rPr>
                <w:sz w:val="20"/>
                <w:szCs w:val="20"/>
                <w:color w:val="auto"/>
              </w:rPr>
            </w:pPr>
            <w:r>
              <w:rPr>
                <w:rFonts w:ascii="Arial" w:cs="Arial" w:eastAsia="Arial" w:hAnsi="Arial"/>
                <w:sz w:val="18"/>
                <w:szCs w:val="18"/>
                <w:color w:val="auto"/>
              </w:rPr>
              <w:t>(3,818)</w:t>
            </w:r>
          </w:p>
        </w:tc>
        <w:tc>
          <w:tcPr>
            <w:tcW w:w="1620" w:type="dxa"/>
            <w:vAlign w:val="bottom"/>
            <w:vMerge w:val="restart"/>
          </w:tcPr>
          <w:p>
            <w:pPr>
              <w:jc w:val="right"/>
              <w:spacing w:after="0"/>
              <w:rPr>
                <w:sz w:val="20"/>
                <w:szCs w:val="20"/>
                <w:color w:val="auto"/>
              </w:rPr>
            </w:pPr>
            <w:r>
              <w:rPr>
                <w:rFonts w:ascii="Arial" w:cs="Arial" w:eastAsia="Arial" w:hAnsi="Arial"/>
                <w:sz w:val="18"/>
                <w:szCs w:val="18"/>
                <w:color w:val="auto"/>
              </w:rPr>
              <w:t>(18,866)</w:t>
            </w:r>
          </w:p>
        </w:tc>
        <w:tc>
          <w:tcPr>
            <w:tcW w:w="0" w:type="dxa"/>
            <w:vAlign w:val="bottom"/>
          </w:tcPr>
          <w:p>
            <w:pPr>
              <w:spacing w:after="0"/>
              <w:rPr>
                <w:sz w:val="1"/>
                <w:szCs w:val="1"/>
                <w:color w:val="auto"/>
              </w:rPr>
            </w:pPr>
          </w:p>
        </w:tc>
      </w:tr>
      <w:tr>
        <w:trPr>
          <w:trHeight w:val="229"/>
        </w:trPr>
        <w:tc>
          <w:tcPr>
            <w:tcW w:w="5300" w:type="dxa"/>
            <w:vAlign w:val="bottom"/>
          </w:tcPr>
          <w:p>
            <w:pPr>
              <w:ind w:left="460"/>
              <w:spacing w:after="0"/>
              <w:rPr>
                <w:sz w:val="20"/>
                <w:szCs w:val="20"/>
                <w:color w:val="auto"/>
              </w:rPr>
            </w:pPr>
            <w:r>
              <w:rPr>
                <w:rFonts w:ascii="Arial" w:cs="Arial" w:eastAsia="Arial" w:hAnsi="Arial"/>
                <w:sz w:val="18"/>
                <w:szCs w:val="18"/>
                <w:color w:val="auto"/>
              </w:rPr>
              <w:t>production (lifting) costs</w:t>
            </w:r>
          </w:p>
        </w:tc>
        <w:tc>
          <w:tcPr>
            <w:tcW w:w="2600" w:type="dxa"/>
            <w:vAlign w:val="bottom"/>
            <w:gridSpan w:val="3"/>
            <w:vMerge w:val="continue"/>
          </w:tcPr>
          <w:p>
            <w:pPr>
              <w:spacing w:after="0"/>
              <w:rPr>
                <w:sz w:val="19"/>
                <w:szCs w:val="19"/>
                <w:color w:val="auto"/>
              </w:rPr>
            </w:pPr>
          </w:p>
        </w:tc>
        <w:tc>
          <w:tcPr>
            <w:tcW w:w="1720" w:type="dxa"/>
            <w:vAlign w:val="bottom"/>
            <w:vMerge w:val="continue"/>
          </w:tcPr>
          <w:p>
            <w:pPr>
              <w:spacing w:after="0"/>
              <w:rPr>
                <w:sz w:val="19"/>
                <w:szCs w:val="19"/>
                <w:color w:val="auto"/>
              </w:rPr>
            </w:pPr>
          </w:p>
        </w:tc>
        <w:tc>
          <w:tcPr>
            <w:tcW w:w="16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220"/>
              <w:spacing w:after="0"/>
              <w:rPr>
                <w:sz w:val="20"/>
                <w:szCs w:val="20"/>
                <w:color w:val="auto"/>
              </w:rPr>
            </w:pPr>
            <w:r>
              <w:rPr>
                <w:rFonts w:ascii="Arial" w:cs="Arial" w:eastAsia="Arial" w:hAnsi="Arial"/>
                <w:sz w:val="18"/>
                <w:szCs w:val="18"/>
                <w:color w:val="auto"/>
              </w:rPr>
              <w:t>Development costs incurred during the year</w:t>
            </w:r>
          </w:p>
        </w:tc>
        <w:tc>
          <w:tcPr>
            <w:tcW w:w="2600" w:type="dxa"/>
            <w:vAlign w:val="bottom"/>
            <w:gridSpan w:val="3"/>
          </w:tcPr>
          <w:p>
            <w:pPr>
              <w:jc w:val="right"/>
              <w:ind w:right="64"/>
              <w:spacing w:after="0"/>
              <w:rPr>
                <w:sz w:val="20"/>
                <w:szCs w:val="20"/>
                <w:color w:val="auto"/>
              </w:rPr>
            </w:pPr>
            <w:r>
              <w:rPr>
                <w:rFonts w:ascii="Arial" w:cs="Arial" w:eastAsia="Arial" w:hAnsi="Arial"/>
                <w:sz w:val="18"/>
                <w:szCs w:val="18"/>
                <w:color w:val="auto"/>
              </w:rPr>
              <w:t>9,969</w:t>
            </w:r>
          </w:p>
        </w:tc>
        <w:tc>
          <w:tcPr>
            <w:tcW w:w="1720" w:type="dxa"/>
            <w:vAlign w:val="bottom"/>
          </w:tcPr>
          <w:p>
            <w:pPr>
              <w:jc w:val="right"/>
              <w:ind w:right="75"/>
              <w:spacing w:after="0"/>
              <w:rPr>
                <w:sz w:val="20"/>
                <w:szCs w:val="20"/>
                <w:color w:val="auto"/>
              </w:rPr>
            </w:pPr>
            <w:r>
              <w:rPr>
                <w:rFonts w:ascii="Arial" w:cs="Arial" w:eastAsia="Arial" w:hAnsi="Arial"/>
                <w:sz w:val="18"/>
                <w:szCs w:val="18"/>
                <w:color w:val="auto"/>
              </w:rPr>
              <w:t>1,760</w:t>
            </w:r>
          </w:p>
        </w:tc>
        <w:tc>
          <w:tcPr>
            <w:tcW w:w="1620" w:type="dxa"/>
            <w:vAlign w:val="bottom"/>
          </w:tcPr>
          <w:p>
            <w:pPr>
              <w:jc w:val="right"/>
              <w:spacing w:after="0"/>
              <w:rPr>
                <w:sz w:val="20"/>
                <w:szCs w:val="20"/>
                <w:color w:val="auto"/>
              </w:rPr>
            </w:pPr>
            <w:r>
              <w:rPr>
                <w:rFonts w:ascii="Arial" w:cs="Arial" w:eastAsia="Arial" w:hAnsi="Arial"/>
                <w:sz w:val="18"/>
                <w:szCs w:val="18"/>
                <w:color w:val="auto"/>
              </w:rPr>
              <w:t>11,729</w:t>
            </w:r>
          </w:p>
        </w:tc>
        <w:tc>
          <w:tcPr>
            <w:tcW w:w="0" w:type="dxa"/>
            <w:vAlign w:val="bottom"/>
          </w:tcPr>
          <w:p>
            <w:pPr>
              <w:spacing w:after="0"/>
              <w:rPr>
                <w:sz w:val="1"/>
                <w:szCs w:val="1"/>
                <w:color w:val="auto"/>
              </w:rPr>
            </w:pPr>
          </w:p>
        </w:tc>
      </w:tr>
      <w:tr>
        <w:trPr>
          <w:trHeight w:val="229"/>
        </w:trPr>
        <w:tc>
          <w:tcPr>
            <w:tcW w:w="5300" w:type="dxa"/>
            <w:vAlign w:val="bottom"/>
          </w:tcPr>
          <w:p>
            <w:pPr>
              <w:ind w:left="220"/>
              <w:spacing w:after="0"/>
              <w:rPr>
                <w:sz w:val="20"/>
                <w:szCs w:val="20"/>
                <w:color w:val="auto"/>
              </w:rPr>
            </w:pPr>
            <w:r>
              <w:rPr>
                <w:rFonts w:ascii="Arial" w:cs="Arial" w:eastAsia="Arial" w:hAnsi="Arial"/>
                <w:sz w:val="18"/>
                <w:szCs w:val="18"/>
                <w:color w:val="auto"/>
              </w:rPr>
              <w:t>Net change in prices, lifting and development costs</w:t>
            </w:r>
          </w:p>
        </w:tc>
        <w:tc>
          <w:tcPr>
            <w:tcW w:w="2600" w:type="dxa"/>
            <w:vAlign w:val="bottom"/>
            <w:gridSpan w:val="3"/>
          </w:tcPr>
          <w:p>
            <w:pPr>
              <w:jc w:val="right"/>
              <w:ind w:right="4"/>
              <w:spacing w:after="0"/>
              <w:rPr>
                <w:sz w:val="20"/>
                <w:szCs w:val="20"/>
                <w:color w:val="auto"/>
              </w:rPr>
            </w:pPr>
            <w:r>
              <w:rPr>
                <w:rFonts w:ascii="Arial" w:cs="Arial" w:eastAsia="Arial" w:hAnsi="Arial"/>
                <w:sz w:val="18"/>
                <w:szCs w:val="18"/>
                <w:color w:val="auto"/>
              </w:rPr>
              <w:t>(80,444)</w:t>
            </w:r>
          </w:p>
        </w:tc>
        <w:tc>
          <w:tcPr>
            <w:tcW w:w="1720" w:type="dxa"/>
            <w:vAlign w:val="bottom"/>
          </w:tcPr>
          <w:p>
            <w:pPr>
              <w:jc w:val="right"/>
              <w:ind w:right="15"/>
              <w:spacing w:after="0"/>
              <w:rPr>
                <w:sz w:val="20"/>
                <w:szCs w:val="20"/>
                <w:color w:val="auto"/>
              </w:rPr>
            </w:pPr>
            <w:r>
              <w:rPr>
                <w:rFonts w:ascii="Arial" w:cs="Arial" w:eastAsia="Arial" w:hAnsi="Arial"/>
                <w:sz w:val="18"/>
                <w:szCs w:val="18"/>
                <w:color w:val="auto"/>
              </w:rPr>
              <w:t>(21,739)</w:t>
            </w:r>
          </w:p>
        </w:tc>
        <w:tc>
          <w:tcPr>
            <w:tcW w:w="1620" w:type="dxa"/>
            <w:vAlign w:val="bottom"/>
          </w:tcPr>
          <w:p>
            <w:pPr>
              <w:jc w:val="right"/>
              <w:spacing w:after="0"/>
              <w:rPr>
                <w:sz w:val="20"/>
                <w:szCs w:val="20"/>
                <w:color w:val="auto"/>
              </w:rPr>
            </w:pPr>
            <w:r>
              <w:rPr>
                <w:rFonts w:ascii="Arial" w:cs="Arial" w:eastAsia="Arial" w:hAnsi="Arial"/>
                <w:sz w:val="18"/>
                <w:szCs w:val="18"/>
                <w:color w:val="auto"/>
              </w:rPr>
              <w:t>(102,183)</w:t>
            </w:r>
          </w:p>
        </w:tc>
        <w:tc>
          <w:tcPr>
            <w:tcW w:w="0" w:type="dxa"/>
            <w:vAlign w:val="bottom"/>
          </w:tcPr>
          <w:p>
            <w:pPr>
              <w:spacing w:after="0"/>
              <w:rPr>
                <w:sz w:val="1"/>
                <w:szCs w:val="1"/>
                <w:color w:val="auto"/>
              </w:rPr>
            </w:pPr>
          </w:p>
        </w:tc>
      </w:tr>
      <w:tr>
        <w:trPr>
          <w:trHeight w:val="230"/>
        </w:trPr>
        <w:tc>
          <w:tcPr>
            <w:tcW w:w="5300" w:type="dxa"/>
            <w:vAlign w:val="bottom"/>
          </w:tcPr>
          <w:p>
            <w:pPr>
              <w:ind w:left="220"/>
              <w:spacing w:after="0"/>
              <w:rPr>
                <w:sz w:val="20"/>
                <w:szCs w:val="20"/>
                <w:color w:val="auto"/>
              </w:rPr>
            </w:pPr>
            <w:r>
              <w:rPr>
                <w:rFonts w:ascii="Arial" w:cs="Arial" w:eastAsia="Arial" w:hAnsi="Arial"/>
                <w:sz w:val="18"/>
                <w:szCs w:val="18"/>
                <w:color w:val="auto"/>
              </w:rPr>
              <w:t>Revisions of previous reserves estimates</w:t>
            </w:r>
          </w:p>
        </w:tc>
        <w:tc>
          <w:tcPr>
            <w:tcW w:w="2600" w:type="dxa"/>
            <w:vAlign w:val="bottom"/>
            <w:gridSpan w:val="3"/>
          </w:tcPr>
          <w:p>
            <w:pPr>
              <w:jc w:val="right"/>
              <w:ind w:right="64"/>
              <w:spacing w:after="0"/>
              <w:rPr>
                <w:sz w:val="20"/>
                <w:szCs w:val="20"/>
                <w:color w:val="auto"/>
              </w:rPr>
            </w:pPr>
            <w:r>
              <w:rPr>
                <w:rFonts w:ascii="Arial" w:cs="Arial" w:eastAsia="Arial" w:hAnsi="Arial"/>
                <w:sz w:val="18"/>
                <w:szCs w:val="18"/>
                <w:color w:val="auto"/>
              </w:rPr>
              <w:t>2,614</w:t>
            </w:r>
          </w:p>
        </w:tc>
        <w:tc>
          <w:tcPr>
            <w:tcW w:w="1720" w:type="dxa"/>
            <w:vAlign w:val="bottom"/>
          </w:tcPr>
          <w:p>
            <w:pPr>
              <w:jc w:val="right"/>
              <w:ind w:right="75"/>
              <w:spacing w:after="0"/>
              <w:rPr>
                <w:sz w:val="20"/>
                <w:szCs w:val="20"/>
                <w:color w:val="auto"/>
              </w:rPr>
            </w:pPr>
            <w:r>
              <w:rPr>
                <w:rFonts w:ascii="Arial" w:cs="Arial" w:eastAsia="Arial" w:hAnsi="Arial"/>
                <w:sz w:val="18"/>
                <w:szCs w:val="18"/>
                <w:color w:val="auto"/>
              </w:rPr>
              <w:t>680</w:t>
            </w:r>
          </w:p>
        </w:tc>
        <w:tc>
          <w:tcPr>
            <w:tcW w:w="1620" w:type="dxa"/>
            <w:vAlign w:val="bottom"/>
          </w:tcPr>
          <w:p>
            <w:pPr>
              <w:jc w:val="right"/>
              <w:spacing w:after="0"/>
              <w:rPr>
                <w:sz w:val="20"/>
                <w:szCs w:val="20"/>
                <w:color w:val="auto"/>
              </w:rPr>
            </w:pPr>
            <w:r>
              <w:rPr>
                <w:rFonts w:ascii="Arial" w:cs="Arial" w:eastAsia="Arial" w:hAnsi="Arial"/>
                <w:sz w:val="18"/>
                <w:szCs w:val="18"/>
                <w:color w:val="auto"/>
              </w:rPr>
              <w:t>3,294</w:t>
            </w:r>
          </w:p>
        </w:tc>
        <w:tc>
          <w:tcPr>
            <w:tcW w:w="0" w:type="dxa"/>
            <w:vAlign w:val="bottom"/>
          </w:tcPr>
          <w:p>
            <w:pPr>
              <w:spacing w:after="0"/>
              <w:rPr>
                <w:sz w:val="1"/>
                <w:szCs w:val="1"/>
                <w:color w:val="auto"/>
              </w:rPr>
            </w:pPr>
          </w:p>
        </w:tc>
      </w:tr>
      <w:tr>
        <w:trPr>
          <w:trHeight w:val="230"/>
        </w:trPr>
        <w:tc>
          <w:tcPr>
            <w:tcW w:w="5300" w:type="dxa"/>
            <w:vAlign w:val="bottom"/>
          </w:tcPr>
          <w:p>
            <w:pPr>
              <w:ind w:left="220"/>
              <w:spacing w:after="0"/>
              <w:rPr>
                <w:sz w:val="20"/>
                <w:szCs w:val="20"/>
                <w:color w:val="auto"/>
              </w:rPr>
            </w:pPr>
            <w:r>
              <w:rPr>
                <w:rFonts w:ascii="Arial" w:cs="Arial" w:eastAsia="Arial" w:hAnsi="Arial"/>
                <w:sz w:val="18"/>
                <w:szCs w:val="18"/>
                <w:color w:val="auto"/>
              </w:rPr>
              <w:t>Accretion of discount</w:t>
            </w:r>
          </w:p>
        </w:tc>
        <w:tc>
          <w:tcPr>
            <w:tcW w:w="2600" w:type="dxa"/>
            <w:vAlign w:val="bottom"/>
            <w:gridSpan w:val="3"/>
          </w:tcPr>
          <w:p>
            <w:pPr>
              <w:jc w:val="right"/>
              <w:ind w:right="64"/>
              <w:spacing w:after="0"/>
              <w:rPr>
                <w:sz w:val="20"/>
                <w:szCs w:val="20"/>
                <w:color w:val="auto"/>
              </w:rPr>
            </w:pPr>
            <w:r>
              <w:rPr>
                <w:rFonts w:ascii="Arial" w:cs="Arial" w:eastAsia="Arial" w:hAnsi="Arial"/>
                <w:sz w:val="18"/>
                <w:szCs w:val="18"/>
                <w:color w:val="auto"/>
              </w:rPr>
              <w:t>10,786</w:t>
            </w:r>
          </w:p>
        </w:tc>
        <w:tc>
          <w:tcPr>
            <w:tcW w:w="1720" w:type="dxa"/>
            <w:vAlign w:val="bottom"/>
          </w:tcPr>
          <w:p>
            <w:pPr>
              <w:jc w:val="right"/>
              <w:ind w:right="75"/>
              <w:spacing w:after="0"/>
              <w:rPr>
                <w:sz w:val="20"/>
                <w:szCs w:val="20"/>
                <w:color w:val="auto"/>
              </w:rPr>
            </w:pPr>
            <w:r>
              <w:rPr>
                <w:rFonts w:ascii="Arial" w:cs="Arial" w:eastAsia="Arial" w:hAnsi="Arial"/>
                <w:sz w:val="18"/>
                <w:szCs w:val="18"/>
                <w:color w:val="auto"/>
              </w:rPr>
              <w:t>3,011</w:t>
            </w:r>
          </w:p>
        </w:tc>
        <w:tc>
          <w:tcPr>
            <w:tcW w:w="1620" w:type="dxa"/>
            <w:vAlign w:val="bottom"/>
          </w:tcPr>
          <w:p>
            <w:pPr>
              <w:jc w:val="right"/>
              <w:spacing w:after="0"/>
              <w:rPr>
                <w:sz w:val="20"/>
                <w:szCs w:val="20"/>
                <w:color w:val="auto"/>
              </w:rPr>
            </w:pPr>
            <w:r>
              <w:rPr>
                <w:rFonts w:ascii="Arial" w:cs="Arial" w:eastAsia="Arial" w:hAnsi="Arial"/>
                <w:sz w:val="18"/>
                <w:szCs w:val="18"/>
                <w:color w:val="auto"/>
              </w:rPr>
              <w:t>13,797</w:t>
            </w:r>
          </w:p>
        </w:tc>
        <w:tc>
          <w:tcPr>
            <w:tcW w:w="0" w:type="dxa"/>
            <w:vAlign w:val="bottom"/>
          </w:tcPr>
          <w:p>
            <w:pPr>
              <w:spacing w:after="0"/>
              <w:rPr>
                <w:sz w:val="1"/>
                <w:szCs w:val="1"/>
                <w:color w:val="auto"/>
              </w:rPr>
            </w:pPr>
          </w:p>
        </w:tc>
      </w:tr>
      <w:tr>
        <w:trPr>
          <w:trHeight w:val="230"/>
        </w:trPr>
        <w:tc>
          <w:tcPr>
            <w:tcW w:w="5300" w:type="dxa"/>
            <w:vAlign w:val="bottom"/>
          </w:tcPr>
          <w:p>
            <w:pPr>
              <w:ind w:left="20"/>
              <w:spacing w:after="0"/>
              <w:rPr>
                <w:sz w:val="20"/>
                <w:szCs w:val="20"/>
                <w:color w:val="auto"/>
              </w:rPr>
            </w:pPr>
            <w:r>
              <w:rPr>
                <w:rFonts w:ascii="Arial" w:cs="Arial" w:eastAsia="Arial" w:hAnsi="Arial"/>
                <w:sz w:val="18"/>
                <w:szCs w:val="18"/>
                <w:color w:val="auto"/>
              </w:rPr>
              <w:t>Net change in income taxes</w:t>
            </w:r>
          </w:p>
        </w:tc>
        <w:tc>
          <w:tcPr>
            <w:tcW w:w="2600" w:type="dxa"/>
            <w:vAlign w:val="bottom"/>
            <w:gridSpan w:val="3"/>
          </w:tcPr>
          <w:p>
            <w:pPr>
              <w:jc w:val="right"/>
              <w:ind w:right="64"/>
              <w:spacing w:after="0"/>
              <w:rPr>
                <w:sz w:val="20"/>
                <w:szCs w:val="20"/>
                <w:color w:val="auto"/>
              </w:rPr>
            </w:pPr>
            <w:r>
              <w:rPr>
                <w:rFonts w:ascii="Arial" w:cs="Arial" w:eastAsia="Arial" w:hAnsi="Arial"/>
                <w:sz w:val="18"/>
                <w:szCs w:val="18"/>
                <w:color w:val="auto"/>
              </w:rPr>
              <w:t>31,008</w:t>
            </w:r>
          </w:p>
        </w:tc>
        <w:tc>
          <w:tcPr>
            <w:tcW w:w="1720" w:type="dxa"/>
            <w:vAlign w:val="bottom"/>
          </w:tcPr>
          <w:p>
            <w:pPr>
              <w:jc w:val="right"/>
              <w:ind w:right="75"/>
              <w:spacing w:after="0"/>
              <w:rPr>
                <w:sz w:val="20"/>
                <w:szCs w:val="20"/>
                <w:color w:val="auto"/>
              </w:rPr>
            </w:pPr>
            <w:r>
              <w:rPr>
                <w:rFonts w:ascii="Arial" w:cs="Arial" w:eastAsia="Arial" w:hAnsi="Arial"/>
                <w:sz w:val="18"/>
                <w:szCs w:val="18"/>
                <w:color w:val="auto"/>
              </w:rPr>
              <w:t>6,131</w:t>
            </w:r>
          </w:p>
        </w:tc>
        <w:tc>
          <w:tcPr>
            <w:tcW w:w="1620" w:type="dxa"/>
            <w:vAlign w:val="bottom"/>
          </w:tcPr>
          <w:p>
            <w:pPr>
              <w:jc w:val="right"/>
              <w:spacing w:after="0"/>
              <w:rPr>
                <w:sz w:val="20"/>
                <w:szCs w:val="20"/>
                <w:color w:val="auto"/>
              </w:rPr>
            </w:pPr>
            <w:r>
              <w:rPr>
                <w:rFonts w:ascii="Arial" w:cs="Arial" w:eastAsia="Arial" w:hAnsi="Arial"/>
                <w:sz w:val="18"/>
                <w:szCs w:val="18"/>
                <w:color w:val="auto"/>
              </w:rPr>
              <w:t>37,139</w:t>
            </w:r>
          </w:p>
        </w:tc>
        <w:tc>
          <w:tcPr>
            <w:tcW w:w="0" w:type="dxa"/>
            <w:vAlign w:val="bottom"/>
          </w:tcPr>
          <w:p>
            <w:pPr>
              <w:spacing w:after="0"/>
              <w:rPr>
                <w:sz w:val="1"/>
                <w:szCs w:val="1"/>
                <w:color w:val="auto"/>
              </w:rPr>
            </w:pPr>
          </w:p>
        </w:tc>
      </w:tr>
      <w:tr>
        <w:trPr>
          <w:trHeight w:val="224"/>
        </w:trPr>
        <w:tc>
          <w:tcPr>
            <w:tcW w:w="5300" w:type="dxa"/>
            <w:vAlign w:val="bottom"/>
          </w:tcPr>
          <w:p>
            <w:pPr>
              <w:jc w:val="center"/>
              <w:ind w:right="390"/>
              <w:spacing w:after="0"/>
              <w:rPr>
                <w:sz w:val="20"/>
                <w:szCs w:val="20"/>
                <w:color w:val="auto"/>
              </w:rPr>
            </w:pPr>
            <w:r>
              <w:rPr>
                <w:rFonts w:ascii="Arial" w:cs="Arial" w:eastAsia="Arial" w:hAnsi="Arial"/>
                <w:sz w:val="18"/>
                <w:szCs w:val="18"/>
                <w:color w:val="auto"/>
                <w:w w:val="88"/>
              </w:rPr>
              <w:t>Total change in the standardized measure during the year</w:t>
            </w:r>
          </w:p>
        </w:tc>
        <w:tc>
          <w:tcPr>
            <w:tcW w:w="960" w:type="dxa"/>
            <w:vAlign w:val="bottom"/>
            <w:gridSpan w:val="2"/>
          </w:tcPr>
          <w:p>
            <w:pPr>
              <w:spacing w:after="0"/>
              <w:rPr>
                <w:sz w:val="19"/>
                <w:szCs w:val="19"/>
                <w:color w:val="auto"/>
              </w:rPr>
            </w:pPr>
          </w:p>
        </w:tc>
        <w:tc>
          <w:tcPr>
            <w:tcW w:w="1640" w:type="dxa"/>
            <w:vAlign w:val="bottom"/>
            <w:tcBorders>
              <w:top w:val="single" w:sz="8" w:color="auto"/>
            </w:tcBorders>
          </w:tcPr>
          <w:p>
            <w:pPr>
              <w:jc w:val="right"/>
              <w:ind w:right="4"/>
              <w:spacing w:after="0"/>
              <w:rPr>
                <w:sz w:val="20"/>
                <w:szCs w:val="20"/>
                <w:color w:val="auto"/>
              </w:rPr>
            </w:pPr>
            <w:r>
              <w:rPr>
                <w:rFonts w:ascii="Arial" w:cs="Arial" w:eastAsia="Arial" w:hAnsi="Arial"/>
                <w:sz w:val="18"/>
                <w:szCs w:val="18"/>
                <w:color w:val="auto"/>
              </w:rPr>
              <w:t>(40,946)</w:t>
            </w:r>
          </w:p>
        </w:tc>
        <w:tc>
          <w:tcPr>
            <w:tcW w:w="17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(13,975)</w:t>
            </w: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(54,921)</w:t>
            </w:r>
          </w:p>
        </w:tc>
        <w:tc>
          <w:tcPr>
            <w:tcW w:w="0" w:type="dxa"/>
            <w:vAlign w:val="bottom"/>
          </w:tcPr>
          <w:p>
            <w:pPr>
              <w:spacing w:after="0"/>
              <w:rPr>
                <w:sz w:val="1"/>
                <w:szCs w:val="1"/>
                <w:color w:val="auto"/>
              </w:rPr>
            </w:pPr>
          </w:p>
        </w:tc>
      </w:tr>
      <w:tr>
        <w:trPr>
          <w:trHeight w:val="499"/>
        </w:trPr>
        <w:tc>
          <w:tcPr>
            <w:tcW w:w="5300" w:type="dxa"/>
            <w:vAlign w:val="bottom"/>
          </w:tcPr>
          <w:p>
            <w:pPr>
              <w:ind w:left="20"/>
              <w:spacing w:after="0"/>
              <w:rPr>
                <w:sz w:val="20"/>
                <w:szCs w:val="20"/>
                <w:color w:val="auto"/>
              </w:rPr>
            </w:pPr>
            <w:r>
              <w:rPr>
                <w:rFonts w:ascii="Arial" w:cs="Arial" w:eastAsia="Arial" w:hAnsi="Arial"/>
                <w:sz w:val="18"/>
                <w:szCs w:val="18"/>
                <w:color w:val="auto"/>
              </w:rPr>
              <w:t>Discounted future net cash flows as of December 31, 2020</w:t>
            </w:r>
          </w:p>
        </w:tc>
        <w:tc>
          <w:tcPr>
            <w:tcW w:w="2600" w:type="dxa"/>
            <w:vAlign w:val="bottom"/>
            <w:gridSpan w:val="3"/>
          </w:tcPr>
          <w:p>
            <w:pPr>
              <w:jc w:val="right"/>
              <w:ind w:right="64"/>
              <w:spacing w:after="0"/>
              <w:rPr>
                <w:sz w:val="20"/>
                <w:szCs w:val="20"/>
                <w:color w:val="auto"/>
              </w:rPr>
            </w:pPr>
            <w:r>
              <w:rPr>
                <w:rFonts w:ascii="Arial" w:cs="Arial" w:eastAsia="Arial" w:hAnsi="Arial"/>
                <w:sz w:val="18"/>
                <w:szCs w:val="18"/>
                <w:color w:val="auto"/>
              </w:rPr>
              <w:t>26,554</w:t>
            </w:r>
          </w:p>
        </w:tc>
        <w:tc>
          <w:tcPr>
            <w:tcW w:w="1720" w:type="dxa"/>
            <w:vAlign w:val="bottom"/>
          </w:tcPr>
          <w:p>
            <w:pPr>
              <w:jc w:val="right"/>
              <w:ind w:right="75"/>
              <w:spacing w:after="0"/>
              <w:rPr>
                <w:sz w:val="20"/>
                <w:szCs w:val="20"/>
                <w:color w:val="auto"/>
              </w:rPr>
            </w:pPr>
            <w:r>
              <w:rPr>
                <w:rFonts w:ascii="Arial" w:cs="Arial" w:eastAsia="Arial" w:hAnsi="Arial"/>
                <w:sz w:val="18"/>
                <w:szCs w:val="18"/>
                <w:color w:val="auto"/>
              </w:rPr>
              <w:t>8,441</w:t>
            </w:r>
          </w:p>
        </w:tc>
        <w:tc>
          <w:tcPr>
            <w:tcW w:w="1620" w:type="dxa"/>
            <w:vAlign w:val="bottom"/>
          </w:tcPr>
          <w:p>
            <w:pPr>
              <w:jc w:val="right"/>
              <w:spacing w:after="0"/>
              <w:rPr>
                <w:sz w:val="20"/>
                <w:szCs w:val="20"/>
                <w:color w:val="auto"/>
              </w:rPr>
            </w:pPr>
            <w:r>
              <w:rPr>
                <w:rFonts w:ascii="Arial" w:cs="Arial" w:eastAsia="Arial" w:hAnsi="Arial"/>
                <w:sz w:val="18"/>
                <w:szCs w:val="18"/>
                <w:color w:val="auto"/>
              </w:rPr>
              <w:t>34,995</w:t>
            </w:r>
          </w:p>
        </w:tc>
        <w:tc>
          <w:tcPr>
            <w:tcW w:w="0" w:type="dxa"/>
            <w:vAlign w:val="bottom"/>
          </w:tcPr>
          <w:p>
            <w:pPr>
              <w:spacing w:after="0"/>
              <w:rPr>
                <w:sz w:val="1"/>
                <w:szCs w:val="1"/>
                <w:color w:val="auto"/>
              </w:rPr>
            </w:pPr>
          </w:p>
        </w:tc>
      </w:tr>
      <w:tr>
        <w:trPr>
          <w:trHeight w:val="750"/>
        </w:trPr>
        <w:tc>
          <w:tcPr>
            <w:tcW w:w="5300" w:type="dxa"/>
            <w:vAlign w:val="bottom"/>
          </w:tcPr>
          <w:p>
            <w:pPr>
              <w:spacing w:after="0"/>
              <w:rPr>
                <w:sz w:val="24"/>
                <w:szCs w:val="24"/>
                <w:color w:val="auto"/>
              </w:rPr>
            </w:pPr>
          </w:p>
        </w:tc>
        <w:tc>
          <w:tcPr>
            <w:tcW w:w="940" w:type="dxa"/>
            <w:vAlign w:val="bottom"/>
          </w:tcPr>
          <w:p>
            <w:pPr>
              <w:jc w:val="right"/>
              <w:ind w:right="390"/>
              <w:spacing w:after="0"/>
              <w:rPr>
                <w:sz w:val="20"/>
                <w:szCs w:val="20"/>
                <w:color w:val="auto"/>
              </w:rPr>
            </w:pPr>
            <w:r>
              <w:rPr>
                <w:rFonts w:ascii="Arial" w:cs="Arial" w:eastAsia="Arial" w:hAnsi="Arial"/>
                <w:sz w:val="18"/>
                <w:szCs w:val="18"/>
                <w:color w:val="auto"/>
              </w:rPr>
              <w:t>123</w:t>
            </w:r>
          </w:p>
        </w:tc>
        <w:tc>
          <w:tcPr>
            <w:tcW w:w="20" w:type="dxa"/>
            <w:vAlign w:val="bottom"/>
          </w:tcPr>
          <w:p>
            <w:pPr>
              <w:spacing w:after="0"/>
              <w:rPr>
                <w:sz w:val="24"/>
                <w:szCs w:val="24"/>
                <w:color w:val="auto"/>
              </w:rPr>
            </w:pPr>
          </w:p>
        </w:tc>
        <w:tc>
          <w:tcPr>
            <w:tcW w:w="1640" w:type="dxa"/>
            <w:vAlign w:val="bottom"/>
            <w:tcBorders>
              <w:top w:val="single" w:sz="8" w:color="auto"/>
            </w:tcBorders>
          </w:tcPr>
          <w:p>
            <w:pPr>
              <w:spacing w:after="0"/>
              <w:rPr>
                <w:sz w:val="24"/>
                <w:szCs w:val="24"/>
                <w:color w:val="auto"/>
              </w:rPr>
            </w:pPr>
          </w:p>
        </w:tc>
        <w:tc>
          <w:tcPr>
            <w:tcW w:w="1720" w:type="dxa"/>
            <w:vAlign w:val="bottom"/>
            <w:tcBorders>
              <w:top w:val="single" w:sz="8" w:color="auto"/>
            </w:tcBorders>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30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640" w:type="dxa"/>
            <w:vAlign w:val="bottom"/>
            <w:tcBorders>
              <w:bottom w:val="single" w:sz="8" w:color="9A9A9A"/>
            </w:tcBorders>
          </w:tcPr>
          <w:p>
            <w:pPr>
              <w:spacing w:after="0"/>
              <w:rPr>
                <w:sz w:val="8"/>
                <w:szCs w:val="8"/>
                <w:color w:val="auto"/>
              </w:rPr>
            </w:pPr>
          </w:p>
        </w:tc>
        <w:tc>
          <w:tcPr>
            <w:tcW w:w="1720" w:type="dxa"/>
            <w:vAlign w:val="bottom"/>
            <w:tcBorders>
              <w:bottom w:val="single" w:sz="8" w:color="9A9A9A"/>
            </w:tcBorders>
          </w:tcPr>
          <w:p>
            <w:pPr>
              <w:spacing w:after="0"/>
              <w:rPr>
                <w:sz w:val="8"/>
                <w:szCs w:val="8"/>
                <w:color w:val="auto"/>
              </w:rPr>
            </w:pPr>
          </w:p>
        </w:tc>
        <w:tc>
          <w:tcPr>
            <w:tcW w:w="16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b w:val="1"/>
          <w:bCs w:val="1"/>
          <w:color w:val="auto"/>
        </w:rPr>
        <w:t>Change in Standardized Measure of Discounted Future Net Cash Flows Relating to Proved Oil and Gas Reserves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Consolidated and Equity Interests (continued)</w:t>
            </w:r>
          </w:p>
        </w:tc>
        <w:tc>
          <w:tcPr>
            <w:tcW w:w="9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16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8"/>
        </w:trPr>
        <w:tc>
          <w:tcPr>
            <w:tcW w:w="5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60" w:type="dxa"/>
            <w:vAlign w:val="bottom"/>
          </w:tcPr>
          <w:p>
            <w:pPr>
              <w:jc w:val="right"/>
              <w:ind w:right="382"/>
              <w:spacing w:after="0" w:line="129" w:lineRule="exact"/>
              <w:rPr>
                <w:sz w:val="20"/>
                <w:szCs w:val="20"/>
                <w:color w:val="auto"/>
              </w:rPr>
            </w:pPr>
            <w:r>
              <w:rPr>
                <w:rFonts w:ascii="Arial" w:cs="Arial" w:eastAsia="Arial" w:hAnsi="Arial"/>
                <w:sz w:val="14"/>
                <w:szCs w:val="14"/>
                <w:b w:val="1"/>
                <w:bCs w:val="1"/>
                <w:color w:val="auto"/>
              </w:rPr>
              <w:t>Consolidated</w:t>
            </w:r>
          </w:p>
        </w:tc>
        <w:tc>
          <w:tcPr>
            <w:tcW w:w="17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4"/>
              </w:rPr>
              <w:t>Share of Equity Method</w:t>
            </w:r>
          </w:p>
        </w:tc>
        <w:tc>
          <w:tcPr>
            <w:tcW w:w="16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1"/>
              </w:rPr>
              <w:t>Total Consolidated and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5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60" w:type="dxa"/>
            <w:vAlign w:val="bottom"/>
          </w:tcPr>
          <w:p>
            <w:pPr>
              <w:jc w:val="right"/>
              <w:ind w:right="402"/>
              <w:spacing w:after="0"/>
              <w:rPr>
                <w:sz w:val="20"/>
                <w:szCs w:val="20"/>
                <w:color w:val="auto"/>
              </w:rPr>
            </w:pPr>
            <w:r>
              <w:rPr>
                <w:rFonts w:ascii="Arial" w:cs="Arial" w:eastAsia="Arial" w:hAnsi="Arial"/>
                <w:sz w:val="14"/>
                <w:szCs w:val="14"/>
                <w:b w:val="1"/>
                <w:bCs w:val="1"/>
                <w:color w:val="auto"/>
              </w:rPr>
              <w:t>Subsidiaries</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87"/>
              </w:rPr>
              <w:t>Investees</w:t>
            </w:r>
          </w:p>
        </w:tc>
        <w:tc>
          <w:tcPr>
            <w:tcW w:w="16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3"/>
              </w:rPr>
              <w:t>Equity Interests</w:t>
            </w:r>
          </w:p>
        </w:tc>
        <w:tc>
          <w:tcPr>
            <w:tcW w:w="0" w:type="dxa"/>
            <w:vAlign w:val="bottom"/>
          </w:tcPr>
          <w:p>
            <w:pPr>
              <w:spacing w:after="0"/>
              <w:rPr>
                <w:sz w:val="1"/>
                <w:szCs w:val="1"/>
                <w:color w:val="auto"/>
              </w:rPr>
            </w:pPr>
          </w:p>
        </w:tc>
      </w:tr>
      <w:tr>
        <w:trPr>
          <w:trHeight w:val="185"/>
        </w:trPr>
        <w:tc>
          <w:tcPr>
            <w:tcW w:w="53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tcPr>
          <w:p>
            <w:pPr>
              <w:spacing w:after="0"/>
              <w:rPr>
                <w:sz w:val="16"/>
                <w:szCs w:val="16"/>
                <w:color w:val="auto"/>
              </w:rPr>
            </w:pPr>
          </w:p>
        </w:tc>
        <w:tc>
          <w:tcPr>
            <w:tcW w:w="1720" w:type="dxa"/>
            <w:vAlign w:val="bottom"/>
            <w:tcBorders>
              <w:top w:val="single" w:sz="8" w:color="auto"/>
            </w:tcBorders>
          </w:tcPr>
          <w:p>
            <w:pPr>
              <w:jc w:val="center"/>
              <w:spacing w:after="0"/>
              <w:rPr>
                <w:sz w:val="20"/>
                <w:szCs w:val="20"/>
                <w:color w:val="auto"/>
              </w:rPr>
            </w:pPr>
            <w:r>
              <w:rPr>
                <w:rFonts w:ascii="Arial" w:cs="Arial" w:eastAsia="Arial" w:hAnsi="Arial"/>
                <w:sz w:val="14"/>
                <w:szCs w:val="14"/>
                <w:i w:val="1"/>
                <w:iCs w:val="1"/>
                <w:color w:val="auto"/>
                <w:w w:val="99"/>
              </w:rPr>
              <w:t>(millions of dollars)</w:t>
            </w:r>
          </w:p>
        </w:tc>
        <w:tc>
          <w:tcPr>
            <w:tcW w:w="16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5300" w:type="dxa"/>
            <w:vAlign w:val="bottom"/>
          </w:tcPr>
          <w:p>
            <w:pPr>
              <w:ind w:left="20"/>
              <w:spacing w:after="0"/>
              <w:rPr>
                <w:sz w:val="20"/>
                <w:szCs w:val="20"/>
                <w:color w:val="auto"/>
              </w:rPr>
            </w:pPr>
            <w:r>
              <w:rPr>
                <w:rFonts w:ascii="Arial" w:cs="Arial" w:eastAsia="Arial" w:hAnsi="Arial"/>
                <w:sz w:val="18"/>
                <w:szCs w:val="18"/>
                <w:color w:val="auto"/>
              </w:rPr>
              <w:t>Discounted future net cash flows as of December 31, 2020</w:t>
            </w:r>
          </w:p>
        </w:tc>
        <w:tc>
          <w:tcPr>
            <w:tcW w:w="2580" w:type="dxa"/>
            <w:vAlign w:val="bottom"/>
            <w:gridSpan w:val="2"/>
          </w:tcPr>
          <w:p>
            <w:pPr>
              <w:jc w:val="right"/>
              <w:ind w:right="62"/>
              <w:spacing w:after="0"/>
              <w:rPr>
                <w:sz w:val="20"/>
                <w:szCs w:val="20"/>
                <w:color w:val="auto"/>
              </w:rPr>
            </w:pPr>
            <w:r>
              <w:rPr>
                <w:rFonts w:ascii="Arial" w:cs="Arial" w:eastAsia="Arial" w:hAnsi="Arial"/>
                <w:sz w:val="18"/>
                <w:szCs w:val="18"/>
                <w:color w:val="auto"/>
              </w:rPr>
              <w:t>26,554</w:t>
            </w:r>
          </w:p>
        </w:tc>
        <w:tc>
          <w:tcPr>
            <w:tcW w:w="1720" w:type="dxa"/>
            <w:vAlign w:val="bottom"/>
          </w:tcPr>
          <w:p>
            <w:pPr>
              <w:jc w:val="right"/>
              <w:ind w:right="75"/>
              <w:spacing w:after="0"/>
              <w:rPr>
                <w:sz w:val="20"/>
                <w:szCs w:val="20"/>
                <w:color w:val="auto"/>
              </w:rPr>
            </w:pPr>
            <w:r>
              <w:rPr>
                <w:rFonts w:ascii="Arial" w:cs="Arial" w:eastAsia="Arial" w:hAnsi="Arial"/>
                <w:sz w:val="18"/>
                <w:szCs w:val="18"/>
                <w:color w:val="auto"/>
              </w:rPr>
              <w:t>8,441</w:t>
            </w:r>
          </w:p>
        </w:tc>
        <w:tc>
          <w:tcPr>
            <w:tcW w:w="1620" w:type="dxa"/>
            <w:vAlign w:val="bottom"/>
          </w:tcPr>
          <w:p>
            <w:pPr>
              <w:jc w:val="right"/>
              <w:spacing w:after="0"/>
              <w:rPr>
                <w:sz w:val="20"/>
                <w:szCs w:val="20"/>
                <w:color w:val="auto"/>
              </w:rPr>
            </w:pPr>
            <w:r>
              <w:rPr>
                <w:rFonts w:ascii="Arial" w:cs="Arial" w:eastAsia="Arial" w:hAnsi="Arial"/>
                <w:sz w:val="18"/>
                <w:szCs w:val="18"/>
                <w:color w:val="auto"/>
              </w:rPr>
              <w:t>34,995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2"/>
        </w:trPr>
        <w:tc>
          <w:tcPr>
            <w:tcW w:w="5300" w:type="dxa"/>
            <w:vAlign w:val="bottom"/>
          </w:tcPr>
          <w:p>
            <w:pPr>
              <w:ind w:left="20"/>
              <w:spacing w:after="0"/>
              <w:rPr>
                <w:sz w:val="20"/>
                <w:szCs w:val="20"/>
                <w:color w:val="auto"/>
              </w:rPr>
            </w:pPr>
            <w:r>
              <w:rPr>
                <w:rFonts w:ascii="Arial" w:cs="Arial" w:eastAsia="Arial" w:hAnsi="Arial"/>
                <w:sz w:val="18"/>
                <w:szCs w:val="18"/>
                <w:color w:val="auto"/>
                <w:w w:val="92"/>
              </w:rPr>
              <w:t>Value of reserves added during the year due to extensions, discoveries,</w:t>
            </w:r>
          </w:p>
        </w:tc>
        <w:tc>
          <w:tcPr>
            <w:tcW w:w="2580" w:type="dxa"/>
            <w:vAlign w:val="bottom"/>
            <w:gridSpan w:val="2"/>
            <w:vMerge w:val="restart"/>
          </w:tcPr>
          <w:p>
            <w:pPr>
              <w:jc w:val="right"/>
              <w:ind w:right="62"/>
              <w:spacing w:after="0"/>
              <w:rPr>
                <w:sz w:val="20"/>
                <w:szCs w:val="20"/>
                <w:color w:val="auto"/>
              </w:rPr>
            </w:pPr>
            <w:r>
              <w:rPr>
                <w:rFonts w:ascii="Arial" w:cs="Arial" w:eastAsia="Arial" w:hAnsi="Arial"/>
                <w:sz w:val="18"/>
                <w:szCs w:val="18"/>
                <w:color w:val="auto"/>
              </w:rPr>
              <w:t>11,922</w:t>
            </w:r>
          </w:p>
        </w:tc>
        <w:tc>
          <w:tcPr>
            <w:tcW w:w="1720" w:type="dxa"/>
            <w:vAlign w:val="bottom"/>
            <w:vMerge w:val="restart"/>
          </w:tcPr>
          <w:p>
            <w:pPr>
              <w:jc w:val="right"/>
              <w:ind w:right="75"/>
              <w:spacing w:after="0"/>
              <w:rPr>
                <w:sz w:val="20"/>
                <w:szCs w:val="20"/>
                <w:color w:val="auto"/>
              </w:rPr>
            </w:pPr>
            <w:r>
              <w:rPr>
                <w:rFonts w:ascii="Arial" w:cs="Arial" w:eastAsia="Arial" w:hAnsi="Arial"/>
                <w:sz w:val="18"/>
                <w:szCs w:val="18"/>
                <w:color w:val="auto"/>
              </w:rPr>
              <w:t>22</w:t>
            </w:r>
          </w:p>
        </w:tc>
        <w:tc>
          <w:tcPr>
            <w:tcW w:w="1620" w:type="dxa"/>
            <w:vAlign w:val="bottom"/>
            <w:vMerge w:val="restart"/>
          </w:tcPr>
          <w:p>
            <w:pPr>
              <w:jc w:val="right"/>
              <w:spacing w:after="0"/>
              <w:rPr>
                <w:sz w:val="20"/>
                <w:szCs w:val="20"/>
                <w:color w:val="auto"/>
              </w:rPr>
            </w:pPr>
            <w:r>
              <w:rPr>
                <w:rFonts w:ascii="Arial" w:cs="Arial" w:eastAsia="Arial" w:hAnsi="Arial"/>
                <w:sz w:val="18"/>
                <w:szCs w:val="18"/>
                <w:color w:val="auto"/>
              </w:rPr>
              <w:t>11,944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5300" w:type="dxa"/>
            <w:vAlign w:val="bottom"/>
            <w:vMerge w:val="restart"/>
          </w:tcPr>
          <w:p>
            <w:pPr>
              <w:ind w:left="260"/>
              <w:spacing w:after="0"/>
              <w:rPr>
                <w:sz w:val="20"/>
                <w:szCs w:val="20"/>
                <w:color w:val="auto"/>
              </w:rPr>
            </w:pPr>
            <w:r>
              <w:rPr>
                <w:rFonts w:ascii="Arial" w:cs="Arial" w:eastAsia="Arial" w:hAnsi="Arial"/>
                <w:sz w:val="18"/>
                <w:szCs w:val="18"/>
                <w:color w:val="auto"/>
              </w:rPr>
              <w:t>improved recovery and net purchases/sales less related costs</w:t>
            </w:r>
          </w:p>
        </w:tc>
        <w:tc>
          <w:tcPr>
            <w:tcW w:w="2580" w:type="dxa"/>
            <w:vAlign w:val="bottom"/>
            <w:gridSpan w:val="2"/>
            <w:vMerge w:val="continue"/>
          </w:tcPr>
          <w:p>
            <w:pPr>
              <w:spacing w:after="0"/>
              <w:rPr>
                <w:sz w:val="11"/>
                <w:szCs w:val="11"/>
                <w:color w:val="auto"/>
              </w:rPr>
            </w:pPr>
          </w:p>
        </w:tc>
        <w:tc>
          <w:tcPr>
            <w:tcW w:w="1720" w:type="dxa"/>
            <w:vAlign w:val="bottom"/>
            <w:vMerge w:val="continue"/>
          </w:tcPr>
          <w:p>
            <w:pPr>
              <w:spacing w:after="0"/>
              <w:rPr>
                <w:sz w:val="11"/>
                <w:szCs w:val="11"/>
                <w:color w:val="auto"/>
              </w:rPr>
            </w:pPr>
          </w:p>
        </w:tc>
        <w:tc>
          <w:tcPr>
            <w:tcW w:w="16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5300" w:type="dxa"/>
            <w:vAlign w:val="bottom"/>
            <w:vMerge w:val="continue"/>
          </w:tcPr>
          <w:p>
            <w:pPr>
              <w:spacing w:after="0"/>
              <w:rPr>
                <w:sz w:val="8"/>
                <w:szCs w:val="8"/>
                <w:color w:val="auto"/>
              </w:rPr>
            </w:pPr>
          </w:p>
        </w:tc>
        <w:tc>
          <w:tcPr>
            <w:tcW w:w="92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6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5300" w:type="dxa"/>
            <w:vAlign w:val="bottom"/>
          </w:tcPr>
          <w:p>
            <w:pPr>
              <w:ind w:left="20"/>
              <w:spacing w:after="0"/>
              <w:rPr>
                <w:sz w:val="20"/>
                <w:szCs w:val="20"/>
                <w:color w:val="auto"/>
              </w:rPr>
            </w:pPr>
            <w:r>
              <w:rPr>
                <w:rFonts w:ascii="Arial" w:cs="Arial" w:eastAsia="Arial" w:hAnsi="Arial"/>
                <w:sz w:val="18"/>
                <w:szCs w:val="18"/>
                <w:color w:val="auto"/>
              </w:rPr>
              <w:t>Changes in value of previous-year reserves due to:</w:t>
            </w:r>
          </w:p>
        </w:tc>
        <w:tc>
          <w:tcPr>
            <w:tcW w:w="9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300" w:type="dxa"/>
            <w:vAlign w:val="bottom"/>
          </w:tcPr>
          <w:p>
            <w:pPr>
              <w:ind w:left="220"/>
              <w:spacing w:after="0" w:line="176" w:lineRule="exact"/>
              <w:rPr>
                <w:sz w:val="20"/>
                <w:szCs w:val="20"/>
                <w:color w:val="auto"/>
              </w:rPr>
            </w:pPr>
            <w:r>
              <w:rPr>
                <w:rFonts w:ascii="Arial" w:cs="Arial" w:eastAsia="Arial" w:hAnsi="Arial"/>
                <w:sz w:val="18"/>
                <w:szCs w:val="18"/>
                <w:color w:val="auto"/>
                <w:w w:val="95"/>
              </w:rPr>
              <w:t>Sales and transfers of oil and gas produced during the year, net of</w:t>
            </w:r>
          </w:p>
        </w:tc>
        <w:tc>
          <w:tcPr>
            <w:tcW w:w="2580" w:type="dxa"/>
            <w:vAlign w:val="bottom"/>
            <w:gridSpan w:val="2"/>
            <w:vMerge w:val="restart"/>
          </w:tcPr>
          <w:p>
            <w:pPr>
              <w:jc w:val="right"/>
              <w:ind w:right="22"/>
              <w:spacing w:after="0"/>
              <w:rPr>
                <w:sz w:val="20"/>
                <w:szCs w:val="20"/>
                <w:color w:val="auto"/>
              </w:rPr>
            </w:pPr>
            <w:r>
              <w:rPr>
                <w:rFonts w:ascii="Arial" w:cs="Arial" w:eastAsia="Arial" w:hAnsi="Arial"/>
                <w:sz w:val="18"/>
                <w:szCs w:val="18"/>
                <w:color w:val="auto"/>
              </w:rPr>
              <w:t>(35,813)</w:t>
            </w:r>
          </w:p>
        </w:tc>
        <w:tc>
          <w:tcPr>
            <w:tcW w:w="1720" w:type="dxa"/>
            <w:vAlign w:val="bottom"/>
            <w:vMerge w:val="restart"/>
          </w:tcPr>
          <w:p>
            <w:pPr>
              <w:jc w:val="right"/>
              <w:ind w:right="35"/>
              <w:spacing w:after="0"/>
              <w:rPr>
                <w:sz w:val="20"/>
                <w:szCs w:val="20"/>
                <w:color w:val="auto"/>
              </w:rPr>
            </w:pPr>
            <w:r>
              <w:rPr>
                <w:rFonts w:ascii="Arial" w:cs="Arial" w:eastAsia="Arial" w:hAnsi="Arial"/>
                <w:sz w:val="18"/>
                <w:szCs w:val="18"/>
                <w:color w:val="auto"/>
              </w:rPr>
              <w:t>(9,948)</w:t>
            </w:r>
          </w:p>
        </w:tc>
        <w:tc>
          <w:tcPr>
            <w:tcW w:w="1620" w:type="dxa"/>
            <w:vAlign w:val="bottom"/>
            <w:vMerge w:val="restart"/>
          </w:tcPr>
          <w:p>
            <w:pPr>
              <w:jc w:val="right"/>
              <w:spacing w:after="0"/>
              <w:rPr>
                <w:sz w:val="20"/>
                <w:szCs w:val="20"/>
                <w:color w:val="auto"/>
              </w:rPr>
            </w:pPr>
            <w:r>
              <w:rPr>
                <w:rFonts w:ascii="Arial" w:cs="Arial" w:eastAsia="Arial" w:hAnsi="Arial"/>
                <w:sz w:val="18"/>
                <w:szCs w:val="18"/>
                <w:color w:val="auto"/>
              </w:rPr>
              <w:t>(45,761)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300" w:type="dxa"/>
            <w:vAlign w:val="bottom"/>
          </w:tcPr>
          <w:p>
            <w:pPr>
              <w:ind w:left="460"/>
              <w:spacing w:after="0"/>
              <w:rPr>
                <w:sz w:val="20"/>
                <w:szCs w:val="20"/>
                <w:color w:val="auto"/>
              </w:rPr>
            </w:pPr>
            <w:r>
              <w:rPr>
                <w:rFonts w:ascii="Arial" w:cs="Arial" w:eastAsia="Arial" w:hAnsi="Arial"/>
                <w:sz w:val="18"/>
                <w:szCs w:val="18"/>
                <w:color w:val="auto"/>
              </w:rPr>
              <w:t>production (lifting) costs</w:t>
            </w:r>
          </w:p>
        </w:tc>
        <w:tc>
          <w:tcPr>
            <w:tcW w:w="2580" w:type="dxa"/>
            <w:vAlign w:val="bottom"/>
            <w:gridSpan w:val="2"/>
            <w:vMerge w:val="continue"/>
          </w:tcPr>
          <w:p>
            <w:pPr>
              <w:spacing w:after="0"/>
              <w:rPr>
                <w:sz w:val="19"/>
                <w:szCs w:val="19"/>
                <w:color w:val="auto"/>
              </w:rPr>
            </w:pPr>
          </w:p>
        </w:tc>
        <w:tc>
          <w:tcPr>
            <w:tcW w:w="1720" w:type="dxa"/>
            <w:vAlign w:val="bottom"/>
            <w:vMerge w:val="continue"/>
          </w:tcPr>
          <w:p>
            <w:pPr>
              <w:spacing w:after="0"/>
              <w:rPr>
                <w:sz w:val="19"/>
                <w:szCs w:val="19"/>
                <w:color w:val="auto"/>
              </w:rPr>
            </w:pPr>
          </w:p>
        </w:tc>
        <w:tc>
          <w:tcPr>
            <w:tcW w:w="16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tcPr>
          <w:p>
            <w:pPr>
              <w:ind w:left="220"/>
              <w:spacing w:after="0"/>
              <w:rPr>
                <w:sz w:val="20"/>
                <w:szCs w:val="20"/>
                <w:color w:val="auto"/>
              </w:rPr>
            </w:pPr>
            <w:r>
              <w:rPr>
                <w:rFonts w:ascii="Arial" w:cs="Arial" w:eastAsia="Arial" w:hAnsi="Arial"/>
                <w:sz w:val="18"/>
                <w:szCs w:val="18"/>
                <w:color w:val="auto"/>
              </w:rPr>
              <w:t>Development costs incurred during the year</w:t>
            </w:r>
          </w:p>
        </w:tc>
        <w:tc>
          <w:tcPr>
            <w:tcW w:w="2580" w:type="dxa"/>
            <w:vAlign w:val="bottom"/>
            <w:gridSpan w:val="2"/>
          </w:tcPr>
          <w:p>
            <w:pPr>
              <w:jc w:val="right"/>
              <w:ind w:right="62"/>
              <w:spacing w:after="0"/>
              <w:rPr>
                <w:sz w:val="20"/>
                <w:szCs w:val="20"/>
                <w:color w:val="auto"/>
              </w:rPr>
            </w:pPr>
            <w:r>
              <w:rPr>
                <w:rFonts w:ascii="Arial" w:cs="Arial" w:eastAsia="Arial" w:hAnsi="Arial"/>
                <w:sz w:val="18"/>
                <w:szCs w:val="18"/>
                <w:color w:val="auto"/>
              </w:rPr>
              <w:t>7,033</w:t>
            </w:r>
          </w:p>
        </w:tc>
        <w:tc>
          <w:tcPr>
            <w:tcW w:w="1720" w:type="dxa"/>
            <w:vAlign w:val="bottom"/>
          </w:tcPr>
          <w:p>
            <w:pPr>
              <w:jc w:val="right"/>
              <w:ind w:right="75"/>
              <w:spacing w:after="0"/>
              <w:rPr>
                <w:sz w:val="20"/>
                <w:szCs w:val="20"/>
                <w:color w:val="auto"/>
              </w:rPr>
            </w:pPr>
            <w:r>
              <w:rPr>
                <w:rFonts w:ascii="Arial" w:cs="Arial" w:eastAsia="Arial" w:hAnsi="Arial"/>
                <w:sz w:val="18"/>
                <w:szCs w:val="18"/>
                <w:color w:val="auto"/>
              </w:rPr>
              <w:t>1,563</w:t>
            </w:r>
          </w:p>
        </w:tc>
        <w:tc>
          <w:tcPr>
            <w:tcW w:w="1620" w:type="dxa"/>
            <w:vAlign w:val="bottom"/>
          </w:tcPr>
          <w:p>
            <w:pPr>
              <w:jc w:val="right"/>
              <w:spacing w:after="0"/>
              <w:rPr>
                <w:sz w:val="20"/>
                <w:szCs w:val="20"/>
                <w:color w:val="auto"/>
              </w:rPr>
            </w:pPr>
            <w:r>
              <w:rPr>
                <w:rFonts w:ascii="Arial" w:cs="Arial" w:eastAsia="Arial" w:hAnsi="Arial"/>
                <w:sz w:val="18"/>
                <w:szCs w:val="18"/>
                <w:color w:val="auto"/>
              </w:rPr>
              <w:t>8,596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220"/>
              <w:spacing w:after="0"/>
              <w:rPr>
                <w:sz w:val="20"/>
                <w:szCs w:val="20"/>
                <w:color w:val="auto"/>
              </w:rPr>
            </w:pPr>
            <w:r>
              <w:rPr>
                <w:rFonts w:ascii="Arial" w:cs="Arial" w:eastAsia="Arial" w:hAnsi="Arial"/>
                <w:sz w:val="18"/>
                <w:szCs w:val="18"/>
                <w:color w:val="auto"/>
              </w:rPr>
              <w:t>Net change in prices, lifting and development costs</w:t>
            </w:r>
          </w:p>
        </w:tc>
        <w:tc>
          <w:tcPr>
            <w:tcW w:w="2580" w:type="dxa"/>
            <w:vAlign w:val="bottom"/>
            <w:gridSpan w:val="2"/>
          </w:tcPr>
          <w:p>
            <w:pPr>
              <w:jc w:val="right"/>
              <w:ind w:right="62"/>
              <w:spacing w:after="0"/>
              <w:rPr>
                <w:sz w:val="20"/>
                <w:szCs w:val="20"/>
                <w:color w:val="auto"/>
              </w:rPr>
            </w:pPr>
            <w:r>
              <w:rPr>
                <w:rFonts w:ascii="Arial" w:cs="Arial" w:eastAsia="Arial" w:hAnsi="Arial"/>
                <w:sz w:val="18"/>
                <w:szCs w:val="18"/>
                <w:color w:val="auto"/>
              </w:rPr>
              <w:t>118,946</w:t>
            </w:r>
          </w:p>
        </w:tc>
        <w:tc>
          <w:tcPr>
            <w:tcW w:w="1720" w:type="dxa"/>
            <w:vAlign w:val="bottom"/>
          </w:tcPr>
          <w:p>
            <w:pPr>
              <w:jc w:val="right"/>
              <w:ind w:right="75"/>
              <w:spacing w:after="0"/>
              <w:rPr>
                <w:sz w:val="20"/>
                <w:szCs w:val="20"/>
                <w:color w:val="auto"/>
              </w:rPr>
            </w:pPr>
            <w:r>
              <w:rPr>
                <w:rFonts w:ascii="Arial" w:cs="Arial" w:eastAsia="Arial" w:hAnsi="Arial"/>
                <w:sz w:val="18"/>
                <w:szCs w:val="18"/>
                <w:color w:val="auto"/>
              </w:rPr>
              <w:t>47,434</w:t>
            </w:r>
          </w:p>
        </w:tc>
        <w:tc>
          <w:tcPr>
            <w:tcW w:w="1620" w:type="dxa"/>
            <w:vAlign w:val="bottom"/>
          </w:tcPr>
          <w:p>
            <w:pPr>
              <w:jc w:val="right"/>
              <w:spacing w:after="0"/>
              <w:rPr>
                <w:sz w:val="20"/>
                <w:szCs w:val="20"/>
                <w:color w:val="auto"/>
              </w:rPr>
            </w:pPr>
            <w:r>
              <w:rPr>
                <w:rFonts w:ascii="Arial" w:cs="Arial" w:eastAsia="Arial" w:hAnsi="Arial"/>
                <w:sz w:val="18"/>
                <w:szCs w:val="18"/>
                <w:color w:val="auto"/>
              </w:rPr>
              <w:t>166,380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tcPr>
          <w:p>
            <w:pPr>
              <w:ind w:left="220"/>
              <w:spacing w:after="0"/>
              <w:rPr>
                <w:sz w:val="20"/>
                <w:szCs w:val="20"/>
                <w:color w:val="auto"/>
              </w:rPr>
            </w:pPr>
            <w:r>
              <w:rPr>
                <w:rFonts w:ascii="Arial" w:cs="Arial" w:eastAsia="Arial" w:hAnsi="Arial"/>
                <w:sz w:val="18"/>
                <w:szCs w:val="18"/>
                <w:color w:val="auto"/>
              </w:rPr>
              <w:t>Revisions of previous reserves estimates</w:t>
            </w:r>
          </w:p>
        </w:tc>
        <w:tc>
          <w:tcPr>
            <w:tcW w:w="2580" w:type="dxa"/>
            <w:vAlign w:val="bottom"/>
            <w:gridSpan w:val="2"/>
          </w:tcPr>
          <w:p>
            <w:pPr>
              <w:jc w:val="right"/>
              <w:ind w:right="62"/>
              <w:spacing w:after="0"/>
              <w:rPr>
                <w:sz w:val="20"/>
                <w:szCs w:val="20"/>
                <w:color w:val="auto"/>
              </w:rPr>
            </w:pPr>
            <w:r>
              <w:rPr>
                <w:rFonts w:ascii="Arial" w:cs="Arial" w:eastAsia="Arial" w:hAnsi="Arial"/>
                <w:sz w:val="18"/>
                <w:szCs w:val="18"/>
                <w:color w:val="auto"/>
              </w:rPr>
              <w:t>27,126</w:t>
            </w:r>
          </w:p>
        </w:tc>
        <w:tc>
          <w:tcPr>
            <w:tcW w:w="1720" w:type="dxa"/>
            <w:vAlign w:val="bottom"/>
          </w:tcPr>
          <w:p>
            <w:pPr>
              <w:jc w:val="right"/>
              <w:ind w:right="75"/>
              <w:spacing w:after="0"/>
              <w:rPr>
                <w:sz w:val="20"/>
                <w:szCs w:val="20"/>
                <w:color w:val="auto"/>
              </w:rPr>
            </w:pPr>
            <w:r>
              <w:rPr>
                <w:rFonts w:ascii="Arial" w:cs="Arial" w:eastAsia="Arial" w:hAnsi="Arial"/>
                <w:sz w:val="18"/>
                <w:szCs w:val="18"/>
                <w:color w:val="auto"/>
              </w:rPr>
              <w:t>2,507</w:t>
            </w:r>
          </w:p>
        </w:tc>
        <w:tc>
          <w:tcPr>
            <w:tcW w:w="1620" w:type="dxa"/>
            <w:vAlign w:val="bottom"/>
          </w:tcPr>
          <w:p>
            <w:pPr>
              <w:jc w:val="right"/>
              <w:spacing w:after="0"/>
              <w:rPr>
                <w:sz w:val="20"/>
                <w:szCs w:val="20"/>
                <w:color w:val="auto"/>
              </w:rPr>
            </w:pPr>
            <w:r>
              <w:rPr>
                <w:rFonts w:ascii="Arial" w:cs="Arial" w:eastAsia="Arial" w:hAnsi="Arial"/>
                <w:sz w:val="18"/>
                <w:szCs w:val="18"/>
                <w:color w:val="auto"/>
              </w:rPr>
              <w:t>29,633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220"/>
              <w:spacing w:after="0"/>
              <w:rPr>
                <w:sz w:val="20"/>
                <w:szCs w:val="20"/>
                <w:color w:val="auto"/>
              </w:rPr>
            </w:pPr>
            <w:r>
              <w:rPr>
                <w:rFonts w:ascii="Arial" w:cs="Arial" w:eastAsia="Arial" w:hAnsi="Arial"/>
                <w:sz w:val="18"/>
                <w:szCs w:val="18"/>
                <w:color w:val="auto"/>
              </w:rPr>
              <w:t>Accretion of discount</w:t>
            </w:r>
          </w:p>
        </w:tc>
        <w:tc>
          <w:tcPr>
            <w:tcW w:w="2580" w:type="dxa"/>
            <w:vAlign w:val="bottom"/>
            <w:gridSpan w:val="2"/>
          </w:tcPr>
          <w:p>
            <w:pPr>
              <w:jc w:val="right"/>
              <w:ind w:right="62"/>
              <w:spacing w:after="0"/>
              <w:rPr>
                <w:sz w:val="20"/>
                <w:szCs w:val="20"/>
                <w:color w:val="auto"/>
              </w:rPr>
            </w:pPr>
            <w:r>
              <w:rPr>
                <w:rFonts w:ascii="Arial" w:cs="Arial" w:eastAsia="Arial" w:hAnsi="Arial"/>
                <w:sz w:val="18"/>
                <w:szCs w:val="18"/>
                <w:color w:val="auto"/>
              </w:rPr>
              <w:t>3,762</w:t>
            </w:r>
          </w:p>
        </w:tc>
        <w:tc>
          <w:tcPr>
            <w:tcW w:w="1720" w:type="dxa"/>
            <w:vAlign w:val="bottom"/>
          </w:tcPr>
          <w:p>
            <w:pPr>
              <w:jc w:val="right"/>
              <w:ind w:right="75"/>
              <w:spacing w:after="0"/>
              <w:rPr>
                <w:sz w:val="20"/>
                <w:szCs w:val="20"/>
                <w:color w:val="auto"/>
              </w:rPr>
            </w:pPr>
            <w:r>
              <w:rPr>
                <w:rFonts w:ascii="Arial" w:cs="Arial" w:eastAsia="Arial" w:hAnsi="Arial"/>
                <w:sz w:val="18"/>
                <w:szCs w:val="18"/>
                <w:color w:val="auto"/>
              </w:rPr>
              <w:t>1,201</w:t>
            </w:r>
          </w:p>
        </w:tc>
        <w:tc>
          <w:tcPr>
            <w:tcW w:w="1620" w:type="dxa"/>
            <w:vAlign w:val="bottom"/>
          </w:tcPr>
          <w:p>
            <w:pPr>
              <w:jc w:val="right"/>
              <w:spacing w:after="0"/>
              <w:rPr>
                <w:sz w:val="20"/>
                <w:szCs w:val="20"/>
                <w:color w:val="auto"/>
              </w:rPr>
            </w:pPr>
            <w:r>
              <w:rPr>
                <w:rFonts w:ascii="Arial" w:cs="Arial" w:eastAsia="Arial" w:hAnsi="Arial"/>
                <w:sz w:val="18"/>
                <w:szCs w:val="18"/>
                <w:color w:val="auto"/>
              </w:rPr>
              <w:t>4,963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20"/>
              <w:spacing w:after="0"/>
              <w:rPr>
                <w:sz w:val="20"/>
                <w:szCs w:val="20"/>
                <w:color w:val="auto"/>
              </w:rPr>
            </w:pPr>
            <w:r>
              <w:rPr>
                <w:rFonts w:ascii="Arial" w:cs="Arial" w:eastAsia="Arial" w:hAnsi="Arial"/>
                <w:sz w:val="18"/>
                <w:szCs w:val="18"/>
                <w:color w:val="auto"/>
              </w:rPr>
              <w:t>Net change in income taxes</w:t>
            </w:r>
          </w:p>
        </w:tc>
        <w:tc>
          <w:tcPr>
            <w:tcW w:w="2580" w:type="dxa"/>
            <w:vAlign w:val="bottom"/>
            <w:gridSpan w:val="2"/>
          </w:tcPr>
          <w:p>
            <w:pPr>
              <w:jc w:val="right"/>
              <w:ind w:right="22"/>
              <w:spacing w:after="0"/>
              <w:rPr>
                <w:sz w:val="20"/>
                <w:szCs w:val="20"/>
                <w:color w:val="auto"/>
              </w:rPr>
            </w:pPr>
            <w:r>
              <w:rPr>
                <w:rFonts w:ascii="Arial" w:cs="Arial" w:eastAsia="Arial" w:hAnsi="Arial"/>
                <w:sz w:val="18"/>
                <w:szCs w:val="18"/>
                <w:color w:val="auto"/>
              </w:rPr>
              <w:t>(43,650)</w:t>
            </w:r>
          </w:p>
        </w:tc>
        <w:tc>
          <w:tcPr>
            <w:tcW w:w="1720" w:type="dxa"/>
            <w:vAlign w:val="bottom"/>
          </w:tcPr>
          <w:p>
            <w:pPr>
              <w:jc w:val="right"/>
              <w:ind w:right="35"/>
              <w:spacing w:after="0"/>
              <w:rPr>
                <w:sz w:val="20"/>
                <w:szCs w:val="20"/>
                <w:color w:val="auto"/>
              </w:rPr>
            </w:pPr>
            <w:r>
              <w:rPr>
                <w:rFonts w:ascii="Arial" w:cs="Arial" w:eastAsia="Arial" w:hAnsi="Arial"/>
                <w:sz w:val="18"/>
                <w:szCs w:val="18"/>
                <w:color w:val="auto"/>
              </w:rPr>
              <w:t>(13,281)</w:t>
            </w:r>
          </w:p>
        </w:tc>
        <w:tc>
          <w:tcPr>
            <w:tcW w:w="1620" w:type="dxa"/>
            <w:vAlign w:val="bottom"/>
          </w:tcPr>
          <w:p>
            <w:pPr>
              <w:jc w:val="right"/>
              <w:spacing w:after="0"/>
              <w:rPr>
                <w:sz w:val="20"/>
                <w:szCs w:val="20"/>
                <w:color w:val="auto"/>
              </w:rPr>
            </w:pPr>
            <w:r>
              <w:rPr>
                <w:rFonts w:ascii="Arial" w:cs="Arial" w:eastAsia="Arial" w:hAnsi="Arial"/>
                <w:sz w:val="18"/>
                <w:szCs w:val="18"/>
                <w:color w:val="auto"/>
              </w:rPr>
              <w:t>(56,931)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5300" w:type="dxa"/>
            <w:vAlign w:val="bottom"/>
          </w:tcPr>
          <w:p>
            <w:pPr>
              <w:ind w:left="360"/>
              <w:spacing w:after="0"/>
              <w:rPr>
                <w:sz w:val="20"/>
                <w:szCs w:val="20"/>
                <w:color w:val="auto"/>
              </w:rPr>
            </w:pPr>
            <w:r>
              <w:rPr>
                <w:rFonts w:ascii="Arial" w:cs="Arial" w:eastAsia="Arial" w:hAnsi="Arial"/>
                <w:sz w:val="18"/>
                <w:szCs w:val="18"/>
                <w:color w:val="auto"/>
              </w:rPr>
              <w:t>Total change in the standardized measure during the year</w:t>
            </w:r>
          </w:p>
        </w:tc>
        <w:tc>
          <w:tcPr>
            <w:tcW w:w="920" w:type="dxa"/>
            <w:vAlign w:val="bottom"/>
          </w:tcPr>
          <w:p>
            <w:pPr>
              <w:spacing w:after="0"/>
              <w:rPr>
                <w:sz w:val="19"/>
                <w:szCs w:val="19"/>
                <w:color w:val="auto"/>
              </w:rPr>
            </w:pPr>
          </w:p>
        </w:tc>
        <w:tc>
          <w:tcPr>
            <w:tcW w:w="1660" w:type="dxa"/>
            <w:vAlign w:val="bottom"/>
            <w:tcBorders>
              <w:top w:val="single" w:sz="8" w:color="auto"/>
            </w:tcBorders>
          </w:tcPr>
          <w:p>
            <w:pPr>
              <w:jc w:val="right"/>
              <w:ind w:right="62"/>
              <w:spacing w:after="0"/>
              <w:rPr>
                <w:sz w:val="20"/>
                <w:szCs w:val="20"/>
                <w:color w:val="auto"/>
              </w:rPr>
            </w:pPr>
            <w:r>
              <w:rPr>
                <w:rFonts w:ascii="Arial" w:cs="Arial" w:eastAsia="Arial" w:hAnsi="Arial"/>
                <w:sz w:val="18"/>
                <w:szCs w:val="18"/>
                <w:color w:val="auto"/>
              </w:rPr>
              <w:t>89,326</w:t>
            </w:r>
          </w:p>
        </w:tc>
        <w:tc>
          <w:tcPr>
            <w:tcW w:w="1720" w:type="dxa"/>
            <w:vAlign w:val="bottom"/>
            <w:tcBorders>
              <w:top w:val="single" w:sz="8" w:color="auto"/>
            </w:tcBorders>
          </w:tcPr>
          <w:p>
            <w:pPr>
              <w:jc w:val="right"/>
              <w:ind w:right="75"/>
              <w:spacing w:after="0"/>
              <w:rPr>
                <w:sz w:val="20"/>
                <w:szCs w:val="20"/>
                <w:color w:val="auto"/>
              </w:rPr>
            </w:pPr>
            <w:r>
              <w:rPr>
                <w:rFonts w:ascii="Arial" w:cs="Arial" w:eastAsia="Arial" w:hAnsi="Arial"/>
                <w:sz w:val="18"/>
                <w:szCs w:val="18"/>
                <w:color w:val="auto"/>
              </w:rPr>
              <w:t>29,498</w:t>
            </w: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118,824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9"/>
        </w:trPr>
        <w:tc>
          <w:tcPr>
            <w:tcW w:w="5300" w:type="dxa"/>
            <w:vAlign w:val="bottom"/>
          </w:tcPr>
          <w:p>
            <w:pPr>
              <w:ind w:left="20"/>
              <w:spacing w:after="0"/>
              <w:rPr>
                <w:sz w:val="20"/>
                <w:szCs w:val="20"/>
                <w:color w:val="auto"/>
              </w:rPr>
            </w:pPr>
            <w:r>
              <w:rPr>
                <w:rFonts w:ascii="Arial" w:cs="Arial" w:eastAsia="Arial" w:hAnsi="Arial"/>
                <w:sz w:val="18"/>
                <w:szCs w:val="18"/>
                <w:color w:val="auto"/>
              </w:rPr>
              <w:t>Discounted future net cash flows as of December 31, 2021</w:t>
            </w:r>
          </w:p>
        </w:tc>
        <w:tc>
          <w:tcPr>
            <w:tcW w:w="2580" w:type="dxa"/>
            <w:vAlign w:val="bottom"/>
            <w:gridSpan w:val="2"/>
          </w:tcPr>
          <w:p>
            <w:pPr>
              <w:jc w:val="right"/>
              <w:ind w:right="62"/>
              <w:spacing w:after="0"/>
              <w:rPr>
                <w:sz w:val="20"/>
                <w:szCs w:val="20"/>
                <w:color w:val="auto"/>
              </w:rPr>
            </w:pPr>
            <w:r>
              <w:rPr>
                <w:rFonts w:ascii="Arial" w:cs="Arial" w:eastAsia="Arial" w:hAnsi="Arial"/>
                <w:sz w:val="18"/>
                <w:szCs w:val="18"/>
                <w:color w:val="auto"/>
              </w:rPr>
              <w:t>115,880</w:t>
            </w:r>
          </w:p>
        </w:tc>
        <w:tc>
          <w:tcPr>
            <w:tcW w:w="1720" w:type="dxa"/>
            <w:vAlign w:val="bottom"/>
          </w:tcPr>
          <w:p>
            <w:pPr>
              <w:jc w:val="right"/>
              <w:ind w:right="75"/>
              <w:spacing w:after="0"/>
              <w:rPr>
                <w:sz w:val="20"/>
                <w:szCs w:val="20"/>
                <w:color w:val="auto"/>
              </w:rPr>
            </w:pPr>
            <w:r>
              <w:rPr>
                <w:rFonts w:ascii="Arial" w:cs="Arial" w:eastAsia="Arial" w:hAnsi="Arial"/>
                <w:sz w:val="18"/>
                <w:szCs w:val="18"/>
                <w:color w:val="auto"/>
              </w:rPr>
              <w:t>37,939</w:t>
            </w:r>
          </w:p>
        </w:tc>
        <w:tc>
          <w:tcPr>
            <w:tcW w:w="1620" w:type="dxa"/>
            <w:vAlign w:val="bottom"/>
          </w:tcPr>
          <w:p>
            <w:pPr>
              <w:jc w:val="right"/>
              <w:spacing w:after="0"/>
              <w:rPr>
                <w:sz w:val="20"/>
                <w:szCs w:val="20"/>
                <w:color w:val="auto"/>
              </w:rPr>
            </w:pPr>
            <w:r>
              <w:rPr>
                <w:rFonts w:ascii="Arial" w:cs="Arial" w:eastAsia="Arial" w:hAnsi="Arial"/>
                <w:sz w:val="18"/>
                <w:szCs w:val="18"/>
                <w:color w:val="auto"/>
              </w:rPr>
              <w:t>153,819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36"/>
        </w:trPr>
        <w:tc>
          <w:tcPr>
            <w:tcW w:w="5300" w:type="dxa"/>
            <w:vAlign w:val="bottom"/>
          </w:tcPr>
          <w:p>
            <w:pPr>
              <w:spacing w:after="0"/>
              <w:rPr>
                <w:sz w:val="24"/>
                <w:szCs w:val="24"/>
                <w:color w:val="auto"/>
              </w:rPr>
            </w:pPr>
          </w:p>
        </w:tc>
        <w:tc>
          <w:tcPr>
            <w:tcW w:w="920" w:type="dxa"/>
            <w:vAlign w:val="bottom"/>
          </w:tcPr>
          <w:p>
            <w:pPr>
              <w:jc w:val="right"/>
              <w:ind w:right="370"/>
              <w:spacing w:after="0"/>
              <w:rPr>
                <w:sz w:val="20"/>
                <w:szCs w:val="20"/>
                <w:color w:val="auto"/>
              </w:rPr>
            </w:pPr>
            <w:r>
              <w:rPr>
                <w:rFonts w:ascii="Arial" w:cs="Arial" w:eastAsia="Arial" w:hAnsi="Arial"/>
                <w:sz w:val="18"/>
                <w:szCs w:val="18"/>
                <w:color w:val="auto"/>
              </w:rPr>
              <w:t>124</w:t>
            </w:r>
          </w:p>
        </w:tc>
        <w:tc>
          <w:tcPr>
            <w:tcW w:w="1660" w:type="dxa"/>
            <w:vAlign w:val="bottom"/>
            <w:tcBorders>
              <w:top w:val="single" w:sz="8" w:color="auto"/>
            </w:tcBorders>
          </w:tcPr>
          <w:p>
            <w:pPr>
              <w:spacing w:after="0"/>
              <w:rPr>
                <w:sz w:val="24"/>
                <w:szCs w:val="24"/>
                <w:color w:val="auto"/>
              </w:rPr>
            </w:pPr>
          </w:p>
        </w:tc>
        <w:tc>
          <w:tcPr>
            <w:tcW w:w="1720" w:type="dxa"/>
            <w:vAlign w:val="bottom"/>
            <w:tcBorders>
              <w:top w:val="single" w:sz="8" w:color="auto"/>
            </w:tcBorders>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530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1660" w:type="dxa"/>
            <w:vAlign w:val="bottom"/>
            <w:tcBorders>
              <w:bottom w:val="single" w:sz="8" w:color="9A9A9A"/>
            </w:tcBorders>
          </w:tcPr>
          <w:p>
            <w:pPr>
              <w:spacing w:after="0"/>
              <w:rPr>
                <w:sz w:val="8"/>
                <w:szCs w:val="8"/>
                <w:color w:val="auto"/>
              </w:rPr>
            </w:pPr>
          </w:p>
        </w:tc>
        <w:tc>
          <w:tcPr>
            <w:tcW w:w="1720" w:type="dxa"/>
            <w:vAlign w:val="bottom"/>
            <w:tcBorders>
              <w:bottom w:val="single" w:sz="8" w:color="9A9A9A"/>
            </w:tcBorders>
          </w:tcPr>
          <w:p>
            <w:pPr>
              <w:spacing w:after="0"/>
              <w:rPr>
                <w:sz w:val="8"/>
                <w:szCs w:val="8"/>
                <w:color w:val="auto"/>
              </w:rPr>
            </w:pPr>
          </w:p>
        </w:tc>
        <w:tc>
          <w:tcPr>
            <w:tcW w:w="16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6" w:name="page127"/>
    <w:bookmarkEnd w:id="126"/>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20" w:type="dxa"/>
            <w:vAlign w:val="bottom"/>
          </w:tcPr>
          <w:p>
            <w:pPr>
              <w:ind w:left="3700"/>
              <w:spacing w:after="0"/>
              <w:rPr>
                <w:sz w:val="20"/>
                <w:szCs w:val="20"/>
                <w:color w:val="auto"/>
              </w:rPr>
            </w:pPr>
            <w:r>
              <w:rPr>
                <w:rFonts w:ascii="Arial" w:cs="Arial" w:eastAsia="Arial" w:hAnsi="Arial"/>
                <w:sz w:val="18"/>
                <w:szCs w:val="18"/>
                <w:b w:val="1"/>
                <w:bCs w:val="1"/>
                <w:color w:val="auto"/>
              </w:rPr>
              <w:t>INDEX TO EXHIBITS</w:t>
            </w:r>
          </w:p>
        </w:tc>
      </w:tr>
      <w:tr>
        <w:trPr>
          <w:trHeight w:val="351"/>
        </w:trPr>
        <w:tc>
          <w:tcPr>
            <w:tcW w:w="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7"/>
          </w:tcPr>
          <w:p>
            <w:pPr>
              <w:spacing w:after="0"/>
              <w:rPr>
                <w:sz w:val="20"/>
                <w:szCs w:val="20"/>
                <w:color w:val="auto"/>
              </w:rPr>
            </w:pPr>
            <w:r>
              <w:rPr>
                <w:rFonts w:ascii="Arial" w:cs="Arial" w:eastAsia="Arial" w:hAnsi="Arial"/>
                <w:sz w:val="18"/>
                <w:szCs w:val="18"/>
                <w:b w:val="1"/>
                <w:bCs w:val="1"/>
                <w:color w:val="auto"/>
              </w:rPr>
              <w:t>Exhibit</w:t>
            </w:r>
          </w:p>
        </w:tc>
        <w:tc>
          <w:tcPr>
            <w:tcW w:w="1022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Description</w:t>
            </w:r>
          </w:p>
        </w:tc>
      </w:tr>
      <w:tr>
        <w:trPr>
          <w:trHeight w:val="412"/>
        </w:trPr>
        <w:tc>
          <w:tcPr>
            <w:tcW w:w="20" w:type="dxa"/>
            <w:vAlign w:val="bottom"/>
          </w:tcPr>
          <w:p>
            <w:pPr>
              <w:spacing w:after="0"/>
              <w:rPr>
                <w:sz w:val="24"/>
                <w:szCs w:val="24"/>
                <w:color w:val="auto"/>
              </w:rPr>
            </w:pPr>
          </w:p>
        </w:tc>
        <w:tc>
          <w:tcPr>
            <w:tcW w:w="1000" w:type="dxa"/>
            <w:vAlign w:val="bottom"/>
            <w:gridSpan w:val="7"/>
          </w:tcPr>
          <w:p>
            <w:pPr>
              <w:spacing w:after="0"/>
              <w:rPr>
                <w:rFonts w:ascii="Arial" w:cs="Arial" w:eastAsia="Arial" w:hAnsi="Arial"/>
                <w:sz w:val="18"/>
                <w:szCs w:val="18"/>
                <w:color w:val="0000FF"/>
              </w:rPr>
            </w:pPr>
            <w:hyperlink r:id="rId178">
              <w:r>
                <w:rPr>
                  <w:rFonts w:ascii="Arial" w:cs="Arial" w:eastAsia="Arial" w:hAnsi="Arial"/>
                  <w:sz w:val="18"/>
                  <w:szCs w:val="18"/>
                  <w:color w:val="0000FF"/>
                </w:rPr>
                <w:t>3(i)</w:t>
              </w:r>
            </w:hyperlink>
          </w:p>
        </w:tc>
        <w:tc>
          <w:tcPr>
            <w:tcW w:w="10220" w:type="dxa"/>
            <w:vAlign w:val="bottom"/>
          </w:tcPr>
          <w:p>
            <w:pPr>
              <w:ind w:left="200"/>
              <w:spacing w:after="0"/>
              <w:rPr>
                <w:sz w:val="20"/>
                <w:szCs w:val="20"/>
                <w:color w:val="auto"/>
              </w:rPr>
            </w:pPr>
            <w:r>
              <w:rPr>
                <w:rFonts w:ascii="Arial" w:cs="Arial" w:eastAsia="Arial" w:hAnsi="Arial"/>
                <w:sz w:val="18"/>
                <w:szCs w:val="18"/>
                <w:color w:val="auto"/>
                <w:w w:val="92"/>
              </w:rPr>
              <w:t>Restated Certificate of Incorporation, as restated November 30, 1999, and as further amended effective June 20, 2001 (incorporated by</w:t>
            </w:r>
          </w:p>
        </w:tc>
      </w:tr>
      <w:tr>
        <w:trPr>
          <w:trHeight w:val="210"/>
        </w:trPr>
        <w:tc>
          <w:tcPr>
            <w:tcW w:w="20" w:type="dxa"/>
            <w:vAlign w:val="bottom"/>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20" w:type="dxa"/>
            <w:vAlign w:val="bottom"/>
          </w:tcPr>
          <w:p>
            <w:pPr>
              <w:ind w:left="200"/>
              <w:spacing w:after="0"/>
              <w:rPr>
                <w:sz w:val="20"/>
                <w:szCs w:val="20"/>
                <w:color w:val="auto"/>
              </w:rPr>
            </w:pPr>
            <w:r>
              <w:rPr>
                <w:rFonts w:ascii="Arial" w:cs="Arial" w:eastAsia="Arial" w:hAnsi="Arial"/>
                <w:sz w:val="18"/>
                <w:szCs w:val="18"/>
                <w:color w:val="auto"/>
              </w:rPr>
              <w:t>reference to Exhibit 3(i) to the Registrant’s Annual Report on Form 10-K for 2015).</w:t>
            </w:r>
          </w:p>
        </w:tc>
      </w:tr>
      <w:tr>
        <w:trPr>
          <w:trHeight w:val="296"/>
        </w:trPr>
        <w:tc>
          <w:tcPr>
            <w:tcW w:w="20" w:type="dxa"/>
            <w:vAlign w:val="bottom"/>
          </w:tcPr>
          <w:p>
            <w:pPr>
              <w:spacing w:after="0"/>
              <w:rPr>
                <w:sz w:val="24"/>
                <w:szCs w:val="24"/>
                <w:color w:val="auto"/>
              </w:rPr>
            </w:pPr>
          </w:p>
        </w:tc>
        <w:tc>
          <w:tcPr>
            <w:tcW w:w="1000" w:type="dxa"/>
            <w:vAlign w:val="bottom"/>
            <w:gridSpan w:val="7"/>
          </w:tcPr>
          <w:p>
            <w:pPr>
              <w:spacing w:after="0"/>
              <w:rPr>
                <w:rFonts w:ascii="Arial" w:cs="Arial" w:eastAsia="Arial" w:hAnsi="Arial"/>
                <w:sz w:val="18"/>
                <w:szCs w:val="18"/>
                <w:color w:val="0000FF"/>
              </w:rPr>
            </w:pPr>
            <w:hyperlink r:id="rId179">
              <w:r>
                <w:rPr>
                  <w:rFonts w:ascii="Arial" w:cs="Arial" w:eastAsia="Arial" w:hAnsi="Arial"/>
                  <w:sz w:val="18"/>
                  <w:szCs w:val="18"/>
                  <w:color w:val="0000FF"/>
                </w:rPr>
                <w:t>3(ii)</w:t>
              </w:r>
            </w:hyperlink>
          </w:p>
        </w:tc>
        <w:tc>
          <w:tcPr>
            <w:tcW w:w="10220" w:type="dxa"/>
            <w:vAlign w:val="bottom"/>
          </w:tcPr>
          <w:p>
            <w:pPr>
              <w:ind w:left="200"/>
              <w:spacing w:after="0"/>
              <w:rPr>
                <w:sz w:val="20"/>
                <w:szCs w:val="20"/>
                <w:color w:val="auto"/>
              </w:rPr>
            </w:pPr>
            <w:r>
              <w:rPr>
                <w:rFonts w:ascii="Arial" w:cs="Arial" w:eastAsia="Arial" w:hAnsi="Arial"/>
                <w:sz w:val="18"/>
                <w:szCs w:val="18"/>
                <w:color w:val="auto"/>
                <w:w w:val="93"/>
              </w:rPr>
              <w:t>By-Laws, as revised effective March 1, 2020 (incorporated by reference to Exhibit 3(ii) to the Registrant’s Report on Form 8-K of March</w:t>
            </w:r>
          </w:p>
        </w:tc>
      </w:tr>
      <w:tr>
        <w:trPr>
          <w:trHeight w:val="210"/>
        </w:trPr>
        <w:tc>
          <w:tcPr>
            <w:tcW w:w="20" w:type="dxa"/>
            <w:vAlign w:val="bottom"/>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20" w:type="dxa"/>
            <w:vAlign w:val="bottom"/>
          </w:tcPr>
          <w:p>
            <w:pPr>
              <w:ind w:left="200"/>
              <w:spacing w:after="0"/>
              <w:rPr>
                <w:sz w:val="20"/>
                <w:szCs w:val="20"/>
                <w:color w:val="auto"/>
              </w:rPr>
            </w:pPr>
            <w:r>
              <w:rPr>
                <w:rFonts w:ascii="Arial" w:cs="Arial" w:eastAsia="Arial" w:hAnsi="Arial"/>
                <w:sz w:val="18"/>
                <w:szCs w:val="18"/>
                <w:color w:val="auto"/>
              </w:rPr>
              <w:t>3, 2020).</w:t>
            </w:r>
          </w:p>
        </w:tc>
      </w:tr>
      <w:tr>
        <w:trPr>
          <w:trHeight w:val="296"/>
        </w:trPr>
        <w:tc>
          <w:tcPr>
            <w:tcW w:w="20" w:type="dxa"/>
            <w:vAlign w:val="bottom"/>
          </w:tcPr>
          <w:p>
            <w:pPr>
              <w:spacing w:after="0"/>
              <w:rPr>
                <w:sz w:val="24"/>
                <w:szCs w:val="24"/>
                <w:color w:val="auto"/>
              </w:rPr>
            </w:pPr>
          </w:p>
        </w:tc>
        <w:tc>
          <w:tcPr>
            <w:tcW w:w="1000" w:type="dxa"/>
            <w:vAlign w:val="bottom"/>
            <w:gridSpan w:val="7"/>
          </w:tcPr>
          <w:p>
            <w:pPr>
              <w:spacing w:after="0"/>
              <w:rPr>
                <w:rFonts w:ascii="Arial" w:cs="Arial" w:eastAsia="Arial" w:hAnsi="Arial"/>
                <w:sz w:val="18"/>
                <w:szCs w:val="18"/>
                <w:color w:val="0000FF"/>
              </w:rPr>
            </w:pPr>
            <w:hyperlink r:id="rId180">
              <w:r>
                <w:rPr>
                  <w:rFonts w:ascii="Arial" w:cs="Arial" w:eastAsia="Arial" w:hAnsi="Arial"/>
                  <w:sz w:val="18"/>
                  <w:szCs w:val="18"/>
                  <w:color w:val="0000FF"/>
                </w:rPr>
                <w:t>4(vi)</w:t>
              </w:r>
            </w:hyperlink>
          </w:p>
        </w:tc>
        <w:tc>
          <w:tcPr>
            <w:tcW w:w="10220" w:type="dxa"/>
            <w:vAlign w:val="bottom"/>
          </w:tcPr>
          <w:p>
            <w:pPr>
              <w:ind w:left="200"/>
              <w:spacing w:after="0"/>
              <w:rPr>
                <w:sz w:val="20"/>
                <w:szCs w:val="20"/>
                <w:color w:val="auto"/>
              </w:rPr>
            </w:pPr>
            <w:r>
              <w:rPr>
                <w:rFonts w:ascii="Arial" w:cs="Arial" w:eastAsia="Arial" w:hAnsi="Arial"/>
                <w:sz w:val="18"/>
                <w:szCs w:val="18"/>
                <w:color w:val="auto"/>
                <w:w w:val="93"/>
              </w:rPr>
              <w:t>Description of ExxonMobil Capital Stock (incorporated by reference to Exhibit 4(vi) to the Registrant's Annual Report on Form 10-K for</w:t>
            </w:r>
          </w:p>
        </w:tc>
      </w:tr>
      <w:tr>
        <w:trPr>
          <w:trHeight w:val="210"/>
        </w:trPr>
        <w:tc>
          <w:tcPr>
            <w:tcW w:w="20" w:type="dxa"/>
            <w:vAlign w:val="bottom"/>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20" w:type="dxa"/>
            <w:vAlign w:val="bottom"/>
          </w:tcPr>
          <w:p>
            <w:pPr>
              <w:ind w:left="200"/>
              <w:spacing w:after="0"/>
              <w:rPr>
                <w:sz w:val="20"/>
                <w:szCs w:val="20"/>
                <w:color w:val="auto"/>
              </w:rPr>
            </w:pPr>
            <w:r>
              <w:rPr>
                <w:rFonts w:ascii="Arial" w:cs="Arial" w:eastAsia="Arial" w:hAnsi="Arial"/>
                <w:sz w:val="18"/>
                <w:szCs w:val="18"/>
                <w:color w:val="auto"/>
              </w:rPr>
              <w:t>2019).</w:t>
            </w:r>
          </w:p>
        </w:tc>
      </w:tr>
      <w:tr>
        <w:trPr>
          <w:trHeight w:val="296"/>
        </w:trPr>
        <w:tc>
          <w:tcPr>
            <w:tcW w:w="20" w:type="dxa"/>
            <w:vAlign w:val="bottom"/>
          </w:tcPr>
          <w:p>
            <w:pPr>
              <w:spacing w:after="0"/>
              <w:rPr>
                <w:sz w:val="24"/>
                <w:szCs w:val="24"/>
                <w:color w:val="auto"/>
              </w:rPr>
            </w:pPr>
          </w:p>
        </w:tc>
        <w:tc>
          <w:tcPr>
            <w:tcW w:w="1000" w:type="dxa"/>
            <w:vAlign w:val="bottom"/>
            <w:gridSpan w:val="7"/>
          </w:tcPr>
          <w:p>
            <w:pPr>
              <w:spacing w:after="0"/>
              <w:rPr>
                <w:rFonts w:ascii="Arial" w:cs="Arial" w:eastAsia="Arial" w:hAnsi="Arial"/>
                <w:sz w:val="18"/>
                <w:szCs w:val="18"/>
                <w:color w:val="0000FF"/>
              </w:rPr>
            </w:pPr>
            <w:hyperlink r:id="rId181">
              <w:r>
                <w:rPr>
                  <w:rFonts w:ascii="Arial" w:cs="Arial" w:eastAsia="Arial" w:hAnsi="Arial"/>
                  <w:sz w:val="18"/>
                  <w:szCs w:val="18"/>
                  <w:color w:val="0000FF"/>
                </w:rPr>
                <w:t>10(iii)(a.1)</w:t>
              </w:r>
            </w:hyperlink>
          </w:p>
        </w:tc>
        <w:tc>
          <w:tcPr>
            <w:tcW w:w="10220" w:type="dxa"/>
            <w:vAlign w:val="bottom"/>
          </w:tcPr>
          <w:p>
            <w:pPr>
              <w:ind w:left="200"/>
              <w:spacing w:after="0"/>
              <w:rPr>
                <w:sz w:val="20"/>
                <w:szCs w:val="20"/>
                <w:color w:val="auto"/>
              </w:rPr>
            </w:pPr>
            <w:r>
              <w:rPr>
                <w:rFonts w:ascii="Arial" w:cs="Arial" w:eastAsia="Arial" w:hAnsi="Arial"/>
                <w:sz w:val="18"/>
                <w:szCs w:val="18"/>
                <w:color w:val="auto"/>
                <w:w w:val="92"/>
              </w:rPr>
              <w:t>2003 Incentive Program, as approved by shareholders May 28, 2003 (incorporated by reference to Exhibit 10(iii)(a.1) to the Registrant’s</w:t>
            </w:r>
          </w:p>
        </w:tc>
      </w:tr>
      <w:tr>
        <w:trPr>
          <w:trHeight w:val="210"/>
        </w:trPr>
        <w:tc>
          <w:tcPr>
            <w:tcW w:w="20" w:type="dxa"/>
            <w:vAlign w:val="bottom"/>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0" w:type="dxa"/>
            <w:vAlign w:val="bottom"/>
          </w:tcPr>
          <w:p>
            <w:pPr>
              <w:spacing w:after="0"/>
              <w:rPr>
                <w:sz w:val="18"/>
                <w:szCs w:val="18"/>
                <w:color w:val="auto"/>
              </w:rPr>
            </w:pPr>
          </w:p>
        </w:tc>
        <w:tc>
          <w:tcPr>
            <w:tcW w:w="10220" w:type="dxa"/>
            <w:vAlign w:val="bottom"/>
          </w:tcPr>
          <w:p>
            <w:pPr>
              <w:ind w:left="200"/>
              <w:spacing w:after="0"/>
              <w:rPr>
                <w:sz w:val="20"/>
                <w:szCs w:val="20"/>
                <w:color w:val="auto"/>
              </w:rPr>
            </w:pPr>
            <w:r>
              <w:rPr>
                <w:rFonts w:ascii="Arial" w:cs="Arial" w:eastAsia="Arial" w:hAnsi="Arial"/>
                <w:sz w:val="18"/>
                <w:szCs w:val="18"/>
                <w:color w:val="auto"/>
              </w:rPr>
              <w:t>Annual Report on Form 10-K for 2017).*</w:t>
            </w:r>
          </w:p>
        </w:tc>
      </w:tr>
      <w:tr>
        <w:trPr>
          <w:trHeight w:val="296"/>
        </w:trPr>
        <w:tc>
          <w:tcPr>
            <w:tcW w:w="20" w:type="dxa"/>
            <w:vAlign w:val="bottom"/>
          </w:tcPr>
          <w:p>
            <w:pPr>
              <w:spacing w:after="0"/>
              <w:rPr>
                <w:sz w:val="24"/>
                <w:szCs w:val="24"/>
                <w:color w:val="auto"/>
              </w:rPr>
            </w:pPr>
          </w:p>
        </w:tc>
        <w:tc>
          <w:tcPr>
            <w:tcW w:w="1000" w:type="dxa"/>
            <w:vAlign w:val="bottom"/>
            <w:gridSpan w:val="7"/>
          </w:tcPr>
          <w:p>
            <w:pPr>
              <w:spacing w:after="0"/>
              <w:rPr>
                <w:rFonts w:ascii="Arial" w:cs="Arial" w:eastAsia="Arial" w:hAnsi="Arial"/>
                <w:sz w:val="18"/>
                <w:szCs w:val="18"/>
                <w:color w:val="0000FF"/>
              </w:rPr>
            </w:pPr>
            <w:hyperlink r:id="rId182">
              <w:r>
                <w:rPr>
                  <w:rFonts w:ascii="Arial" w:cs="Arial" w:eastAsia="Arial" w:hAnsi="Arial"/>
                  <w:sz w:val="18"/>
                  <w:szCs w:val="18"/>
                  <w:color w:val="0000FF"/>
                </w:rPr>
                <w:t>10(iii)(a.2)</w:t>
              </w:r>
            </w:hyperlink>
          </w:p>
        </w:tc>
        <w:tc>
          <w:tcPr>
            <w:tcW w:w="10220" w:type="dxa"/>
            <w:vAlign w:val="bottom"/>
          </w:tcPr>
          <w:p>
            <w:pPr>
              <w:ind w:left="200"/>
              <w:spacing w:after="0"/>
              <w:rPr>
                <w:sz w:val="20"/>
                <w:szCs w:val="20"/>
                <w:color w:val="auto"/>
              </w:rPr>
            </w:pPr>
            <w:r>
              <w:rPr>
                <w:rFonts w:ascii="Arial" w:cs="Arial" w:eastAsia="Arial" w:hAnsi="Arial"/>
                <w:sz w:val="18"/>
                <w:szCs w:val="18"/>
                <w:color w:val="auto"/>
                <w:w w:val="92"/>
              </w:rPr>
              <w:t>Extended Provisions for Restricted Stock Agreements (incorporated by reference to Exhibit 10(iii)(a.2) to the Registrant’s Annual Report</w:t>
            </w:r>
          </w:p>
        </w:tc>
      </w:tr>
      <w:tr>
        <w:trPr>
          <w:trHeight w:val="210"/>
        </w:trPr>
        <w:tc>
          <w:tcPr>
            <w:tcW w:w="20" w:type="dxa"/>
            <w:vAlign w:val="bottom"/>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0" w:type="dxa"/>
            <w:vAlign w:val="bottom"/>
          </w:tcPr>
          <w:p>
            <w:pPr>
              <w:spacing w:after="0"/>
              <w:rPr>
                <w:sz w:val="18"/>
                <w:szCs w:val="18"/>
                <w:color w:val="auto"/>
              </w:rPr>
            </w:pPr>
          </w:p>
        </w:tc>
        <w:tc>
          <w:tcPr>
            <w:tcW w:w="10220" w:type="dxa"/>
            <w:vAlign w:val="bottom"/>
          </w:tcPr>
          <w:p>
            <w:pPr>
              <w:ind w:left="200"/>
              <w:spacing w:after="0"/>
              <w:rPr>
                <w:sz w:val="20"/>
                <w:szCs w:val="20"/>
                <w:color w:val="auto"/>
              </w:rPr>
            </w:pPr>
            <w:r>
              <w:rPr>
                <w:rFonts w:ascii="Arial" w:cs="Arial" w:eastAsia="Arial" w:hAnsi="Arial"/>
                <w:sz w:val="18"/>
                <w:szCs w:val="18"/>
                <w:color w:val="auto"/>
              </w:rPr>
              <w:t>on Form 10-K for 2016).*</w:t>
            </w:r>
          </w:p>
        </w:tc>
      </w:tr>
      <w:tr>
        <w:trPr>
          <w:trHeight w:val="296"/>
        </w:trPr>
        <w:tc>
          <w:tcPr>
            <w:tcW w:w="20" w:type="dxa"/>
            <w:vAlign w:val="bottom"/>
          </w:tcPr>
          <w:p>
            <w:pPr>
              <w:spacing w:after="0"/>
              <w:rPr>
                <w:sz w:val="24"/>
                <w:szCs w:val="24"/>
                <w:color w:val="auto"/>
              </w:rPr>
            </w:pPr>
          </w:p>
        </w:tc>
        <w:tc>
          <w:tcPr>
            <w:tcW w:w="800" w:type="dxa"/>
            <w:vAlign w:val="bottom"/>
            <w:tcBorders>
              <w:bottom w:val="single" w:sz="8" w:color="0000FF"/>
            </w:tcBorders>
            <w:gridSpan w:val="6"/>
          </w:tcPr>
          <w:p>
            <w:pPr>
              <w:spacing w:after="0"/>
              <w:rPr>
                <w:rFonts w:ascii="Arial" w:cs="Arial" w:eastAsia="Arial" w:hAnsi="Arial"/>
                <w:sz w:val="18"/>
                <w:szCs w:val="18"/>
                <w:color w:val="0000FF"/>
                <w:w w:val="96"/>
              </w:rPr>
            </w:pPr>
            <w:hyperlink w:anchor="page130">
              <w:r>
                <w:rPr>
                  <w:rFonts w:ascii="Arial" w:cs="Arial" w:eastAsia="Arial" w:hAnsi="Arial"/>
                  <w:sz w:val="18"/>
                  <w:szCs w:val="18"/>
                  <w:color w:val="0000FF"/>
                  <w:w w:val="96"/>
                </w:rPr>
                <w:t>10(iii)(a.3)</w:t>
              </w:r>
            </w:hyperlink>
          </w:p>
        </w:tc>
        <w:tc>
          <w:tcPr>
            <w:tcW w:w="200" w:type="dxa"/>
            <w:vAlign w:val="bottom"/>
          </w:tcPr>
          <w:p>
            <w:pPr>
              <w:spacing w:after="0"/>
              <w:rPr>
                <w:sz w:val="24"/>
                <w:szCs w:val="24"/>
                <w:color w:val="auto"/>
              </w:rPr>
            </w:pPr>
          </w:p>
        </w:tc>
        <w:tc>
          <w:tcPr>
            <w:tcW w:w="10220" w:type="dxa"/>
            <w:vAlign w:val="bottom"/>
          </w:tcPr>
          <w:p>
            <w:pPr>
              <w:ind w:left="200"/>
              <w:spacing w:after="0"/>
              <w:rPr>
                <w:sz w:val="20"/>
                <w:szCs w:val="20"/>
                <w:color w:val="auto"/>
              </w:rPr>
            </w:pPr>
            <w:r>
              <w:rPr>
                <w:rFonts w:ascii="Arial" w:cs="Arial" w:eastAsia="Arial" w:hAnsi="Arial"/>
                <w:sz w:val="18"/>
                <w:szCs w:val="18"/>
                <w:color w:val="auto"/>
              </w:rPr>
              <w:t>Extended Provisions for Restricted Stock Unit Agreements – Settlement in Shares.*</w:t>
            </w:r>
          </w:p>
        </w:tc>
      </w:tr>
      <w:tr>
        <w:trPr>
          <w:trHeight w:val="331"/>
        </w:trPr>
        <w:tc>
          <w:tcPr>
            <w:tcW w:w="20" w:type="dxa"/>
            <w:vAlign w:val="bottom"/>
          </w:tcPr>
          <w:p>
            <w:pPr>
              <w:spacing w:after="0"/>
              <w:rPr>
                <w:sz w:val="24"/>
                <w:szCs w:val="24"/>
                <w:color w:val="auto"/>
              </w:rPr>
            </w:pPr>
          </w:p>
        </w:tc>
        <w:tc>
          <w:tcPr>
            <w:tcW w:w="1000" w:type="dxa"/>
            <w:vAlign w:val="bottom"/>
            <w:gridSpan w:val="7"/>
          </w:tcPr>
          <w:p>
            <w:pPr>
              <w:spacing w:after="0"/>
              <w:rPr>
                <w:rFonts w:ascii="Arial" w:cs="Arial" w:eastAsia="Arial" w:hAnsi="Arial"/>
                <w:sz w:val="18"/>
                <w:szCs w:val="18"/>
                <w:color w:val="0000FF"/>
              </w:rPr>
            </w:pPr>
            <w:hyperlink r:id="rId183">
              <w:r>
                <w:rPr>
                  <w:rFonts w:ascii="Arial" w:cs="Arial" w:eastAsia="Arial" w:hAnsi="Arial"/>
                  <w:sz w:val="18"/>
                  <w:szCs w:val="18"/>
                  <w:color w:val="0000FF"/>
                </w:rPr>
                <w:t>10(iii)(b.1)</w:t>
              </w:r>
            </w:hyperlink>
          </w:p>
        </w:tc>
        <w:tc>
          <w:tcPr>
            <w:tcW w:w="10220" w:type="dxa"/>
            <w:vAlign w:val="bottom"/>
          </w:tcPr>
          <w:p>
            <w:pPr>
              <w:ind w:left="200"/>
              <w:spacing w:after="0"/>
              <w:rPr>
                <w:sz w:val="20"/>
                <w:szCs w:val="20"/>
                <w:color w:val="auto"/>
              </w:rPr>
            </w:pPr>
            <w:r>
              <w:rPr>
                <w:rFonts w:ascii="Arial" w:cs="Arial" w:eastAsia="Arial" w:hAnsi="Arial"/>
                <w:sz w:val="18"/>
                <w:szCs w:val="18"/>
                <w:color w:val="auto"/>
                <w:w w:val="93"/>
              </w:rPr>
              <w:t>Short Term Incentive Program, as amended (incorporated by reference to Exhibit 10(iii)(b.1) to the Registrant’s Annual Report on Form</w:t>
            </w:r>
          </w:p>
        </w:tc>
      </w:tr>
      <w:tr>
        <w:trPr>
          <w:trHeight w:val="210"/>
        </w:trPr>
        <w:tc>
          <w:tcPr>
            <w:tcW w:w="20" w:type="dxa"/>
            <w:vAlign w:val="bottom"/>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0" w:type="dxa"/>
            <w:vAlign w:val="bottom"/>
          </w:tcPr>
          <w:p>
            <w:pPr>
              <w:spacing w:after="0"/>
              <w:rPr>
                <w:sz w:val="18"/>
                <w:szCs w:val="18"/>
                <w:color w:val="auto"/>
              </w:rPr>
            </w:pPr>
          </w:p>
        </w:tc>
        <w:tc>
          <w:tcPr>
            <w:tcW w:w="10220" w:type="dxa"/>
            <w:vAlign w:val="bottom"/>
          </w:tcPr>
          <w:p>
            <w:pPr>
              <w:ind w:left="200"/>
              <w:spacing w:after="0"/>
              <w:rPr>
                <w:sz w:val="20"/>
                <w:szCs w:val="20"/>
                <w:color w:val="auto"/>
              </w:rPr>
            </w:pPr>
            <w:r>
              <w:rPr>
                <w:rFonts w:ascii="Arial" w:cs="Arial" w:eastAsia="Arial" w:hAnsi="Arial"/>
                <w:sz w:val="18"/>
                <w:szCs w:val="18"/>
                <w:color w:val="auto"/>
              </w:rPr>
              <w:t>10-K for 2018).*</w:t>
            </w:r>
          </w:p>
        </w:tc>
      </w:tr>
      <w:tr>
        <w:trPr>
          <w:trHeight w:val="296"/>
        </w:trPr>
        <w:tc>
          <w:tcPr>
            <w:tcW w:w="20" w:type="dxa"/>
            <w:vAlign w:val="bottom"/>
          </w:tcPr>
          <w:p>
            <w:pPr>
              <w:spacing w:after="0"/>
              <w:rPr>
                <w:sz w:val="24"/>
                <w:szCs w:val="24"/>
                <w:color w:val="auto"/>
              </w:rPr>
            </w:pPr>
          </w:p>
        </w:tc>
        <w:tc>
          <w:tcPr>
            <w:tcW w:w="1000" w:type="dxa"/>
            <w:vAlign w:val="bottom"/>
            <w:gridSpan w:val="7"/>
          </w:tcPr>
          <w:p>
            <w:pPr>
              <w:spacing w:after="0"/>
              <w:rPr>
                <w:rFonts w:ascii="Arial" w:cs="Arial" w:eastAsia="Arial" w:hAnsi="Arial"/>
                <w:sz w:val="18"/>
                <w:szCs w:val="18"/>
                <w:color w:val="0000FF"/>
              </w:rPr>
            </w:pPr>
            <w:hyperlink r:id="rId184">
              <w:r>
                <w:rPr>
                  <w:rFonts w:ascii="Arial" w:cs="Arial" w:eastAsia="Arial" w:hAnsi="Arial"/>
                  <w:sz w:val="18"/>
                  <w:szCs w:val="18"/>
                  <w:color w:val="0000FF"/>
                </w:rPr>
                <w:t>10(iii)(b.2)</w:t>
              </w:r>
            </w:hyperlink>
          </w:p>
        </w:tc>
        <w:tc>
          <w:tcPr>
            <w:tcW w:w="10220" w:type="dxa"/>
            <w:vAlign w:val="bottom"/>
          </w:tcPr>
          <w:p>
            <w:pPr>
              <w:ind w:left="200"/>
              <w:spacing w:after="0"/>
              <w:rPr>
                <w:sz w:val="20"/>
                <w:szCs w:val="20"/>
                <w:color w:val="auto"/>
              </w:rPr>
            </w:pPr>
            <w:r>
              <w:rPr>
                <w:rFonts w:ascii="Arial" w:cs="Arial" w:eastAsia="Arial" w:hAnsi="Arial"/>
                <w:sz w:val="18"/>
                <w:szCs w:val="18"/>
                <w:color w:val="auto"/>
                <w:w w:val="95"/>
              </w:rPr>
              <w:t>Earnings Bonus Unit instrument (incorporated by reference to Exhibit 10(iii)(b.2) to the Registrant's Annual Report on Form 10-K for</w:t>
            </w:r>
          </w:p>
        </w:tc>
      </w:tr>
      <w:tr>
        <w:trPr>
          <w:trHeight w:val="210"/>
        </w:trPr>
        <w:tc>
          <w:tcPr>
            <w:tcW w:w="20" w:type="dxa"/>
            <w:vAlign w:val="bottom"/>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0" w:type="dxa"/>
            <w:vAlign w:val="bottom"/>
          </w:tcPr>
          <w:p>
            <w:pPr>
              <w:spacing w:after="0"/>
              <w:rPr>
                <w:sz w:val="18"/>
                <w:szCs w:val="18"/>
                <w:color w:val="auto"/>
              </w:rPr>
            </w:pPr>
          </w:p>
        </w:tc>
        <w:tc>
          <w:tcPr>
            <w:tcW w:w="10220" w:type="dxa"/>
            <w:vAlign w:val="bottom"/>
          </w:tcPr>
          <w:p>
            <w:pPr>
              <w:ind w:left="200"/>
              <w:spacing w:after="0"/>
              <w:rPr>
                <w:sz w:val="20"/>
                <w:szCs w:val="20"/>
                <w:color w:val="auto"/>
              </w:rPr>
            </w:pPr>
            <w:r>
              <w:rPr>
                <w:rFonts w:ascii="Arial" w:cs="Arial" w:eastAsia="Arial" w:hAnsi="Arial"/>
                <w:sz w:val="18"/>
                <w:szCs w:val="18"/>
                <w:color w:val="auto"/>
              </w:rPr>
              <w:t>2019).*</w:t>
            </w:r>
          </w:p>
        </w:tc>
      </w:tr>
      <w:tr>
        <w:trPr>
          <w:trHeight w:val="296"/>
        </w:trPr>
        <w:tc>
          <w:tcPr>
            <w:tcW w:w="20" w:type="dxa"/>
            <w:vAlign w:val="bottom"/>
          </w:tcPr>
          <w:p>
            <w:pPr>
              <w:spacing w:after="0"/>
              <w:rPr>
                <w:sz w:val="24"/>
                <w:szCs w:val="24"/>
                <w:color w:val="auto"/>
              </w:rPr>
            </w:pPr>
          </w:p>
        </w:tc>
        <w:tc>
          <w:tcPr>
            <w:tcW w:w="1000" w:type="dxa"/>
            <w:vAlign w:val="bottom"/>
            <w:gridSpan w:val="7"/>
          </w:tcPr>
          <w:p>
            <w:pPr>
              <w:spacing w:after="0"/>
              <w:rPr>
                <w:rFonts w:ascii="Arial" w:cs="Arial" w:eastAsia="Arial" w:hAnsi="Arial"/>
                <w:sz w:val="18"/>
                <w:szCs w:val="18"/>
                <w:color w:val="0000FF"/>
              </w:rPr>
            </w:pPr>
            <w:hyperlink r:id="rId185">
              <w:r>
                <w:rPr>
                  <w:rFonts w:ascii="Arial" w:cs="Arial" w:eastAsia="Arial" w:hAnsi="Arial"/>
                  <w:sz w:val="18"/>
                  <w:szCs w:val="18"/>
                  <w:color w:val="0000FF"/>
                </w:rPr>
                <w:t>10(iii)(b.3)</w:t>
              </w:r>
            </w:hyperlink>
          </w:p>
        </w:tc>
        <w:tc>
          <w:tcPr>
            <w:tcW w:w="10220" w:type="dxa"/>
            <w:vAlign w:val="bottom"/>
          </w:tcPr>
          <w:p>
            <w:pPr>
              <w:ind w:left="200"/>
              <w:spacing w:after="0"/>
              <w:rPr>
                <w:sz w:val="20"/>
                <w:szCs w:val="20"/>
                <w:color w:val="auto"/>
              </w:rPr>
            </w:pPr>
            <w:r>
              <w:rPr>
                <w:rFonts w:ascii="Arial" w:cs="Arial" w:eastAsia="Arial" w:hAnsi="Arial"/>
                <w:sz w:val="18"/>
                <w:szCs w:val="18"/>
                <w:color w:val="auto"/>
                <w:w w:val="90"/>
              </w:rPr>
              <w:t>2018 and 2019 Earnings Bonus Unit instruments, as revised effective November 23, 2021 (incorporated by reference to Exhibit 99.1 to the</w:t>
            </w:r>
          </w:p>
        </w:tc>
      </w:tr>
      <w:tr>
        <w:trPr>
          <w:trHeight w:val="210"/>
        </w:trPr>
        <w:tc>
          <w:tcPr>
            <w:tcW w:w="20" w:type="dxa"/>
            <w:vAlign w:val="bottom"/>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0" w:type="dxa"/>
            <w:vAlign w:val="bottom"/>
          </w:tcPr>
          <w:p>
            <w:pPr>
              <w:spacing w:after="0"/>
              <w:rPr>
                <w:sz w:val="18"/>
                <w:szCs w:val="18"/>
                <w:color w:val="auto"/>
              </w:rPr>
            </w:pPr>
          </w:p>
        </w:tc>
        <w:tc>
          <w:tcPr>
            <w:tcW w:w="10220" w:type="dxa"/>
            <w:vAlign w:val="bottom"/>
          </w:tcPr>
          <w:p>
            <w:pPr>
              <w:ind w:left="200"/>
              <w:spacing w:after="0"/>
              <w:rPr>
                <w:sz w:val="20"/>
                <w:szCs w:val="20"/>
                <w:color w:val="auto"/>
              </w:rPr>
            </w:pPr>
            <w:r>
              <w:rPr>
                <w:rFonts w:ascii="Arial" w:cs="Arial" w:eastAsia="Arial" w:hAnsi="Arial"/>
                <w:sz w:val="18"/>
                <w:szCs w:val="18"/>
                <w:color w:val="auto"/>
              </w:rPr>
              <w:t>Registrant's Report on Form 8-K of November 30, 2021).*</w:t>
            </w:r>
          </w:p>
        </w:tc>
      </w:tr>
      <w:tr>
        <w:trPr>
          <w:trHeight w:val="229"/>
        </w:trPr>
        <w:tc>
          <w:tcPr>
            <w:tcW w:w="20" w:type="dxa"/>
            <w:vAlign w:val="bottom"/>
          </w:tcPr>
          <w:p>
            <w:pPr>
              <w:spacing w:after="0"/>
              <w:rPr>
                <w:sz w:val="19"/>
                <w:szCs w:val="19"/>
                <w:color w:val="auto"/>
              </w:rPr>
            </w:pPr>
          </w:p>
        </w:tc>
        <w:tc>
          <w:tcPr>
            <w:tcW w:w="1000" w:type="dxa"/>
            <w:vAlign w:val="bottom"/>
            <w:gridSpan w:val="7"/>
          </w:tcPr>
          <w:p>
            <w:pPr>
              <w:spacing w:after="0"/>
              <w:rPr>
                <w:rFonts w:ascii="Arial" w:cs="Arial" w:eastAsia="Arial" w:hAnsi="Arial"/>
                <w:sz w:val="18"/>
                <w:szCs w:val="18"/>
                <w:color w:val="0000FF"/>
              </w:rPr>
            </w:pPr>
            <w:hyperlink r:id="rId186">
              <w:r>
                <w:rPr>
                  <w:rFonts w:ascii="Arial" w:cs="Arial" w:eastAsia="Arial" w:hAnsi="Arial"/>
                  <w:sz w:val="18"/>
                  <w:szCs w:val="18"/>
                  <w:color w:val="0000FF"/>
                </w:rPr>
                <w:t>10(iii)(c.1)</w:t>
              </w:r>
            </w:hyperlink>
          </w:p>
        </w:tc>
        <w:tc>
          <w:tcPr>
            <w:tcW w:w="10220" w:type="dxa"/>
            <w:vAlign w:val="bottom"/>
          </w:tcPr>
          <w:p>
            <w:pPr>
              <w:ind w:left="200"/>
              <w:spacing w:after="0"/>
              <w:rPr>
                <w:sz w:val="20"/>
                <w:szCs w:val="20"/>
                <w:color w:val="auto"/>
              </w:rPr>
            </w:pPr>
            <w:r>
              <w:rPr>
                <w:rFonts w:ascii="Arial" w:cs="Arial" w:eastAsia="Arial" w:hAnsi="Arial"/>
                <w:sz w:val="18"/>
                <w:szCs w:val="18"/>
                <w:color w:val="auto"/>
                <w:w w:val="94"/>
              </w:rPr>
              <w:t>ExxonMobil Supplemental Savings Plan (incorporated by reference to Exhibit 10(iii)(c.1) to the Registrant’s Quarterly Report on Form</w:t>
            </w:r>
          </w:p>
        </w:tc>
      </w:tr>
      <w:tr>
        <w:trPr>
          <w:trHeight w:val="210"/>
        </w:trPr>
        <w:tc>
          <w:tcPr>
            <w:tcW w:w="20" w:type="dxa"/>
            <w:vAlign w:val="bottom"/>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0" w:type="dxa"/>
            <w:vAlign w:val="bottom"/>
          </w:tcPr>
          <w:p>
            <w:pPr>
              <w:spacing w:after="0"/>
              <w:rPr>
                <w:sz w:val="18"/>
                <w:szCs w:val="18"/>
                <w:color w:val="auto"/>
              </w:rPr>
            </w:pPr>
          </w:p>
        </w:tc>
        <w:tc>
          <w:tcPr>
            <w:tcW w:w="10220" w:type="dxa"/>
            <w:vAlign w:val="bottom"/>
          </w:tcPr>
          <w:p>
            <w:pPr>
              <w:ind w:left="200"/>
              <w:spacing w:after="0"/>
              <w:rPr>
                <w:sz w:val="20"/>
                <w:szCs w:val="20"/>
                <w:color w:val="auto"/>
              </w:rPr>
            </w:pPr>
            <w:r>
              <w:rPr>
                <w:rFonts w:ascii="Arial" w:cs="Arial" w:eastAsia="Arial" w:hAnsi="Arial"/>
                <w:sz w:val="18"/>
                <w:szCs w:val="18"/>
                <w:color w:val="auto"/>
              </w:rPr>
              <w:t>10-Q for the quarter ended March 31, 2021).*</w:t>
            </w:r>
          </w:p>
        </w:tc>
      </w:tr>
      <w:tr>
        <w:trPr>
          <w:trHeight w:val="296"/>
        </w:trPr>
        <w:tc>
          <w:tcPr>
            <w:tcW w:w="20" w:type="dxa"/>
            <w:vAlign w:val="bottom"/>
          </w:tcPr>
          <w:p>
            <w:pPr>
              <w:spacing w:after="0"/>
              <w:rPr>
                <w:sz w:val="24"/>
                <w:szCs w:val="24"/>
                <w:color w:val="auto"/>
              </w:rPr>
            </w:pPr>
          </w:p>
        </w:tc>
        <w:tc>
          <w:tcPr>
            <w:tcW w:w="1000" w:type="dxa"/>
            <w:vAlign w:val="bottom"/>
            <w:gridSpan w:val="7"/>
          </w:tcPr>
          <w:p>
            <w:pPr>
              <w:spacing w:after="0"/>
              <w:rPr>
                <w:rFonts w:ascii="Arial" w:cs="Arial" w:eastAsia="Arial" w:hAnsi="Arial"/>
                <w:sz w:val="18"/>
                <w:szCs w:val="18"/>
                <w:color w:val="0000FF"/>
              </w:rPr>
            </w:pPr>
            <w:hyperlink r:id="rId187">
              <w:r>
                <w:rPr>
                  <w:rFonts w:ascii="Arial" w:cs="Arial" w:eastAsia="Arial" w:hAnsi="Arial"/>
                  <w:sz w:val="18"/>
                  <w:szCs w:val="18"/>
                  <w:color w:val="0000FF"/>
                </w:rPr>
                <w:t>10(iii)(c.2)</w:t>
              </w:r>
            </w:hyperlink>
          </w:p>
        </w:tc>
        <w:tc>
          <w:tcPr>
            <w:tcW w:w="10220" w:type="dxa"/>
            <w:vAlign w:val="bottom"/>
          </w:tcPr>
          <w:p>
            <w:pPr>
              <w:ind w:left="200"/>
              <w:spacing w:after="0"/>
              <w:rPr>
                <w:sz w:val="20"/>
                <w:szCs w:val="20"/>
                <w:color w:val="auto"/>
              </w:rPr>
            </w:pPr>
            <w:r>
              <w:rPr>
                <w:rFonts w:ascii="Arial" w:cs="Arial" w:eastAsia="Arial" w:hAnsi="Arial"/>
                <w:sz w:val="18"/>
                <w:szCs w:val="18"/>
                <w:color w:val="auto"/>
                <w:w w:val="94"/>
              </w:rPr>
              <w:t>ExxonMobil Supplemental Pension Plan (incorporated by reference to Exhibit 10(iii)(c.2) to the Registrant’s Quarterly Report on Form</w:t>
            </w:r>
          </w:p>
        </w:tc>
      </w:tr>
      <w:tr>
        <w:trPr>
          <w:trHeight w:val="210"/>
        </w:trPr>
        <w:tc>
          <w:tcPr>
            <w:tcW w:w="20" w:type="dxa"/>
            <w:vAlign w:val="bottom"/>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0" w:type="dxa"/>
            <w:vAlign w:val="bottom"/>
          </w:tcPr>
          <w:p>
            <w:pPr>
              <w:spacing w:after="0"/>
              <w:rPr>
                <w:sz w:val="18"/>
                <w:szCs w:val="18"/>
                <w:color w:val="auto"/>
              </w:rPr>
            </w:pPr>
          </w:p>
        </w:tc>
        <w:tc>
          <w:tcPr>
            <w:tcW w:w="10220" w:type="dxa"/>
            <w:vAlign w:val="bottom"/>
          </w:tcPr>
          <w:p>
            <w:pPr>
              <w:ind w:left="200"/>
              <w:spacing w:after="0"/>
              <w:rPr>
                <w:sz w:val="20"/>
                <w:szCs w:val="20"/>
                <w:color w:val="auto"/>
              </w:rPr>
            </w:pPr>
            <w:r>
              <w:rPr>
                <w:rFonts w:ascii="Arial" w:cs="Arial" w:eastAsia="Arial" w:hAnsi="Arial"/>
                <w:sz w:val="18"/>
                <w:szCs w:val="18"/>
                <w:color w:val="auto"/>
              </w:rPr>
              <w:t>10-Q for the quarter ended March 31, 2021).*</w:t>
            </w:r>
          </w:p>
        </w:tc>
      </w:tr>
      <w:tr>
        <w:trPr>
          <w:trHeight w:val="296"/>
        </w:trPr>
        <w:tc>
          <w:tcPr>
            <w:tcW w:w="20" w:type="dxa"/>
            <w:vAlign w:val="bottom"/>
          </w:tcPr>
          <w:p>
            <w:pPr>
              <w:spacing w:after="0"/>
              <w:rPr>
                <w:sz w:val="24"/>
                <w:szCs w:val="24"/>
                <w:color w:val="auto"/>
              </w:rPr>
            </w:pPr>
          </w:p>
        </w:tc>
        <w:tc>
          <w:tcPr>
            <w:tcW w:w="1000" w:type="dxa"/>
            <w:vAlign w:val="bottom"/>
            <w:gridSpan w:val="7"/>
          </w:tcPr>
          <w:p>
            <w:pPr>
              <w:spacing w:after="0"/>
              <w:rPr>
                <w:rFonts w:ascii="Arial" w:cs="Arial" w:eastAsia="Arial" w:hAnsi="Arial"/>
                <w:sz w:val="18"/>
                <w:szCs w:val="18"/>
                <w:color w:val="0000FF"/>
              </w:rPr>
            </w:pPr>
            <w:hyperlink r:id="rId188">
              <w:r>
                <w:rPr>
                  <w:rFonts w:ascii="Arial" w:cs="Arial" w:eastAsia="Arial" w:hAnsi="Arial"/>
                  <w:sz w:val="18"/>
                  <w:szCs w:val="18"/>
                  <w:color w:val="0000FF"/>
                </w:rPr>
                <w:t>10(iii)(c.3)</w:t>
              </w:r>
            </w:hyperlink>
          </w:p>
        </w:tc>
        <w:tc>
          <w:tcPr>
            <w:tcW w:w="10220" w:type="dxa"/>
            <w:vAlign w:val="bottom"/>
          </w:tcPr>
          <w:p>
            <w:pPr>
              <w:ind w:left="200"/>
              <w:spacing w:after="0"/>
              <w:rPr>
                <w:sz w:val="20"/>
                <w:szCs w:val="20"/>
                <w:color w:val="auto"/>
              </w:rPr>
            </w:pPr>
            <w:r>
              <w:rPr>
                <w:rFonts w:ascii="Arial" w:cs="Arial" w:eastAsia="Arial" w:hAnsi="Arial"/>
                <w:sz w:val="18"/>
                <w:szCs w:val="18"/>
                <w:color w:val="auto"/>
                <w:w w:val="93"/>
              </w:rPr>
              <w:t>ExxonMobil Additional Payments Plan (incorporated by reference to Exhibit 10(iii)(c.3) to the Registrant’s Quarterly Report on Form 10-</w:t>
            </w:r>
          </w:p>
        </w:tc>
      </w:tr>
      <w:tr>
        <w:trPr>
          <w:trHeight w:val="210"/>
        </w:trPr>
        <w:tc>
          <w:tcPr>
            <w:tcW w:w="20" w:type="dxa"/>
            <w:vAlign w:val="bottom"/>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0" w:type="dxa"/>
            <w:vAlign w:val="bottom"/>
          </w:tcPr>
          <w:p>
            <w:pPr>
              <w:spacing w:after="0"/>
              <w:rPr>
                <w:sz w:val="18"/>
                <w:szCs w:val="18"/>
                <w:color w:val="auto"/>
              </w:rPr>
            </w:pPr>
          </w:p>
        </w:tc>
        <w:tc>
          <w:tcPr>
            <w:tcW w:w="10220" w:type="dxa"/>
            <w:vAlign w:val="bottom"/>
          </w:tcPr>
          <w:p>
            <w:pPr>
              <w:ind w:left="200"/>
              <w:spacing w:after="0"/>
              <w:rPr>
                <w:sz w:val="20"/>
                <w:szCs w:val="20"/>
                <w:color w:val="auto"/>
              </w:rPr>
            </w:pPr>
            <w:r>
              <w:rPr>
                <w:rFonts w:ascii="Arial" w:cs="Arial" w:eastAsia="Arial" w:hAnsi="Arial"/>
                <w:sz w:val="18"/>
                <w:szCs w:val="18"/>
                <w:color w:val="auto"/>
              </w:rPr>
              <w:t>Q for the quarter ended March 31, 2021).*</w:t>
            </w:r>
          </w:p>
        </w:tc>
      </w:tr>
      <w:tr>
        <w:trPr>
          <w:trHeight w:val="296"/>
        </w:trPr>
        <w:tc>
          <w:tcPr>
            <w:tcW w:w="20" w:type="dxa"/>
            <w:vAlign w:val="bottom"/>
          </w:tcPr>
          <w:p>
            <w:pPr>
              <w:spacing w:after="0"/>
              <w:rPr>
                <w:sz w:val="24"/>
                <w:szCs w:val="24"/>
                <w:color w:val="auto"/>
              </w:rPr>
            </w:pPr>
          </w:p>
        </w:tc>
        <w:tc>
          <w:tcPr>
            <w:tcW w:w="1000" w:type="dxa"/>
            <w:vAlign w:val="bottom"/>
            <w:gridSpan w:val="7"/>
          </w:tcPr>
          <w:p>
            <w:pPr>
              <w:spacing w:after="0"/>
              <w:rPr>
                <w:rFonts w:ascii="Arial" w:cs="Arial" w:eastAsia="Arial" w:hAnsi="Arial"/>
                <w:sz w:val="18"/>
                <w:szCs w:val="18"/>
                <w:color w:val="0000FF"/>
              </w:rPr>
            </w:pPr>
            <w:hyperlink r:id="rId189">
              <w:r>
                <w:rPr>
                  <w:rFonts w:ascii="Arial" w:cs="Arial" w:eastAsia="Arial" w:hAnsi="Arial"/>
                  <w:sz w:val="18"/>
                  <w:szCs w:val="18"/>
                  <w:color w:val="0000FF"/>
                </w:rPr>
                <w:t>10(iii)(d)</w:t>
              </w:r>
            </w:hyperlink>
          </w:p>
        </w:tc>
        <w:tc>
          <w:tcPr>
            <w:tcW w:w="10220" w:type="dxa"/>
            <w:vAlign w:val="bottom"/>
          </w:tcPr>
          <w:p>
            <w:pPr>
              <w:ind w:left="200"/>
              <w:spacing w:after="0"/>
              <w:rPr>
                <w:sz w:val="20"/>
                <w:szCs w:val="20"/>
                <w:color w:val="auto"/>
              </w:rPr>
            </w:pPr>
            <w:r>
              <w:rPr>
                <w:rFonts w:ascii="Arial" w:cs="Arial" w:eastAsia="Arial" w:hAnsi="Arial"/>
                <w:sz w:val="18"/>
                <w:szCs w:val="18"/>
                <w:color w:val="auto"/>
                <w:w w:val="94"/>
              </w:rPr>
              <w:t>ExxonMobil Executive Life Insurance and Death Benefit Plan (incorporated by reference to Exhibit 10(iii)(d) to the Registrant’s Annual</w:t>
            </w:r>
          </w:p>
        </w:tc>
      </w:tr>
      <w:tr>
        <w:trPr>
          <w:trHeight w:val="210"/>
        </w:trPr>
        <w:tc>
          <w:tcPr>
            <w:tcW w:w="20" w:type="dxa"/>
            <w:vAlign w:val="bottom"/>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20" w:type="dxa"/>
            <w:vAlign w:val="bottom"/>
          </w:tcPr>
          <w:p>
            <w:pPr>
              <w:ind w:left="200"/>
              <w:spacing w:after="0"/>
              <w:rPr>
                <w:sz w:val="20"/>
                <w:szCs w:val="20"/>
                <w:color w:val="auto"/>
              </w:rPr>
            </w:pPr>
            <w:r>
              <w:rPr>
                <w:rFonts w:ascii="Arial" w:cs="Arial" w:eastAsia="Arial" w:hAnsi="Arial"/>
                <w:sz w:val="18"/>
                <w:szCs w:val="18"/>
                <w:color w:val="auto"/>
              </w:rPr>
              <w:t>Report on Form 10-K for 2016).*</w:t>
            </w:r>
          </w:p>
        </w:tc>
      </w:tr>
      <w:tr>
        <w:trPr>
          <w:trHeight w:val="296"/>
        </w:trPr>
        <w:tc>
          <w:tcPr>
            <w:tcW w:w="20" w:type="dxa"/>
            <w:vAlign w:val="bottom"/>
          </w:tcPr>
          <w:p>
            <w:pPr>
              <w:spacing w:after="0"/>
              <w:rPr>
                <w:sz w:val="24"/>
                <w:szCs w:val="24"/>
                <w:color w:val="auto"/>
              </w:rPr>
            </w:pPr>
          </w:p>
        </w:tc>
        <w:tc>
          <w:tcPr>
            <w:tcW w:w="1000" w:type="dxa"/>
            <w:vAlign w:val="bottom"/>
            <w:gridSpan w:val="7"/>
          </w:tcPr>
          <w:p>
            <w:pPr>
              <w:spacing w:after="0"/>
              <w:rPr>
                <w:rFonts w:ascii="Arial" w:cs="Arial" w:eastAsia="Arial" w:hAnsi="Arial"/>
                <w:sz w:val="18"/>
                <w:szCs w:val="18"/>
                <w:color w:val="0000FF"/>
              </w:rPr>
            </w:pPr>
            <w:hyperlink r:id="rId190">
              <w:r>
                <w:rPr>
                  <w:rFonts w:ascii="Arial" w:cs="Arial" w:eastAsia="Arial" w:hAnsi="Arial"/>
                  <w:sz w:val="18"/>
                  <w:szCs w:val="18"/>
                  <w:color w:val="0000FF"/>
                </w:rPr>
                <w:t>10(iii)(f.1)</w:t>
              </w:r>
            </w:hyperlink>
          </w:p>
        </w:tc>
        <w:tc>
          <w:tcPr>
            <w:tcW w:w="10220" w:type="dxa"/>
            <w:vAlign w:val="bottom"/>
          </w:tcPr>
          <w:p>
            <w:pPr>
              <w:ind w:left="200"/>
              <w:spacing w:after="0"/>
              <w:rPr>
                <w:sz w:val="20"/>
                <w:szCs w:val="20"/>
                <w:color w:val="auto"/>
              </w:rPr>
            </w:pPr>
            <w:r>
              <w:rPr>
                <w:rFonts w:ascii="Arial" w:cs="Arial" w:eastAsia="Arial" w:hAnsi="Arial"/>
                <w:sz w:val="18"/>
                <w:szCs w:val="18"/>
                <w:color w:val="auto"/>
                <w:w w:val="92"/>
              </w:rPr>
              <w:t>2004 Non-Employee Director Restricted Stock Plan (incorporated by reference to Exhibit 10(iii)(f.1) to the Registrant’s Annual Report on</w:t>
            </w:r>
          </w:p>
        </w:tc>
      </w:tr>
      <w:tr>
        <w:trPr>
          <w:trHeight w:val="210"/>
        </w:trPr>
        <w:tc>
          <w:tcPr>
            <w:tcW w:w="20" w:type="dxa"/>
            <w:vAlign w:val="bottom"/>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20" w:type="dxa"/>
            <w:vAlign w:val="bottom"/>
          </w:tcPr>
          <w:p>
            <w:pPr>
              <w:ind w:left="200"/>
              <w:spacing w:after="0"/>
              <w:rPr>
                <w:sz w:val="20"/>
                <w:szCs w:val="20"/>
                <w:color w:val="auto"/>
              </w:rPr>
            </w:pPr>
            <w:r>
              <w:rPr>
                <w:rFonts w:ascii="Arial" w:cs="Arial" w:eastAsia="Arial" w:hAnsi="Arial"/>
                <w:sz w:val="18"/>
                <w:szCs w:val="18"/>
                <w:color w:val="auto"/>
              </w:rPr>
              <w:t>Form 10-K for 2018).*</w:t>
            </w:r>
          </w:p>
        </w:tc>
      </w:tr>
      <w:tr>
        <w:trPr>
          <w:trHeight w:val="296"/>
        </w:trPr>
        <w:tc>
          <w:tcPr>
            <w:tcW w:w="20" w:type="dxa"/>
            <w:vAlign w:val="bottom"/>
          </w:tcPr>
          <w:p>
            <w:pPr>
              <w:spacing w:after="0"/>
              <w:rPr>
                <w:sz w:val="24"/>
                <w:szCs w:val="24"/>
                <w:color w:val="auto"/>
              </w:rPr>
            </w:pPr>
          </w:p>
        </w:tc>
        <w:tc>
          <w:tcPr>
            <w:tcW w:w="1000" w:type="dxa"/>
            <w:vAlign w:val="bottom"/>
            <w:gridSpan w:val="7"/>
          </w:tcPr>
          <w:p>
            <w:pPr>
              <w:spacing w:after="0"/>
              <w:rPr>
                <w:rFonts w:ascii="Arial" w:cs="Arial" w:eastAsia="Arial" w:hAnsi="Arial"/>
                <w:sz w:val="18"/>
                <w:szCs w:val="18"/>
                <w:color w:val="0000FF"/>
              </w:rPr>
            </w:pPr>
            <w:hyperlink r:id="rId191">
              <w:r>
                <w:rPr>
                  <w:rFonts w:ascii="Arial" w:cs="Arial" w:eastAsia="Arial" w:hAnsi="Arial"/>
                  <w:sz w:val="18"/>
                  <w:szCs w:val="18"/>
                  <w:color w:val="0000FF"/>
                </w:rPr>
                <w:t>10(iii)(f.2)</w:t>
              </w:r>
            </w:hyperlink>
          </w:p>
        </w:tc>
        <w:tc>
          <w:tcPr>
            <w:tcW w:w="10220" w:type="dxa"/>
            <w:vAlign w:val="bottom"/>
          </w:tcPr>
          <w:p>
            <w:pPr>
              <w:ind w:left="200"/>
              <w:spacing w:after="0"/>
              <w:rPr>
                <w:sz w:val="20"/>
                <w:szCs w:val="20"/>
                <w:color w:val="auto"/>
              </w:rPr>
            </w:pPr>
            <w:r>
              <w:rPr>
                <w:rFonts w:ascii="Arial" w:cs="Arial" w:eastAsia="Arial" w:hAnsi="Arial"/>
                <w:sz w:val="18"/>
                <w:szCs w:val="18"/>
                <w:color w:val="auto"/>
                <w:w w:val="91"/>
              </w:rPr>
              <w:t>Standing resolution for non-employee director restricted grants dated September 26, 2007 (incorporated by reference to Exhibit 10(iii)(f.2)</w:t>
            </w:r>
          </w:p>
        </w:tc>
      </w:tr>
      <w:tr>
        <w:trPr>
          <w:trHeight w:val="210"/>
        </w:trPr>
        <w:tc>
          <w:tcPr>
            <w:tcW w:w="20" w:type="dxa"/>
            <w:vAlign w:val="bottom"/>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20" w:type="dxa"/>
            <w:vAlign w:val="bottom"/>
          </w:tcPr>
          <w:p>
            <w:pPr>
              <w:ind w:left="200"/>
              <w:spacing w:after="0"/>
              <w:rPr>
                <w:sz w:val="20"/>
                <w:szCs w:val="20"/>
                <w:color w:val="auto"/>
              </w:rPr>
            </w:pPr>
            <w:r>
              <w:rPr>
                <w:rFonts w:ascii="Arial" w:cs="Arial" w:eastAsia="Arial" w:hAnsi="Arial"/>
                <w:sz w:val="18"/>
                <w:szCs w:val="18"/>
                <w:color w:val="auto"/>
              </w:rPr>
              <w:t>to the Registrant’s Annual Report on Form 10-K for 2016).*</w:t>
            </w:r>
          </w:p>
        </w:tc>
      </w:tr>
      <w:tr>
        <w:trPr>
          <w:trHeight w:val="296"/>
        </w:trPr>
        <w:tc>
          <w:tcPr>
            <w:tcW w:w="20" w:type="dxa"/>
            <w:vAlign w:val="bottom"/>
          </w:tcPr>
          <w:p>
            <w:pPr>
              <w:spacing w:after="0"/>
              <w:rPr>
                <w:sz w:val="24"/>
                <w:szCs w:val="24"/>
                <w:color w:val="auto"/>
              </w:rPr>
            </w:pPr>
          </w:p>
        </w:tc>
        <w:tc>
          <w:tcPr>
            <w:tcW w:w="780" w:type="dxa"/>
            <w:vAlign w:val="bottom"/>
            <w:tcBorders>
              <w:bottom w:val="single" w:sz="8" w:color="0000FF"/>
            </w:tcBorders>
            <w:gridSpan w:val="5"/>
          </w:tcPr>
          <w:p>
            <w:pPr>
              <w:spacing w:after="0"/>
              <w:rPr>
                <w:rFonts w:ascii="Arial" w:cs="Arial" w:eastAsia="Arial" w:hAnsi="Arial"/>
                <w:sz w:val="18"/>
                <w:szCs w:val="18"/>
                <w:color w:val="0000FF"/>
                <w:w w:val="99"/>
              </w:rPr>
            </w:pPr>
            <w:hyperlink w:anchor="page133">
              <w:r>
                <w:rPr>
                  <w:rFonts w:ascii="Arial" w:cs="Arial" w:eastAsia="Arial" w:hAnsi="Arial"/>
                  <w:sz w:val="18"/>
                  <w:szCs w:val="18"/>
                  <w:color w:val="0000FF"/>
                  <w:w w:val="99"/>
                </w:rPr>
                <w:t>10(iii)(f.3)</w:t>
              </w:r>
            </w:hyperlink>
          </w:p>
        </w:tc>
        <w:tc>
          <w:tcPr>
            <w:tcW w:w="220" w:type="dxa"/>
            <w:vAlign w:val="bottom"/>
            <w:gridSpan w:val="2"/>
          </w:tcPr>
          <w:p>
            <w:pPr>
              <w:spacing w:after="0"/>
              <w:rPr>
                <w:sz w:val="24"/>
                <w:szCs w:val="24"/>
                <w:color w:val="auto"/>
              </w:rPr>
            </w:pPr>
          </w:p>
        </w:tc>
        <w:tc>
          <w:tcPr>
            <w:tcW w:w="10220" w:type="dxa"/>
            <w:vAlign w:val="bottom"/>
          </w:tcPr>
          <w:p>
            <w:pPr>
              <w:ind w:left="200"/>
              <w:spacing w:after="0"/>
              <w:rPr>
                <w:sz w:val="20"/>
                <w:szCs w:val="20"/>
                <w:color w:val="auto"/>
              </w:rPr>
            </w:pPr>
            <w:r>
              <w:rPr>
                <w:rFonts w:ascii="Arial" w:cs="Arial" w:eastAsia="Arial" w:hAnsi="Arial"/>
                <w:sz w:val="18"/>
                <w:szCs w:val="18"/>
                <w:color w:val="auto"/>
              </w:rPr>
              <w:t>Form of restricted stock grant letter for non-employee directors.*</w:t>
            </w:r>
          </w:p>
        </w:tc>
      </w:tr>
      <w:tr>
        <w:trPr>
          <w:trHeight w:val="331"/>
        </w:trPr>
        <w:tc>
          <w:tcPr>
            <w:tcW w:w="20" w:type="dxa"/>
            <w:vAlign w:val="bottom"/>
          </w:tcPr>
          <w:p>
            <w:pPr>
              <w:spacing w:after="0"/>
              <w:rPr>
                <w:sz w:val="24"/>
                <w:szCs w:val="24"/>
                <w:color w:val="auto"/>
              </w:rPr>
            </w:pPr>
          </w:p>
        </w:tc>
        <w:tc>
          <w:tcPr>
            <w:tcW w:w="1000" w:type="dxa"/>
            <w:vAlign w:val="bottom"/>
            <w:gridSpan w:val="7"/>
          </w:tcPr>
          <w:p>
            <w:pPr>
              <w:spacing w:after="0"/>
              <w:rPr>
                <w:rFonts w:ascii="Arial" w:cs="Arial" w:eastAsia="Arial" w:hAnsi="Arial"/>
                <w:sz w:val="18"/>
                <w:szCs w:val="18"/>
                <w:color w:val="0000FF"/>
              </w:rPr>
            </w:pPr>
            <w:hyperlink r:id="rId192">
              <w:r>
                <w:rPr>
                  <w:rFonts w:ascii="Arial" w:cs="Arial" w:eastAsia="Arial" w:hAnsi="Arial"/>
                  <w:sz w:val="18"/>
                  <w:szCs w:val="18"/>
                  <w:color w:val="0000FF"/>
                </w:rPr>
                <w:t>10(iii)(f.4)</w:t>
              </w:r>
            </w:hyperlink>
          </w:p>
        </w:tc>
        <w:tc>
          <w:tcPr>
            <w:tcW w:w="10220" w:type="dxa"/>
            <w:vAlign w:val="bottom"/>
          </w:tcPr>
          <w:p>
            <w:pPr>
              <w:ind w:left="200"/>
              <w:spacing w:after="0"/>
              <w:rPr>
                <w:sz w:val="20"/>
                <w:szCs w:val="20"/>
                <w:color w:val="auto"/>
              </w:rPr>
            </w:pPr>
            <w:r>
              <w:rPr>
                <w:rFonts w:ascii="Arial" w:cs="Arial" w:eastAsia="Arial" w:hAnsi="Arial"/>
                <w:sz w:val="18"/>
                <w:szCs w:val="18"/>
                <w:color w:val="auto"/>
                <w:w w:val="95"/>
              </w:rPr>
              <w:t>Standing resolution for non-employee director cash fees dated March 1, 2020 (incorporated by reference to Exhibit 10(iii)(f.4) to the</w:t>
            </w:r>
          </w:p>
        </w:tc>
      </w:tr>
      <w:tr>
        <w:trPr>
          <w:trHeight w:val="210"/>
        </w:trPr>
        <w:tc>
          <w:tcPr>
            <w:tcW w:w="20" w:type="dxa"/>
            <w:vAlign w:val="bottom"/>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20" w:type="dxa"/>
            <w:vAlign w:val="bottom"/>
          </w:tcPr>
          <w:p>
            <w:pPr>
              <w:ind w:left="200"/>
              <w:spacing w:after="0"/>
              <w:rPr>
                <w:sz w:val="20"/>
                <w:szCs w:val="20"/>
                <w:color w:val="auto"/>
              </w:rPr>
            </w:pPr>
            <w:r>
              <w:rPr>
                <w:rFonts w:ascii="Arial" w:cs="Arial" w:eastAsia="Arial" w:hAnsi="Arial"/>
                <w:sz w:val="18"/>
                <w:szCs w:val="18"/>
                <w:color w:val="auto"/>
              </w:rPr>
              <w:t>Registrant’s Report on Form 10-Q for the quarter ended March 31, 2020).*</w:t>
            </w:r>
          </w:p>
        </w:tc>
      </w:tr>
    </w:tbl>
    <w:p>
      <w:pPr>
        <w:spacing w:after="0" w:line="106" w:lineRule="exact"/>
        <w:rPr>
          <w:sz w:val="20"/>
          <w:szCs w:val="20"/>
          <w:color w:val="auto"/>
        </w:rPr>
      </w:pPr>
    </w:p>
    <w:p>
      <w:pPr>
        <w:ind w:left="1220" w:hanging="1194"/>
        <w:spacing w:after="0"/>
        <w:tabs>
          <w:tab w:leader="none" w:pos="1220" w:val="left"/>
        </w:tabs>
        <w:numPr>
          <w:ilvl w:val="0"/>
          <w:numId w:val="39"/>
        </w:numPr>
        <w:rPr>
          <w:rFonts w:ascii="Arial" w:cs="Arial" w:eastAsia="Arial" w:hAnsi="Arial"/>
          <w:sz w:val="16"/>
          <w:szCs w:val="16"/>
          <w:u w:val="single" w:color="auto"/>
          <w:color w:val="0000FF"/>
        </w:rPr>
      </w:pPr>
      <w:r>
        <w:rPr>
          <w:rFonts w:ascii="Arial" w:cs="Arial" w:eastAsia="Arial" w:hAnsi="Arial"/>
          <w:sz w:val="16"/>
          <w:szCs w:val="16"/>
          <w:color w:val="auto"/>
        </w:rPr>
        <w:t>Code of Ethics and Business Conduct (incorporated by reference to Exhibit 14 to the Registrant’s Annual Report on Form 10-K for 2017).</w:t>
      </w:r>
    </w:p>
    <w:p>
      <w:pPr>
        <w:spacing w:after="0" w:line="167" w:lineRule="exact"/>
        <w:rPr>
          <w:sz w:val="20"/>
          <w:szCs w:val="20"/>
          <w:color w:val="auto"/>
        </w:rPr>
      </w:pPr>
    </w:p>
    <w:p>
      <w:pPr>
        <w:ind w:left="1220" w:hanging="1194"/>
        <w:spacing w:after="0"/>
        <w:tabs>
          <w:tab w:leader="none" w:pos="1220" w:val="left"/>
        </w:tabs>
        <w:numPr>
          <w:ilvl w:val="0"/>
          <w:numId w:val="40"/>
        </w:numPr>
        <w:rPr>
          <w:rFonts w:ascii="Arial" w:cs="Arial" w:eastAsia="Arial" w:hAnsi="Arial"/>
          <w:sz w:val="18"/>
          <w:szCs w:val="18"/>
          <w:u w:val="single" w:color="auto"/>
          <w:color w:val="0000FF"/>
        </w:rPr>
      </w:pPr>
      <w:r>
        <w:rPr>
          <w:rFonts w:ascii="Arial" w:cs="Arial" w:eastAsia="Arial" w:hAnsi="Arial"/>
          <w:sz w:val="18"/>
          <w:szCs w:val="18"/>
          <w:color w:val="auto"/>
        </w:rPr>
        <w:t>Subsidiaries of the registrant.</w:t>
      </w:r>
    </w:p>
    <w:p>
      <w:pPr>
        <w:spacing w:after="0" w:line="144" w:lineRule="exact"/>
        <w:rPr>
          <w:sz w:val="20"/>
          <w:szCs w:val="20"/>
          <w:color w:val="auto"/>
        </w:rPr>
      </w:pPr>
    </w:p>
    <w:p>
      <w:pPr>
        <w:ind w:left="1220" w:hanging="1194"/>
        <w:spacing w:after="0"/>
        <w:tabs>
          <w:tab w:leader="none" w:pos="1220" w:val="left"/>
        </w:tabs>
        <w:numPr>
          <w:ilvl w:val="0"/>
          <w:numId w:val="41"/>
        </w:numPr>
        <w:rPr>
          <w:rFonts w:ascii="Arial" w:cs="Arial" w:eastAsia="Arial" w:hAnsi="Arial"/>
          <w:sz w:val="18"/>
          <w:szCs w:val="18"/>
          <w:u w:val="single" w:color="auto"/>
          <w:color w:val="0000FF"/>
        </w:rPr>
      </w:pPr>
      <w:r>
        <w:rPr>
          <w:rFonts w:ascii="Arial" w:cs="Arial" w:eastAsia="Arial" w:hAnsi="Arial"/>
          <w:sz w:val="18"/>
          <w:szCs w:val="18"/>
          <w:color w:val="auto"/>
        </w:rPr>
        <w:t>Consent of PricewaterhouseCoopers LLP, Independent Registered Public Accounting Firm.</w:t>
      </w:r>
    </w:p>
    <w:p>
      <w:pPr>
        <w:spacing w:after="0" w:line="12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20" w:type="dxa"/>
            <w:vAlign w:val="bottom"/>
            <w:tcBorders>
              <w:bottom w:val="single" w:sz="8" w:color="0000FF"/>
            </w:tcBorders>
          </w:tcPr>
          <w:p>
            <w:pPr>
              <w:spacing w:after="0"/>
              <w:rPr>
                <w:rFonts w:ascii="Arial" w:cs="Arial" w:eastAsia="Arial" w:hAnsi="Arial"/>
                <w:sz w:val="18"/>
                <w:szCs w:val="18"/>
                <w:color w:val="0000FF"/>
                <w:w w:val="85"/>
              </w:rPr>
            </w:pPr>
            <w:hyperlink w:anchor="page139">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1</w:t>
              </w:r>
            </w:hyperlink>
          </w:p>
        </w:tc>
        <w:tc>
          <w:tcPr>
            <w:tcW w:w="660" w:type="dxa"/>
            <w:vAlign w:val="bottom"/>
          </w:tcPr>
          <w:p>
            <w:pPr>
              <w:spacing w:after="0"/>
              <w:rPr>
                <w:sz w:val="18"/>
                <w:szCs w:val="18"/>
                <w:color w:val="auto"/>
              </w:rPr>
            </w:pPr>
          </w:p>
        </w:tc>
        <w:tc>
          <w:tcPr>
            <w:tcW w:w="7580" w:type="dxa"/>
            <w:vAlign w:val="bottom"/>
            <w:gridSpan w:val="2"/>
          </w:tcPr>
          <w:p>
            <w:pPr>
              <w:ind w:left="220"/>
              <w:spacing w:after="0"/>
              <w:rPr>
                <w:sz w:val="20"/>
                <w:szCs w:val="20"/>
                <w:color w:val="auto"/>
              </w:rPr>
            </w:pPr>
            <w:r>
              <w:rPr>
                <w:rFonts w:ascii="Arial" w:cs="Arial" w:eastAsia="Arial" w:hAnsi="Arial"/>
                <w:sz w:val="18"/>
                <w:szCs w:val="18"/>
                <w:color w:val="auto"/>
                <w:w w:val="98"/>
              </w:rPr>
              <w:t>Certification (pursuant to Securities Exchange Act Rule 13a-14(a)) by Chief Executive Officer.</w:t>
            </w:r>
          </w:p>
        </w:tc>
      </w:tr>
      <w:tr>
        <w:trPr>
          <w:trHeight w:val="331"/>
        </w:trPr>
        <w:tc>
          <w:tcPr>
            <w:tcW w:w="320" w:type="dxa"/>
            <w:vAlign w:val="bottom"/>
            <w:tcBorders>
              <w:bottom w:val="single" w:sz="8" w:color="0000FF"/>
            </w:tcBorders>
          </w:tcPr>
          <w:p>
            <w:pPr>
              <w:spacing w:after="0"/>
              <w:rPr>
                <w:rFonts w:ascii="Arial" w:cs="Arial" w:eastAsia="Arial" w:hAnsi="Arial"/>
                <w:sz w:val="18"/>
                <w:szCs w:val="18"/>
                <w:color w:val="0000FF"/>
                <w:w w:val="85"/>
              </w:rPr>
            </w:pPr>
            <w:hyperlink w:anchor="page140">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2</w:t>
              </w:r>
            </w:hyperlink>
          </w:p>
        </w:tc>
        <w:tc>
          <w:tcPr>
            <w:tcW w:w="660" w:type="dxa"/>
            <w:vAlign w:val="bottom"/>
          </w:tcPr>
          <w:p>
            <w:pPr>
              <w:spacing w:after="0"/>
              <w:rPr>
                <w:sz w:val="24"/>
                <w:szCs w:val="24"/>
                <w:color w:val="auto"/>
              </w:rPr>
            </w:pPr>
          </w:p>
        </w:tc>
        <w:tc>
          <w:tcPr>
            <w:tcW w:w="7580" w:type="dxa"/>
            <w:vAlign w:val="bottom"/>
            <w:gridSpan w:val="2"/>
          </w:tcPr>
          <w:p>
            <w:pPr>
              <w:ind w:left="220"/>
              <w:spacing w:after="0"/>
              <w:rPr>
                <w:sz w:val="20"/>
                <w:szCs w:val="20"/>
                <w:color w:val="auto"/>
              </w:rPr>
            </w:pPr>
            <w:r>
              <w:rPr>
                <w:rFonts w:ascii="Arial" w:cs="Arial" w:eastAsia="Arial" w:hAnsi="Arial"/>
                <w:sz w:val="18"/>
                <w:szCs w:val="18"/>
                <w:color w:val="auto"/>
                <w:w w:val="99"/>
              </w:rPr>
              <w:t>Certification (pursuant to Securities Exchange Act Rule 13a-14(a)) by Chief Financial Officer.</w:t>
            </w:r>
          </w:p>
        </w:tc>
      </w:tr>
      <w:tr>
        <w:trPr>
          <w:trHeight w:val="331"/>
        </w:trPr>
        <w:tc>
          <w:tcPr>
            <w:tcW w:w="320" w:type="dxa"/>
            <w:vAlign w:val="bottom"/>
            <w:tcBorders>
              <w:bottom w:val="single" w:sz="8" w:color="0000FF"/>
            </w:tcBorders>
          </w:tcPr>
          <w:p>
            <w:pPr>
              <w:spacing w:after="0"/>
              <w:rPr>
                <w:rFonts w:ascii="Arial" w:cs="Arial" w:eastAsia="Arial" w:hAnsi="Arial"/>
                <w:sz w:val="18"/>
                <w:szCs w:val="18"/>
                <w:color w:val="0000FF"/>
                <w:w w:val="85"/>
              </w:rPr>
            </w:pPr>
            <w:hyperlink w:anchor="page141">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3</w:t>
              </w:r>
            </w:hyperlink>
          </w:p>
        </w:tc>
        <w:tc>
          <w:tcPr>
            <w:tcW w:w="660" w:type="dxa"/>
            <w:vAlign w:val="bottom"/>
          </w:tcPr>
          <w:p>
            <w:pPr>
              <w:spacing w:after="0"/>
              <w:rPr>
                <w:sz w:val="24"/>
                <w:szCs w:val="24"/>
                <w:color w:val="auto"/>
              </w:rPr>
            </w:pPr>
          </w:p>
        </w:tc>
        <w:tc>
          <w:tcPr>
            <w:tcW w:w="7580" w:type="dxa"/>
            <w:vAlign w:val="bottom"/>
            <w:gridSpan w:val="2"/>
          </w:tcPr>
          <w:p>
            <w:pPr>
              <w:ind w:left="220"/>
              <w:spacing w:after="0"/>
              <w:rPr>
                <w:sz w:val="20"/>
                <w:szCs w:val="20"/>
                <w:color w:val="auto"/>
              </w:rPr>
            </w:pPr>
            <w:r>
              <w:rPr>
                <w:rFonts w:ascii="Arial" w:cs="Arial" w:eastAsia="Arial" w:hAnsi="Arial"/>
                <w:sz w:val="18"/>
                <w:szCs w:val="18"/>
                <w:color w:val="auto"/>
                <w:w w:val="93"/>
              </w:rPr>
              <w:t>Certification (pursuant to Securities Exchange Act Rule 13a-14(a)) by Principal Accounting Officer.</w:t>
            </w:r>
          </w:p>
        </w:tc>
      </w:tr>
      <w:tr>
        <w:trPr>
          <w:trHeight w:val="331"/>
        </w:trPr>
        <w:tc>
          <w:tcPr>
            <w:tcW w:w="320" w:type="dxa"/>
            <w:vAlign w:val="bottom"/>
            <w:tcBorders>
              <w:bottom w:val="single" w:sz="8" w:color="0000FF"/>
            </w:tcBorders>
          </w:tcPr>
          <w:p>
            <w:pPr>
              <w:spacing w:after="0"/>
              <w:rPr>
                <w:rFonts w:ascii="Arial" w:cs="Arial" w:eastAsia="Arial" w:hAnsi="Arial"/>
                <w:sz w:val="18"/>
                <w:szCs w:val="18"/>
                <w:color w:val="0000FF"/>
                <w:w w:val="85"/>
              </w:rPr>
            </w:pPr>
            <w:hyperlink w:anchor="page142">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1</w:t>
              </w:r>
            </w:hyperlink>
          </w:p>
        </w:tc>
        <w:tc>
          <w:tcPr>
            <w:tcW w:w="660" w:type="dxa"/>
            <w:vAlign w:val="bottom"/>
          </w:tcPr>
          <w:p>
            <w:pPr>
              <w:spacing w:after="0"/>
              <w:rPr>
                <w:sz w:val="24"/>
                <w:szCs w:val="24"/>
                <w:color w:val="auto"/>
              </w:rPr>
            </w:pPr>
          </w:p>
        </w:tc>
        <w:tc>
          <w:tcPr>
            <w:tcW w:w="1200" w:type="dxa"/>
            <w:vAlign w:val="bottom"/>
          </w:tcPr>
          <w:p>
            <w:pPr>
              <w:ind w:left="220"/>
              <w:spacing w:after="0"/>
              <w:rPr>
                <w:sz w:val="20"/>
                <w:szCs w:val="20"/>
                <w:color w:val="auto"/>
              </w:rPr>
            </w:pPr>
            <w:r>
              <w:rPr>
                <w:rFonts w:ascii="Arial" w:cs="Arial" w:eastAsia="Arial" w:hAnsi="Arial"/>
                <w:sz w:val="18"/>
                <w:szCs w:val="18"/>
                <w:color w:val="auto"/>
                <w:w w:val="91"/>
              </w:rPr>
              <w:t>Section 1350</w:t>
            </w:r>
          </w:p>
        </w:tc>
        <w:tc>
          <w:tcPr>
            <w:tcW w:w="6380" w:type="dxa"/>
            <w:vAlign w:val="bottom"/>
          </w:tcPr>
          <w:p>
            <w:pPr>
              <w:ind w:left="20"/>
              <w:spacing w:after="0"/>
              <w:rPr>
                <w:sz w:val="20"/>
                <w:szCs w:val="20"/>
                <w:color w:val="auto"/>
              </w:rPr>
            </w:pPr>
            <w:r>
              <w:rPr>
                <w:rFonts w:ascii="Arial" w:cs="Arial" w:eastAsia="Arial" w:hAnsi="Arial"/>
                <w:sz w:val="18"/>
                <w:szCs w:val="18"/>
                <w:color w:val="auto"/>
                <w:w w:val="97"/>
              </w:rPr>
              <w:t>Certification (pursuant to Sarbanes-Oxley Section 906) by Chief Executive Officer.</w:t>
            </w:r>
          </w:p>
        </w:tc>
      </w:tr>
      <w:tr>
        <w:trPr>
          <w:trHeight w:val="331"/>
        </w:trPr>
        <w:tc>
          <w:tcPr>
            <w:tcW w:w="320" w:type="dxa"/>
            <w:vAlign w:val="bottom"/>
            <w:tcBorders>
              <w:bottom w:val="single" w:sz="8" w:color="0000FF"/>
            </w:tcBorders>
          </w:tcPr>
          <w:p>
            <w:pPr>
              <w:spacing w:after="0"/>
              <w:rPr>
                <w:rFonts w:ascii="Arial" w:cs="Arial" w:eastAsia="Arial" w:hAnsi="Arial"/>
                <w:sz w:val="18"/>
                <w:szCs w:val="18"/>
                <w:color w:val="0000FF"/>
                <w:w w:val="85"/>
              </w:rPr>
            </w:pPr>
            <w:hyperlink w:anchor="page143">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2</w:t>
              </w:r>
            </w:hyperlink>
          </w:p>
        </w:tc>
        <w:tc>
          <w:tcPr>
            <w:tcW w:w="660" w:type="dxa"/>
            <w:vAlign w:val="bottom"/>
          </w:tcPr>
          <w:p>
            <w:pPr>
              <w:spacing w:after="0"/>
              <w:rPr>
                <w:sz w:val="24"/>
                <w:szCs w:val="24"/>
                <w:color w:val="auto"/>
              </w:rPr>
            </w:pPr>
          </w:p>
        </w:tc>
        <w:tc>
          <w:tcPr>
            <w:tcW w:w="1200" w:type="dxa"/>
            <w:vAlign w:val="bottom"/>
          </w:tcPr>
          <w:p>
            <w:pPr>
              <w:ind w:left="220"/>
              <w:spacing w:after="0"/>
              <w:rPr>
                <w:sz w:val="20"/>
                <w:szCs w:val="20"/>
                <w:color w:val="auto"/>
              </w:rPr>
            </w:pPr>
            <w:r>
              <w:rPr>
                <w:rFonts w:ascii="Arial" w:cs="Arial" w:eastAsia="Arial" w:hAnsi="Arial"/>
                <w:sz w:val="18"/>
                <w:szCs w:val="18"/>
                <w:color w:val="auto"/>
                <w:w w:val="91"/>
              </w:rPr>
              <w:t>Section 1350</w:t>
            </w:r>
          </w:p>
        </w:tc>
        <w:tc>
          <w:tcPr>
            <w:tcW w:w="6380" w:type="dxa"/>
            <w:vAlign w:val="bottom"/>
          </w:tcPr>
          <w:p>
            <w:pPr>
              <w:ind w:left="20"/>
              <w:spacing w:after="0"/>
              <w:rPr>
                <w:sz w:val="20"/>
                <w:szCs w:val="20"/>
                <w:color w:val="auto"/>
              </w:rPr>
            </w:pPr>
            <w:r>
              <w:rPr>
                <w:rFonts w:ascii="Arial" w:cs="Arial" w:eastAsia="Arial" w:hAnsi="Arial"/>
                <w:sz w:val="18"/>
                <w:szCs w:val="18"/>
                <w:color w:val="auto"/>
                <w:w w:val="97"/>
              </w:rPr>
              <w:t>Certification (pursuant to Sarbanes-Oxley Section 906) by Chief Financial Officer.</w:t>
            </w:r>
          </w:p>
        </w:tc>
      </w:tr>
      <w:tr>
        <w:trPr>
          <w:trHeight w:val="331"/>
        </w:trPr>
        <w:tc>
          <w:tcPr>
            <w:tcW w:w="320" w:type="dxa"/>
            <w:vAlign w:val="bottom"/>
            <w:tcBorders>
              <w:bottom w:val="single" w:sz="8" w:color="0000FF"/>
            </w:tcBorders>
          </w:tcPr>
          <w:p>
            <w:pPr>
              <w:spacing w:after="0"/>
              <w:rPr>
                <w:rFonts w:ascii="Arial" w:cs="Arial" w:eastAsia="Arial" w:hAnsi="Arial"/>
                <w:sz w:val="18"/>
                <w:szCs w:val="18"/>
                <w:color w:val="0000FF"/>
                <w:w w:val="85"/>
              </w:rPr>
            </w:pPr>
            <w:hyperlink w:anchor="page144">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3</w:t>
              </w:r>
            </w:hyperlink>
          </w:p>
        </w:tc>
        <w:tc>
          <w:tcPr>
            <w:tcW w:w="660" w:type="dxa"/>
            <w:vAlign w:val="bottom"/>
          </w:tcPr>
          <w:p>
            <w:pPr>
              <w:spacing w:after="0"/>
              <w:rPr>
                <w:sz w:val="24"/>
                <w:szCs w:val="24"/>
                <w:color w:val="auto"/>
              </w:rPr>
            </w:pPr>
          </w:p>
        </w:tc>
        <w:tc>
          <w:tcPr>
            <w:tcW w:w="1200" w:type="dxa"/>
            <w:vAlign w:val="bottom"/>
          </w:tcPr>
          <w:p>
            <w:pPr>
              <w:ind w:left="220"/>
              <w:spacing w:after="0"/>
              <w:rPr>
                <w:sz w:val="20"/>
                <w:szCs w:val="20"/>
                <w:color w:val="auto"/>
              </w:rPr>
            </w:pPr>
            <w:r>
              <w:rPr>
                <w:rFonts w:ascii="Arial" w:cs="Arial" w:eastAsia="Arial" w:hAnsi="Arial"/>
                <w:sz w:val="18"/>
                <w:szCs w:val="18"/>
                <w:color w:val="auto"/>
                <w:w w:val="91"/>
              </w:rPr>
              <w:t>Section 1350</w:t>
            </w:r>
          </w:p>
        </w:tc>
        <w:tc>
          <w:tcPr>
            <w:tcW w:w="6380" w:type="dxa"/>
            <w:vAlign w:val="bottom"/>
          </w:tcPr>
          <w:p>
            <w:pPr>
              <w:ind w:left="20"/>
              <w:spacing w:after="0"/>
              <w:rPr>
                <w:sz w:val="20"/>
                <w:szCs w:val="20"/>
                <w:color w:val="auto"/>
              </w:rPr>
            </w:pPr>
            <w:r>
              <w:rPr>
                <w:rFonts w:ascii="Arial" w:cs="Arial" w:eastAsia="Arial" w:hAnsi="Arial"/>
                <w:sz w:val="18"/>
                <w:szCs w:val="18"/>
                <w:color w:val="auto"/>
                <w:w w:val="91"/>
              </w:rPr>
              <w:t>Certification (pursuant to Sarbanes-Oxley Section 906) by Principal Accounting Officer.</w:t>
            </w:r>
          </w:p>
        </w:tc>
      </w:tr>
      <w:tr>
        <w:trPr>
          <w:trHeight w:val="371"/>
        </w:trPr>
        <w:tc>
          <w:tcPr>
            <w:tcW w:w="320" w:type="dxa"/>
            <w:vAlign w:val="bottom"/>
          </w:tcPr>
          <w:p>
            <w:pPr>
              <w:spacing w:after="0"/>
              <w:rPr>
                <w:sz w:val="20"/>
                <w:szCs w:val="20"/>
                <w:color w:val="auto"/>
              </w:rPr>
            </w:pPr>
            <w:r>
              <w:rPr>
                <w:rFonts w:ascii="Arial" w:cs="Arial" w:eastAsia="Arial" w:hAnsi="Arial"/>
                <w:sz w:val="18"/>
                <w:szCs w:val="18"/>
                <w:color w:val="auto"/>
                <w:w w:val="99"/>
              </w:rPr>
              <w:t>101</w:t>
            </w:r>
          </w:p>
        </w:tc>
        <w:tc>
          <w:tcPr>
            <w:tcW w:w="660" w:type="dxa"/>
            <w:vAlign w:val="bottom"/>
          </w:tcPr>
          <w:p>
            <w:pPr>
              <w:spacing w:after="0"/>
              <w:rPr>
                <w:sz w:val="24"/>
                <w:szCs w:val="24"/>
                <w:color w:val="auto"/>
              </w:rPr>
            </w:pPr>
          </w:p>
        </w:tc>
        <w:tc>
          <w:tcPr>
            <w:tcW w:w="7580" w:type="dxa"/>
            <w:vAlign w:val="bottom"/>
            <w:gridSpan w:val="2"/>
          </w:tcPr>
          <w:p>
            <w:pPr>
              <w:ind w:left="220"/>
              <w:spacing w:after="0"/>
              <w:rPr>
                <w:sz w:val="20"/>
                <w:szCs w:val="20"/>
                <w:color w:val="auto"/>
              </w:rPr>
            </w:pPr>
            <w:r>
              <w:rPr>
                <w:rFonts w:ascii="Arial" w:cs="Arial" w:eastAsia="Arial" w:hAnsi="Arial"/>
                <w:sz w:val="18"/>
                <w:szCs w:val="18"/>
                <w:color w:val="auto"/>
              </w:rPr>
              <w:t>Interactive data files (formatted as Inline XBRL).</w:t>
            </w:r>
          </w:p>
        </w:tc>
      </w:tr>
      <w:tr>
        <w:trPr>
          <w:trHeight w:val="351"/>
        </w:trPr>
        <w:tc>
          <w:tcPr>
            <w:tcW w:w="320" w:type="dxa"/>
            <w:vAlign w:val="bottom"/>
          </w:tcPr>
          <w:p>
            <w:pPr>
              <w:spacing w:after="0"/>
              <w:rPr>
                <w:sz w:val="20"/>
                <w:szCs w:val="20"/>
                <w:color w:val="auto"/>
              </w:rPr>
            </w:pPr>
            <w:r>
              <w:rPr>
                <w:rFonts w:ascii="Arial" w:cs="Arial" w:eastAsia="Arial" w:hAnsi="Arial"/>
                <w:sz w:val="18"/>
                <w:szCs w:val="18"/>
                <w:color w:val="auto"/>
                <w:w w:val="99"/>
              </w:rPr>
              <w:t>104</w:t>
            </w:r>
          </w:p>
        </w:tc>
        <w:tc>
          <w:tcPr>
            <w:tcW w:w="660" w:type="dxa"/>
            <w:vAlign w:val="bottom"/>
          </w:tcPr>
          <w:p>
            <w:pPr>
              <w:spacing w:after="0"/>
              <w:rPr>
                <w:sz w:val="24"/>
                <w:szCs w:val="24"/>
                <w:color w:val="auto"/>
              </w:rPr>
            </w:pPr>
          </w:p>
        </w:tc>
        <w:tc>
          <w:tcPr>
            <w:tcW w:w="7580" w:type="dxa"/>
            <w:vAlign w:val="bottom"/>
            <w:gridSpan w:val="2"/>
          </w:tcPr>
          <w:p>
            <w:pPr>
              <w:ind w:left="220"/>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r>
        <w:trPr>
          <w:trHeight w:val="101"/>
        </w:trPr>
        <w:tc>
          <w:tcPr>
            <w:tcW w:w="980" w:type="dxa"/>
            <w:vAlign w:val="bottom"/>
            <w:gridSpan w:val="2"/>
          </w:tcPr>
          <w:p>
            <w:pPr>
              <w:spacing w:after="0"/>
              <w:rPr>
                <w:sz w:val="20"/>
                <w:szCs w:val="20"/>
                <w:color w:val="auto"/>
              </w:rPr>
            </w:pPr>
            <w:r>
              <w:rPr>
                <w:rFonts w:ascii="Arial" w:cs="Arial" w:eastAsia="Arial" w:hAnsi="Arial"/>
                <w:sz w:val="7"/>
                <w:szCs w:val="7"/>
                <w:color w:val="auto"/>
              </w:rPr>
              <w:t>_____________________</w:t>
            </w:r>
          </w:p>
        </w:tc>
        <w:tc>
          <w:tcPr>
            <w:tcW w:w="1200" w:type="dxa"/>
            <w:vAlign w:val="bottom"/>
          </w:tcPr>
          <w:p>
            <w:pPr>
              <w:spacing w:after="0"/>
              <w:rPr>
                <w:sz w:val="8"/>
                <w:szCs w:val="8"/>
                <w:color w:val="auto"/>
              </w:rPr>
            </w:pPr>
          </w:p>
        </w:tc>
        <w:tc>
          <w:tcPr>
            <w:tcW w:w="6380" w:type="dxa"/>
            <w:vAlign w:val="bottom"/>
          </w:tcPr>
          <w:p>
            <w:pPr>
              <w:spacing w:after="0"/>
              <w:rPr>
                <w:sz w:val="8"/>
                <w:szCs w:val="8"/>
                <w:color w:val="auto"/>
              </w:rPr>
            </w:pPr>
          </w:p>
        </w:tc>
      </w:tr>
    </w:tbl>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 Compensatory plan or arrangement required to be identified pursuant to Item 15(a)(3) of this Annual Report on Form 10-K.</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registrant has not filed with this report copies of the instruments defining the rights of holders of long-term debt of the registrant and its subsidiaries for which consolidated or unconsolidated financial statements are required to be filed. The registrant agrees to furnish a copy of any such instrument to the Securities and Exchange Commission upon request.</w:t>
      </w:r>
    </w:p>
    <w:p>
      <w:pPr>
        <w:sectPr>
          <w:pgSz w:w="11900" w:h="16838" w:orient="portrait"/>
          <w:cols w:equalWidth="0" w:num="1">
            <w:col w:w="11240"/>
          </w:cols>
          <w:pgMar w:left="320" w:top="769" w:right="339" w:bottom="561"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561" w:gutter="0" w:footer="0" w:header="0"/>
          <w:type w:val="continuous"/>
        </w:sectPr>
      </w:pPr>
    </w:p>
    <w:bookmarkStart w:id="127" w:name="page128"/>
    <w:bookmarkEnd w:id="127"/>
    <w:p>
      <w:pPr>
        <w:jc w:val="center"/>
        <w:spacing w:after="0"/>
        <w:rPr>
          <w:sz w:val="20"/>
          <w:szCs w:val="20"/>
          <w:color w:val="auto"/>
        </w:rPr>
      </w:pPr>
      <w:r>
        <w:rPr>
          <w:rFonts w:ascii="Arial" w:cs="Arial" w:eastAsia="Arial" w:hAnsi="Arial"/>
          <w:sz w:val="18"/>
          <w:szCs w:val="18"/>
          <w:b w:val="1"/>
          <w:bCs w:val="1"/>
          <w:color w:val="auto"/>
        </w:rPr>
        <w:t>SIGNATURES</w:t>
      </w:r>
    </w:p>
    <w:p>
      <w:pPr>
        <w:spacing w:after="0" w:line="17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30"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EXXON MOBIL CORPORATION</w:t>
      </w:r>
    </w:p>
    <w:p>
      <w:pPr>
        <w:spacing w:after="0" w:line="252" w:lineRule="exact"/>
        <w:rPr>
          <w:sz w:val="20"/>
          <w:szCs w:val="20"/>
          <w:color w:val="auto"/>
        </w:rPr>
      </w:pPr>
    </w:p>
    <w:p>
      <w:pPr>
        <w:ind w:left="5500"/>
        <w:spacing w:after="0"/>
        <w:tabs>
          <w:tab w:leader="none" w:pos="73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DARREN W. WOODS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14605</wp:posOffset>
            </wp:positionV>
            <wp:extent cx="301752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4">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1" w:lineRule="exact"/>
        <w:rPr>
          <w:sz w:val="20"/>
          <w:szCs w:val="20"/>
          <w:color w:val="auto"/>
        </w:rPr>
      </w:pPr>
    </w:p>
    <w:p>
      <w:pPr>
        <w:jc w:val="center"/>
        <w:ind w:left="5300"/>
        <w:spacing w:after="0"/>
        <w:rPr>
          <w:sz w:val="20"/>
          <w:szCs w:val="20"/>
          <w:color w:val="auto"/>
        </w:rPr>
      </w:pPr>
      <w:r>
        <w:rPr>
          <w:rFonts w:ascii="Arial" w:cs="Arial" w:eastAsia="Arial" w:hAnsi="Arial"/>
          <w:sz w:val="18"/>
          <w:szCs w:val="18"/>
          <w:color w:val="auto"/>
        </w:rPr>
        <w:t>(Darren W. Woods,</w:t>
      </w:r>
    </w:p>
    <w:p>
      <w:pPr>
        <w:jc w:val="center"/>
        <w:ind w:left="5300"/>
        <w:spacing w:after="0"/>
        <w:rPr>
          <w:sz w:val="20"/>
          <w:szCs w:val="20"/>
          <w:color w:val="auto"/>
        </w:rPr>
      </w:pPr>
      <w:r>
        <w:rPr>
          <w:rFonts w:ascii="Arial" w:cs="Arial" w:eastAsia="Arial" w:hAnsi="Arial"/>
          <w:sz w:val="18"/>
          <w:szCs w:val="18"/>
          <w:color w:val="auto"/>
        </w:rPr>
        <w:t>Chairman of the Board)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1316355</wp:posOffset>
            </wp:positionH>
            <wp:positionV relativeFrom="paragraph">
              <wp:posOffset>537845</wp:posOffset>
            </wp:positionV>
            <wp:extent cx="451739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5">
                      <a:extLst>
                        <a:ext uri="{28A0092B-C50C-407E-A947-70E740481C1C}"/>
                      </a:extLst>
                    </a:blip>
                    <a:srcRect/>
                    <a:stretch>
                      <a:fillRect/>
                    </a:stretch>
                  </pic:blipFill>
                  <pic:spPr bwMode="auto">
                    <a:xfrm>
                      <a:off x="0" y="0"/>
                      <a:ext cx="45173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71" w:lineRule="exact"/>
        <w:rPr>
          <w:sz w:val="20"/>
          <w:szCs w:val="20"/>
          <w:color w:val="auto"/>
        </w:rPr>
      </w:pPr>
    </w:p>
    <w:p>
      <w:pPr>
        <w:jc w:val="both"/>
        <w:spacing w:after="0" w:line="292" w:lineRule="auto"/>
        <w:rPr>
          <w:sz w:val="20"/>
          <w:szCs w:val="20"/>
          <w:color w:val="auto"/>
        </w:rPr>
      </w:pPr>
      <w:r>
        <w:rPr>
          <w:rFonts w:ascii="Arial" w:cs="Arial" w:eastAsia="Arial" w:hAnsi="Arial"/>
          <w:sz w:val="16"/>
          <w:szCs w:val="16"/>
          <w:b w:val="1"/>
          <w:bCs w:val="1"/>
          <w:color w:val="auto"/>
        </w:rPr>
        <w:t>Each person whose signature appears below constitutes and appoints Jeremy R. Osterstock, Antony E. Peters, and David R. Woodcock and each of them, his or her true and lawful attorneys-in-fact and agents, with full power of substitution and resubstitution,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he or she might or could do in person, hereby ratifying and confirming all that said attorneys-in-fact and agents or any of them, or their or his or her substitute or substitutes, may lawfully do or cause to be done by virtue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88265</wp:posOffset>
            </wp:positionV>
            <wp:extent cx="451739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6">
                      <a:extLst>
                        <a:ext uri="{28A0092B-C50C-407E-A947-70E740481C1C}"/>
                      </a:extLst>
                    </a:blip>
                    <a:srcRect/>
                    <a:stretch>
                      <a:fillRect/>
                    </a:stretch>
                  </pic:blipFill>
                  <pic:spPr bwMode="auto">
                    <a:xfrm>
                      <a:off x="0" y="0"/>
                      <a:ext cx="4517390" cy="8255"/>
                    </a:xfrm>
                    <a:prstGeom prst="rect">
                      <a:avLst/>
                    </a:prstGeom>
                    <a:noFill/>
                  </pic:spPr>
                </pic:pic>
              </a:graphicData>
            </a:graphic>
          </wp:anchor>
        </w:drawing>
      </w:r>
    </w:p>
    <w:p>
      <w:pPr>
        <w:spacing w:after="0" w:line="276"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Pursuant to the requirements of the Securities Exchange Act of 1934, this report has been signed below by the following persons on behalf of the registrant and in the capacities indicated and on February 23, 2022.</w:t>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DARREN W. WOODS</w:t>
            </w:r>
          </w:p>
        </w:tc>
        <w:tc>
          <w:tcPr>
            <w:tcW w:w="5100" w:type="dxa"/>
            <w:vAlign w:val="bottom"/>
          </w:tcPr>
          <w:p>
            <w:pPr>
              <w:jc w:val="center"/>
              <w:ind w:left="2910"/>
              <w:spacing w:after="0"/>
              <w:rPr>
                <w:sz w:val="20"/>
                <w:szCs w:val="20"/>
                <w:color w:val="auto"/>
              </w:rPr>
            </w:pPr>
            <w:r>
              <w:rPr>
                <w:rFonts w:ascii="Arial" w:cs="Arial" w:eastAsia="Arial" w:hAnsi="Arial"/>
                <w:sz w:val="18"/>
                <w:szCs w:val="18"/>
                <w:color w:val="auto"/>
                <w:w w:val="91"/>
              </w:rPr>
              <w:t>Chairman of the Board</w:t>
            </w:r>
          </w:p>
        </w:tc>
      </w:tr>
      <w:tr>
        <w:trPr>
          <w:trHeight w:val="224"/>
        </w:trPr>
        <w:tc>
          <w:tcPr>
            <w:tcW w:w="5000" w:type="dxa"/>
            <w:vAlign w:val="bottom"/>
          </w:tcPr>
          <w:p>
            <w:pPr>
              <w:jc w:val="center"/>
              <w:spacing w:after="0"/>
              <w:rPr>
                <w:sz w:val="20"/>
                <w:szCs w:val="20"/>
                <w:color w:val="auto"/>
              </w:rPr>
            </w:pPr>
            <w:r>
              <w:rPr>
                <w:rFonts w:ascii="Arial" w:cs="Arial" w:eastAsia="Arial" w:hAnsi="Arial"/>
                <w:sz w:val="18"/>
                <w:szCs w:val="18"/>
                <w:color w:val="auto"/>
                <w:w w:val="90"/>
              </w:rPr>
              <w:t>(Darren W. Woods)</w:t>
            </w:r>
          </w:p>
        </w:tc>
        <w:tc>
          <w:tcPr>
            <w:tcW w:w="5100" w:type="dxa"/>
            <w:vAlign w:val="bottom"/>
          </w:tcPr>
          <w:p>
            <w:pPr>
              <w:jc w:val="center"/>
              <w:ind w:left="2910"/>
              <w:spacing w:after="0"/>
              <w:rPr>
                <w:sz w:val="20"/>
                <w:szCs w:val="20"/>
                <w:color w:val="auto"/>
              </w:rPr>
            </w:pPr>
            <w:r>
              <w:rPr>
                <w:rFonts w:ascii="Arial" w:cs="Arial" w:eastAsia="Arial" w:hAnsi="Arial"/>
                <w:sz w:val="18"/>
                <w:szCs w:val="18"/>
                <w:color w:val="auto"/>
                <w:w w:val="94"/>
              </w:rPr>
              <w:t>(Principal Executive Officer)</w:t>
            </w:r>
          </w:p>
        </w:tc>
      </w:tr>
      <w:tr>
        <w:trPr>
          <w:trHeight w:val="458"/>
        </w:trPr>
        <w:tc>
          <w:tcPr>
            <w:tcW w:w="5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MICHAEL J. ANGELAKIS</w:t>
            </w:r>
          </w:p>
        </w:tc>
        <w:tc>
          <w:tcPr>
            <w:tcW w:w="5100" w:type="dxa"/>
            <w:vAlign w:val="bottom"/>
          </w:tcPr>
          <w:p>
            <w:pPr>
              <w:jc w:val="center"/>
              <w:ind w:left="2930"/>
              <w:spacing w:after="0"/>
              <w:rPr>
                <w:sz w:val="20"/>
                <w:szCs w:val="20"/>
                <w:color w:val="auto"/>
              </w:rPr>
            </w:pPr>
            <w:r>
              <w:rPr>
                <w:rFonts w:ascii="Arial" w:cs="Arial" w:eastAsia="Arial" w:hAnsi="Arial"/>
                <w:sz w:val="18"/>
                <w:szCs w:val="18"/>
                <w:color w:val="auto"/>
                <w:w w:val="95"/>
              </w:rPr>
              <w:t>Director</w:t>
            </w:r>
          </w:p>
        </w:tc>
      </w:tr>
      <w:tr>
        <w:trPr>
          <w:trHeight w:val="224"/>
        </w:trPr>
        <w:tc>
          <w:tcPr>
            <w:tcW w:w="5000" w:type="dxa"/>
            <w:vAlign w:val="bottom"/>
          </w:tcPr>
          <w:p>
            <w:pPr>
              <w:jc w:val="center"/>
              <w:spacing w:after="0"/>
              <w:rPr>
                <w:sz w:val="20"/>
                <w:szCs w:val="20"/>
                <w:color w:val="auto"/>
              </w:rPr>
            </w:pPr>
            <w:r>
              <w:rPr>
                <w:rFonts w:ascii="Arial" w:cs="Arial" w:eastAsia="Arial" w:hAnsi="Arial"/>
                <w:sz w:val="18"/>
                <w:szCs w:val="18"/>
                <w:color w:val="auto"/>
                <w:w w:val="93"/>
              </w:rPr>
              <w:t>(Michael J. Angelakis)</w:t>
            </w:r>
          </w:p>
        </w:tc>
        <w:tc>
          <w:tcPr>
            <w:tcW w:w="5100" w:type="dxa"/>
            <w:vAlign w:val="bottom"/>
          </w:tcPr>
          <w:p>
            <w:pPr>
              <w:spacing w:after="0"/>
              <w:rPr>
                <w:sz w:val="19"/>
                <w:szCs w:val="19"/>
                <w:color w:val="auto"/>
              </w:rPr>
            </w:pPr>
          </w:p>
        </w:tc>
      </w:tr>
      <w:tr>
        <w:trPr>
          <w:trHeight w:val="499"/>
        </w:trPr>
        <w:tc>
          <w:tcPr>
            <w:tcW w:w="5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SUSAN K. AVERY</w:t>
            </w:r>
          </w:p>
        </w:tc>
        <w:tc>
          <w:tcPr>
            <w:tcW w:w="5100" w:type="dxa"/>
            <w:vAlign w:val="bottom"/>
          </w:tcPr>
          <w:p>
            <w:pPr>
              <w:jc w:val="center"/>
              <w:ind w:left="2930"/>
              <w:spacing w:after="0"/>
              <w:rPr>
                <w:sz w:val="20"/>
                <w:szCs w:val="20"/>
                <w:color w:val="auto"/>
              </w:rPr>
            </w:pPr>
            <w:r>
              <w:rPr>
                <w:rFonts w:ascii="Arial" w:cs="Arial" w:eastAsia="Arial" w:hAnsi="Arial"/>
                <w:sz w:val="18"/>
                <w:szCs w:val="18"/>
                <w:color w:val="auto"/>
                <w:w w:val="95"/>
              </w:rPr>
              <w:t>Director</w:t>
            </w:r>
          </w:p>
        </w:tc>
      </w:tr>
      <w:tr>
        <w:trPr>
          <w:trHeight w:val="224"/>
        </w:trPr>
        <w:tc>
          <w:tcPr>
            <w:tcW w:w="5000" w:type="dxa"/>
            <w:vAlign w:val="bottom"/>
          </w:tcPr>
          <w:p>
            <w:pPr>
              <w:jc w:val="center"/>
              <w:spacing w:after="0"/>
              <w:rPr>
                <w:sz w:val="20"/>
                <w:szCs w:val="20"/>
                <w:color w:val="auto"/>
              </w:rPr>
            </w:pPr>
            <w:r>
              <w:rPr>
                <w:rFonts w:ascii="Arial" w:cs="Arial" w:eastAsia="Arial" w:hAnsi="Arial"/>
                <w:sz w:val="18"/>
                <w:szCs w:val="18"/>
                <w:color w:val="auto"/>
                <w:w w:val="92"/>
              </w:rPr>
              <w:t>(Susan K. Avery)</w:t>
            </w:r>
          </w:p>
        </w:tc>
        <w:tc>
          <w:tcPr>
            <w:tcW w:w="5100" w:type="dxa"/>
            <w:vAlign w:val="bottom"/>
          </w:tcPr>
          <w:p>
            <w:pPr>
              <w:spacing w:after="0"/>
              <w:rPr>
                <w:sz w:val="19"/>
                <w:szCs w:val="19"/>
                <w:color w:val="auto"/>
              </w:rPr>
            </w:pPr>
          </w:p>
        </w:tc>
      </w:tr>
      <w:tr>
        <w:trPr>
          <w:trHeight w:val="458"/>
        </w:trPr>
        <w:tc>
          <w:tcPr>
            <w:tcW w:w="5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ANGELA F. BRALY</w:t>
            </w:r>
          </w:p>
        </w:tc>
        <w:tc>
          <w:tcPr>
            <w:tcW w:w="5100" w:type="dxa"/>
            <w:vAlign w:val="bottom"/>
          </w:tcPr>
          <w:p>
            <w:pPr>
              <w:jc w:val="center"/>
              <w:ind w:left="2930"/>
              <w:spacing w:after="0"/>
              <w:rPr>
                <w:sz w:val="20"/>
                <w:szCs w:val="20"/>
                <w:color w:val="auto"/>
              </w:rPr>
            </w:pPr>
            <w:r>
              <w:rPr>
                <w:rFonts w:ascii="Arial" w:cs="Arial" w:eastAsia="Arial" w:hAnsi="Arial"/>
                <w:sz w:val="18"/>
                <w:szCs w:val="18"/>
                <w:color w:val="auto"/>
                <w:w w:val="95"/>
              </w:rPr>
              <w:t>Director</w:t>
            </w:r>
          </w:p>
        </w:tc>
      </w:tr>
      <w:tr>
        <w:trPr>
          <w:trHeight w:val="224"/>
        </w:trPr>
        <w:tc>
          <w:tcPr>
            <w:tcW w:w="5000" w:type="dxa"/>
            <w:vAlign w:val="bottom"/>
          </w:tcPr>
          <w:p>
            <w:pPr>
              <w:jc w:val="center"/>
              <w:spacing w:after="0"/>
              <w:rPr>
                <w:sz w:val="20"/>
                <w:szCs w:val="20"/>
                <w:color w:val="auto"/>
              </w:rPr>
            </w:pPr>
            <w:r>
              <w:rPr>
                <w:rFonts w:ascii="Arial" w:cs="Arial" w:eastAsia="Arial" w:hAnsi="Arial"/>
                <w:sz w:val="18"/>
                <w:szCs w:val="18"/>
                <w:color w:val="auto"/>
                <w:w w:val="93"/>
              </w:rPr>
              <w:t>(Angela F. Braly)</w:t>
            </w:r>
          </w:p>
        </w:tc>
        <w:tc>
          <w:tcPr>
            <w:tcW w:w="5100" w:type="dxa"/>
            <w:vAlign w:val="bottom"/>
          </w:tcPr>
          <w:p>
            <w:pPr>
              <w:spacing w:after="0"/>
              <w:rPr>
                <w:sz w:val="19"/>
                <w:szCs w:val="19"/>
                <w:color w:val="auto"/>
              </w:rPr>
            </w:pPr>
          </w:p>
        </w:tc>
      </w:tr>
      <w:tr>
        <w:trPr>
          <w:trHeight w:val="458"/>
        </w:trPr>
        <w:tc>
          <w:tcPr>
            <w:tcW w:w="5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URSULA M. BURNS</w:t>
            </w:r>
          </w:p>
        </w:tc>
        <w:tc>
          <w:tcPr>
            <w:tcW w:w="5100" w:type="dxa"/>
            <w:vAlign w:val="bottom"/>
          </w:tcPr>
          <w:p>
            <w:pPr>
              <w:jc w:val="center"/>
              <w:ind w:left="2930"/>
              <w:spacing w:after="0"/>
              <w:rPr>
                <w:sz w:val="20"/>
                <w:szCs w:val="20"/>
                <w:color w:val="auto"/>
              </w:rPr>
            </w:pPr>
            <w:r>
              <w:rPr>
                <w:rFonts w:ascii="Arial" w:cs="Arial" w:eastAsia="Arial" w:hAnsi="Arial"/>
                <w:sz w:val="18"/>
                <w:szCs w:val="18"/>
                <w:color w:val="auto"/>
                <w:w w:val="95"/>
              </w:rPr>
              <w:t>Director</w:t>
            </w:r>
          </w:p>
        </w:tc>
      </w:tr>
      <w:tr>
        <w:trPr>
          <w:trHeight w:val="224"/>
        </w:trPr>
        <w:tc>
          <w:tcPr>
            <w:tcW w:w="5000" w:type="dxa"/>
            <w:vAlign w:val="bottom"/>
          </w:tcPr>
          <w:p>
            <w:pPr>
              <w:jc w:val="center"/>
              <w:spacing w:after="0"/>
              <w:rPr>
                <w:sz w:val="20"/>
                <w:szCs w:val="20"/>
                <w:color w:val="auto"/>
              </w:rPr>
            </w:pPr>
            <w:r>
              <w:rPr>
                <w:rFonts w:ascii="Arial" w:cs="Arial" w:eastAsia="Arial" w:hAnsi="Arial"/>
                <w:sz w:val="18"/>
                <w:szCs w:val="18"/>
                <w:color w:val="auto"/>
                <w:w w:val="93"/>
              </w:rPr>
              <w:t>(Ursula M. Burns)</w:t>
            </w:r>
          </w:p>
        </w:tc>
        <w:tc>
          <w:tcPr>
            <w:tcW w:w="510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8" w:name="page129"/>
    <w:bookmarkEnd w:id="128"/>
    <w:tbl>
      <w:tblPr>
        <w:tblLayout w:type="fixed"/>
        <w:tblInd w:w="0" w:type="dxa"/>
        <w:tblCellMar>
          <w:top w:w="0" w:type="dxa"/>
          <w:left w:w="0" w:type="dxa"/>
          <w:bottom w:w="0" w:type="dxa"/>
          <w:right w:w="0" w:type="dxa"/>
        </w:tblCellMar>
      </w:tblPr>
      <w:tr>
        <w:trPr>
          <w:trHeight w:val="230"/>
        </w:trPr>
        <w:tc>
          <w:tcPr>
            <w:tcW w:w="5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KENNETH C. FRAZIER</w:t>
            </w:r>
          </w:p>
        </w:tc>
        <w:tc>
          <w:tcPr>
            <w:tcW w:w="5840" w:type="dxa"/>
            <w:vAlign w:val="bottom"/>
          </w:tcPr>
          <w:p>
            <w:pPr>
              <w:jc w:val="center"/>
              <w:ind w:left="2190"/>
              <w:spacing w:after="0"/>
              <w:rPr>
                <w:sz w:val="20"/>
                <w:szCs w:val="20"/>
                <w:color w:val="auto"/>
              </w:rPr>
            </w:pPr>
            <w:r>
              <w:rPr>
                <w:rFonts w:ascii="Arial" w:cs="Arial" w:eastAsia="Arial" w:hAnsi="Arial"/>
                <w:sz w:val="18"/>
                <w:szCs w:val="18"/>
                <w:color w:val="auto"/>
                <w:w w:val="95"/>
              </w:rPr>
              <w:t>Director</w:t>
            </w:r>
          </w:p>
        </w:tc>
      </w:tr>
      <w:tr>
        <w:trPr>
          <w:trHeight w:val="224"/>
        </w:trPr>
        <w:tc>
          <w:tcPr>
            <w:tcW w:w="5000" w:type="dxa"/>
            <w:vAlign w:val="bottom"/>
          </w:tcPr>
          <w:p>
            <w:pPr>
              <w:jc w:val="center"/>
              <w:spacing w:after="0"/>
              <w:rPr>
                <w:sz w:val="20"/>
                <w:szCs w:val="20"/>
                <w:color w:val="auto"/>
              </w:rPr>
            </w:pPr>
            <w:r>
              <w:rPr>
                <w:rFonts w:ascii="Arial" w:cs="Arial" w:eastAsia="Arial" w:hAnsi="Arial"/>
                <w:sz w:val="18"/>
                <w:szCs w:val="18"/>
                <w:color w:val="auto"/>
                <w:w w:val="91"/>
              </w:rPr>
              <w:t>(Kenneth C. Frazier)</w:t>
            </w:r>
          </w:p>
        </w:tc>
        <w:tc>
          <w:tcPr>
            <w:tcW w:w="5840" w:type="dxa"/>
            <w:vAlign w:val="bottom"/>
          </w:tcPr>
          <w:p>
            <w:pPr>
              <w:spacing w:after="0"/>
              <w:rPr>
                <w:sz w:val="19"/>
                <w:szCs w:val="19"/>
                <w:color w:val="auto"/>
              </w:rPr>
            </w:pPr>
          </w:p>
        </w:tc>
      </w:tr>
      <w:tr>
        <w:trPr>
          <w:trHeight w:val="458"/>
        </w:trPr>
        <w:tc>
          <w:tcPr>
            <w:tcW w:w="5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GREGORY J. GOFF</w:t>
            </w:r>
          </w:p>
        </w:tc>
        <w:tc>
          <w:tcPr>
            <w:tcW w:w="5840" w:type="dxa"/>
            <w:vAlign w:val="bottom"/>
          </w:tcPr>
          <w:p>
            <w:pPr>
              <w:jc w:val="center"/>
              <w:ind w:left="2190"/>
              <w:spacing w:after="0"/>
              <w:rPr>
                <w:sz w:val="20"/>
                <w:szCs w:val="20"/>
                <w:color w:val="auto"/>
              </w:rPr>
            </w:pPr>
            <w:r>
              <w:rPr>
                <w:rFonts w:ascii="Arial" w:cs="Arial" w:eastAsia="Arial" w:hAnsi="Arial"/>
                <w:sz w:val="18"/>
                <w:szCs w:val="18"/>
                <w:color w:val="auto"/>
                <w:w w:val="95"/>
              </w:rPr>
              <w:t>Director</w:t>
            </w:r>
          </w:p>
        </w:tc>
      </w:tr>
      <w:tr>
        <w:trPr>
          <w:trHeight w:val="224"/>
        </w:trPr>
        <w:tc>
          <w:tcPr>
            <w:tcW w:w="5000" w:type="dxa"/>
            <w:vAlign w:val="bottom"/>
          </w:tcPr>
          <w:p>
            <w:pPr>
              <w:jc w:val="center"/>
              <w:spacing w:after="0"/>
              <w:rPr>
                <w:sz w:val="20"/>
                <w:szCs w:val="20"/>
                <w:color w:val="auto"/>
              </w:rPr>
            </w:pPr>
            <w:r>
              <w:rPr>
                <w:rFonts w:ascii="Arial" w:cs="Arial" w:eastAsia="Arial" w:hAnsi="Arial"/>
                <w:sz w:val="18"/>
                <w:szCs w:val="18"/>
                <w:color w:val="auto"/>
                <w:w w:val="93"/>
              </w:rPr>
              <w:t>(Gregory J. Goff)</w:t>
            </w:r>
          </w:p>
        </w:tc>
        <w:tc>
          <w:tcPr>
            <w:tcW w:w="5840" w:type="dxa"/>
            <w:vAlign w:val="bottom"/>
          </w:tcPr>
          <w:p>
            <w:pPr>
              <w:spacing w:after="0"/>
              <w:rPr>
                <w:sz w:val="19"/>
                <w:szCs w:val="19"/>
                <w:color w:val="auto"/>
              </w:rPr>
            </w:pPr>
          </w:p>
        </w:tc>
      </w:tr>
      <w:tr>
        <w:trPr>
          <w:trHeight w:val="458"/>
        </w:trPr>
        <w:tc>
          <w:tcPr>
            <w:tcW w:w="5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KAISA H. HIETALA</w:t>
            </w:r>
          </w:p>
        </w:tc>
        <w:tc>
          <w:tcPr>
            <w:tcW w:w="5840" w:type="dxa"/>
            <w:vAlign w:val="bottom"/>
          </w:tcPr>
          <w:p>
            <w:pPr>
              <w:jc w:val="center"/>
              <w:ind w:left="2190"/>
              <w:spacing w:after="0"/>
              <w:rPr>
                <w:sz w:val="20"/>
                <w:szCs w:val="20"/>
                <w:color w:val="auto"/>
              </w:rPr>
            </w:pPr>
            <w:r>
              <w:rPr>
                <w:rFonts w:ascii="Arial" w:cs="Arial" w:eastAsia="Arial" w:hAnsi="Arial"/>
                <w:sz w:val="18"/>
                <w:szCs w:val="18"/>
                <w:color w:val="auto"/>
                <w:w w:val="95"/>
              </w:rPr>
              <w:t>Director</w:t>
            </w:r>
          </w:p>
        </w:tc>
      </w:tr>
      <w:tr>
        <w:trPr>
          <w:trHeight w:val="224"/>
        </w:trPr>
        <w:tc>
          <w:tcPr>
            <w:tcW w:w="5000" w:type="dxa"/>
            <w:vAlign w:val="bottom"/>
          </w:tcPr>
          <w:p>
            <w:pPr>
              <w:jc w:val="center"/>
              <w:spacing w:after="0"/>
              <w:rPr>
                <w:sz w:val="20"/>
                <w:szCs w:val="20"/>
                <w:color w:val="auto"/>
              </w:rPr>
            </w:pPr>
            <w:r>
              <w:rPr>
                <w:rFonts w:ascii="Arial" w:cs="Arial" w:eastAsia="Arial" w:hAnsi="Arial"/>
                <w:sz w:val="18"/>
                <w:szCs w:val="18"/>
                <w:color w:val="auto"/>
                <w:w w:val="93"/>
              </w:rPr>
              <w:t>(Kaisa H. Hietala)</w:t>
            </w:r>
          </w:p>
        </w:tc>
        <w:tc>
          <w:tcPr>
            <w:tcW w:w="5840" w:type="dxa"/>
            <w:vAlign w:val="bottom"/>
          </w:tcPr>
          <w:p>
            <w:pPr>
              <w:spacing w:after="0"/>
              <w:rPr>
                <w:sz w:val="19"/>
                <w:szCs w:val="19"/>
                <w:color w:val="auto"/>
              </w:rPr>
            </w:pPr>
          </w:p>
        </w:tc>
      </w:tr>
      <w:tr>
        <w:trPr>
          <w:trHeight w:val="458"/>
        </w:trPr>
        <w:tc>
          <w:tcPr>
            <w:tcW w:w="5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JOSEPH L. HOOLEY</w:t>
            </w:r>
          </w:p>
        </w:tc>
        <w:tc>
          <w:tcPr>
            <w:tcW w:w="5840" w:type="dxa"/>
            <w:vAlign w:val="bottom"/>
          </w:tcPr>
          <w:p>
            <w:pPr>
              <w:jc w:val="center"/>
              <w:ind w:left="2190"/>
              <w:spacing w:after="0"/>
              <w:rPr>
                <w:sz w:val="20"/>
                <w:szCs w:val="20"/>
                <w:color w:val="auto"/>
              </w:rPr>
            </w:pPr>
            <w:r>
              <w:rPr>
                <w:rFonts w:ascii="Arial" w:cs="Arial" w:eastAsia="Arial" w:hAnsi="Arial"/>
                <w:sz w:val="18"/>
                <w:szCs w:val="18"/>
                <w:color w:val="auto"/>
                <w:w w:val="95"/>
              </w:rPr>
              <w:t>Director</w:t>
            </w:r>
          </w:p>
        </w:tc>
      </w:tr>
      <w:tr>
        <w:trPr>
          <w:trHeight w:val="224"/>
        </w:trPr>
        <w:tc>
          <w:tcPr>
            <w:tcW w:w="5000" w:type="dxa"/>
            <w:vAlign w:val="bottom"/>
          </w:tcPr>
          <w:p>
            <w:pPr>
              <w:jc w:val="center"/>
              <w:spacing w:after="0"/>
              <w:rPr>
                <w:sz w:val="20"/>
                <w:szCs w:val="20"/>
                <w:color w:val="auto"/>
              </w:rPr>
            </w:pPr>
            <w:r>
              <w:rPr>
                <w:rFonts w:ascii="Arial" w:cs="Arial" w:eastAsia="Arial" w:hAnsi="Arial"/>
                <w:sz w:val="18"/>
                <w:szCs w:val="18"/>
                <w:color w:val="auto"/>
                <w:w w:val="91"/>
              </w:rPr>
              <w:t>(Joseph L. Hooley)</w:t>
            </w:r>
          </w:p>
        </w:tc>
        <w:tc>
          <w:tcPr>
            <w:tcW w:w="5840" w:type="dxa"/>
            <w:vAlign w:val="bottom"/>
          </w:tcPr>
          <w:p>
            <w:pPr>
              <w:spacing w:after="0"/>
              <w:rPr>
                <w:sz w:val="19"/>
                <w:szCs w:val="19"/>
                <w:color w:val="auto"/>
              </w:rPr>
            </w:pPr>
          </w:p>
        </w:tc>
      </w:tr>
      <w:tr>
        <w:trPr>
          <w:trHeight w:val="458"/>
        </w:trPr>
        <w:tc>
          <w:tcPr>
            <w:tcW w:w="5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STEVEN A. KANDARIAN</w:t>
            </w:r>
          </w:p>
        </w:tc>
        <w:tc>
          <w:tcPr>
            <w:tcW w:w="5840" w:type="dxa"/>
            <w:vAlign w:val="bottom"/>
          </w:tcPr>
          <w:p>
            <w:pPr>
              <w:jc w:val="center"/>
              <w:ind w:left="2190"/>
              <w:spacing w:after="0"/>
              <w:rPr>
                <w:sz w:val="20"/>
                <w:szCs w:val="20"/>
                <w:color w:val="auto"/>
              </w:rPr>
            </w:pPr>
            <w:r>
              <w:rPr>
                <w:rFonts w:ascii="Arial" w:cs="Arial" w:eastAsia="Arial" w:hAnsi="Arial"/>
                <w:sz w:val="18"/>
                <w:szCs w:val="18"/>
                <w:color w:val="auto"/>
                <w:w w:val="95"/>
              </w:rPr>
              <w:t>Director</w:t>
            </w:r>
          </w:p>
        </w:tc>
      </w:tr>
      <w:tr>
        <w:trPr>
          <w:trHeight w:val="224"/>
        </w:trPr>
        <w:tc>
          <w:tcPr>
            <w:tcW w:w="5000" w:type="dxa"/>
            <w:vAlign w:val="bottom"/>
          </w:tcPr>
          <w:p>
            <w:pPr>
              <w:jc w:val="center"/>
              <w:spacing w:after="0"/>
              <w:rPr>
                <w:sz w:val="20"/>
                <w:szCs w:val="20"/>
                <w:color w:val="auto"/>
              </w:rPr>
            </w:pPr>
            <w:r>
              <w:rPr>
                <w:rFonts w:ascii="Arial" w:cs="Arial" w:eastAsia="Arial" w:hAnsi="Arial"/>
                <w:sz w:val="18"/>
                <w:szCs w:val="18"/>
                <w:color w:val="auto"/>
                <w:w w:val="91"/>
              </w:rPr>
              <w:t>(Steven A. Kandarian)</w:t>
            </w:r>
          </w:p>
        </w:tc>
        <w:tc>
          <w:tcPr>
            <w:tcW w:w="5840" w:type="dxa"/>
            <w:vAlign w:val="bottom"/>
          </w:tcPr>
          <w:p>
            <w:pPr>
              <w:spacing w:after="0"/>
              <w:rPr>
                <w:sz w:val="19"/>
                <w:szCs w:val="19"/>
                <w:color w:val="auto"/>
              </w:rPr>
            </w:pPr>
          </w:p>
        </w:tc>
      </w:tr>
      <w:tr>
        <w:trPr>
          <w:trHeight w:val="499"/>
        </w:trPr>
        <w:tc>
          <w:tcPr>
            <w:tcW w:w="5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ALEXANDER A. KARSNER</w:t>
            </w:r>
          </w:p>
        </w:tc>
        <w:tc>
          <w:tcPr>
            <w:tcW w:w="5840" w:type="dxa"/>
            <w:vAlign w:val="bottom"/>
          </w:tcPr>
          <w:p>
            <w:pPr>
              <w:jc w:val="center"/>
              <w:ind w:left="2190"/>
              <w:spacing w:after="0"/>
              <w:rPr>
                <w:sz w:val="20"/>
                <w:szCs w:val="20"/>
                <w:color w:val="auto"/>
              </w:rPr>
            </w:pPr>
            <w:r>
              <w:rPr>
                <w:rFonts w:ascii="Arial" w:cs="Arial" w:eastAsia="Arial" w:hAnsi="Arial"/>
                <w:sz w:val="18"/>
                <w:szCs w:val="18"/>
                <w:color w:val="auto"/>
                <w:w w:val="95"/>
              </w:rPr>
              <w:t>Director</w:t>
            </w:r>
          </w:p>
        </w:tc>
      </w:tr>
      <w:tr>
        <w:trPr>
          <w:trHeight w:val="224"/>
        </w:trPr>
        <w:tc>
          <w:tcPr>
            <w:tcW w:w="5000" w:type="dxa"/>
            <w:vAlign w:val="bottom"/>
          </w:tcPr>
          <w:p>
            <w:pPr>
              <w:jc w:val="center"/>
              <w:spacing w:after="0"/>
              <w:rPr>
                <w:sz w:val="20"/>
                <w:szCs w:val="20"/>
                <w:color w:val="auto"/>
              </w:rPr>
            </w:pPr>
            <w:r>
              <w:rPr>
                <w:rFonts w:ascii="Arial" w:cs="Arial" w:eastAsia="Arial" w:hAnsi="Arial"/>
                <w:sz w:val="18"/>
                <w:szCs w:val="18"/>
                <w:color w:val="auto"/>
                <w:w w:val="92"/>
              </w:rPr>
              <w:t>(Alexander A. Karsner)</w:t>
            </w:r>
          </w:p>
        </w:tc>
        <w:tc>
          <w:tcPr>
            <w:tcW w:w="5840" w:type="dxa"/>
            <w:vAlign w:val="bottom"/>
          </w:tcPr>
          <w:p>
            <w:pPr>
              <w:spacing w:after="0"/>
              <w:rPr>
                <w:sz w:val="19"/>
                <w:szCs w:val="19"/>
                <w:color w:val="auto"/>
              </w:rPr>
            </w:pPr>
          </w:p>
        </w:tc>
      </w:tr>
      <w:tr>
        <w:trPr>
          <w:trHeight w:val="458"/>
        </w:trPr>
        <w:tc>
          <w:tcPr>
            <w:tcW w:w="5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JEFFREY W. UBBEN</w:t>
            </w:r>
          </w:p>
        </w:tc>
        <w:tc>
          <w:tcPr>
            <w:tcW w:w="5840" w:type="dxa"/>
            <w:vAlign w:val="bottom"/>
          </w:tcPr>
          <w:p>
            <w:pPr>
              <w:jc w:val="center"/>
              <w:ind w:left="2190"/>
              <w:spacing w:after="0"/>
              <w:rPr>
                <w:sz w:val="20"/>
                <w:szCs w:val="20"/>
                <w:color w:val="auto"/>
              </w:rPr>
            </w:pPr>
            <w:r>
              <w:rPr>
                <w:rFonts w:ascii="Arial" w:cs="Arial" w:eastAsia="Arial" w:hAnsi="Arial"/>
                <w:sz w:val="18"/>
                <w:szCs w:val="18"/>
                <w:color w:val="auto"/>
                <w:w w:val="95"/>
              </w:rPr>
              <w:t>Director</w:t>
            </w:r>
          </w:p>
        </w:tc>
      </w:tr>
      <w:tr>
        <w:trPr>
          <w:trHeight w:val="224"/>
        </w:trPr>
        <w:tc>
          <w:tcPr>
            <w:tcW w:w="5000" w:type="dxa"/>
            <w:vAlign w:val="bottom"/>
          </w:tcPr>
          <w:p>
            <w:pPr>
              <w:jc w:val="center"/>
              <w:spacing w:after="0"/>
              <w:rPr>
                <w:sz w:val="20"/>
                <w:szCs w:val="20"/>
                <w:color w:val="auto"/>
              </w:rPr>
            </w:pPr>
            <w:r>
              <w:rPr>
                <w:rFonts w:ascii="Arial" w:cs="Arial" w:eastAsia="Arial" w:hAnsi="Arial"/>
                <w:sz w:val="18"/>
                <w:szCs w:val="18"/>
                <w:color w:val="auto"/>
                <w:w w:val="91"/>
              </w:rPr>
              <w:t>(Jeffrey W. Ubben)</w:t>
            </w:r>
          </w:p>
        </w:tc>
        <w:tc>
          <w:tcPr>
            <w:tcW w:w="5840" w:type="dxa"/>
            <w:vAlign w:val="bottom"/>
          </w:tcPr>
          <w:p>
            <w:pPr>
              <w:spacing w:after="0"/>
              <w:rPr>
                <w:sz w:val="19"/>
                <w:szCs w:val="19"/>
                <w:color w:val="auto"/>
              </w:rPr>
            </w:pPr>
          </w:p>
        </w:tc>
      </w:tr>
      <w:tr>
        <w:trPr>
          <w:trHeight w:val="499"/>
        </w:trPr>
        <w:tc>
          <w:tcPr>
            <w:tcW w:w="5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KATHRYN A. MIKELLS</w:t>
            </w:r>
          </w:p>
        </w:tc>
        <w:tc>
          <w:tcPr>
            <w:tcW w:w="5840" w:type="dxa"/>
            <w:vAlign w:val="bottom"/>
          </w:tcPr>
          <w:p>
            <w:pPr>
              <w:jc w:val="center"/>
              <w:ind w:left="2170"/>
              <w:spacing w:after="0"/>
              <w:rPr>
                <w:sz w:val="20"/>
                <w:szCs w:val="20"/>
                <w:color w:val="auto"/>
              </w:rPr>
            </w:pPr>
            <w:r>
              <w:rPr>
                <w:rFonts w:ascii="Arial" w:cs="Arial" w:eastAsia="Arial" w:hAnsi="Arial"/>
                <w:sz w:val="18"/>
                <w:szCs w:val="18"/>
                <w:color w:val="auto"/>
                <w:w w:val="91"/>
              </w:rPr>
              <w:t>Senior Vice President and Chief Financial Officer</w:t>
            </w:r>
          </w:p>
        </w:tc>
      </w:tr>
      <w:tr>
        <w:trPr>
          <w:trHeight w:val="224"/>
        </w:trPr>
        <w:tc>
          <w:tcPr>
            <w:tcW w:w="5000" w:type="dxa"/>
            <w:vAlign w:val="bottom"/>
          </w:tcPr>
          <w:p>
            <w:pPr>
              <w:jc w:val="center"/>
              <w:spacing w:after="0"/>
              <w:rPr>
                <w:sz w:val="20"/>
                <w:szCs w:val="20"/>
                <w:color w:val="auto"/>
              </w:rPr>
            </w:pPr>
            <w:r>
              <w:rPr>
                <w:rFonts w:ascii="Arial" w:cs="Arial" w:eastAsia="Arial" w:hAnsi="Arial"/>
                <w:sz w:val="18"/>
                <w:szCs w:val="18"/>
                <w:color w:val="auto"/>
                <w:w w:val="97"/>
              </w:rPr>
              <w:t>(Kathryn A. Mikells)</w:t>
            </w:r>
          </w:p>
        </w:tc>
        <w:tc>
          <w:tcPr>
            <w:tcW w:w="5840" w:type="dxa"/>
            <w:vAlign w:val="bottom"/>
          </w:tcPr>
          <w:p>
            <w:pPr>
              <w:jc w:val="center"/>
              <w:ind w:left="2190"/>
              <w:spacing w:after="0"/>
              <w:rPr>
                <w:sz w:val="20"/>
                <w:szCs w:val="20"/>
                <w:color w:val="auto"/>
              </w:rPr>
            </w:pPr>
            <w:r>
              <w:rPr>
                <w:rFonts w:ascii="Arial" w:cs="Arial" w:eastAsia="Arial" w:hAnsi="Arial"/>
                <w:sz w:val="18"/>
                <w:szCs w:val="18"/>
                <w:color w:val="auto"/>
                <w:w w:val="94"/>
              </w:rPr>
              <w:t>(Principal Financial Officer)</w:t>
            </w:r>
          </w:p>
        </w:tc>
      </w:tr>
      <w:tr>
        <w:trPr>
          <w:trHeight w:val="458"/>
        </w:trPr>
        <w:tc>
          <w:tcPr>
            <w:tcW w:w="5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LEN M. FOX</w:t>
            </w:r>
          </w:p>
        </w:tc>
        <w:tc>
          <w:tcPr>
            <w:tcW w:w="5840" w:type="dxa"/>
            <w:vAlign w:val="bottom"/>
          </w:tcPr>
          <w:p>
            <w:pPr>
              <w:jc w:val="center"/>
              <w:ind w:left="2170"/>
              <w:spacing w:after="0"/>
              <w:rPr>
                <w:sz w:val="20"/>
                <w:szCs w:val="20"/>
                <w:color w:val="auto"/>
              </w:rPr>
            </w:pPr>
            <w:r>
              <w:rPr>
                <w:rFonts w:ascii="Arial" w:cs="Arial" w:eastAsia="Arial" w:hAnsi="Arial"/>
                <w:sz w:val="18"/>
                <w:szCs w:val="18"/>
                <w:color w:val="auto"/>
                <w:w w:val="91"/>
              </w:rPr>
              <w:t>Vice President and Controller</w:t>
            </w:r>
          </w:p>
        </w:tc>
      </w:tr>
      <w:tr>
        <w:trPr>
          <w:trHeight w:val="224"/>
        </w:trPr>
        <w:tc>
          <w:tcPr>
            <w:tcW w:w="5000" w:type="dxa"/>
            <w:vAlign w:val="bottom"/>
          </w:tcPr>
          <w:p>
            <w:pPr>
              <w:jc w:val="center"/>
              <w:spacing w:after="0"/>
              <w:rPr>
                <w:sz w:val="20"/>
                <w:szCs w:val="20"/>
                <w:color w:val="auto"/>
              </w:rPr>
            </w:pPr>
            <w:r>
              <w:rPr>
                <w:rFonts w:ascii="Arial" w:cs="Arial" w:eastAsia="Arial" w:hAnsi="Arial"/>
                <w:sz w:val="18"/>
                <w:szCs w:val="18"/>
                <w:color w:val="auto"/>
                <w:w w:val="96"/>
              </w:rPr>
              <w:t>(Len M. Fox)</w:t>
            </w:r>
          </w:p>
        </w:tc>
        <w:tc>
          <w:tcPr>
            <w:tcW w:w="5840" w:type="dxa"/>
            <w:vAlign w:val="bottom"/>
          </w:tcPr>
          <w:p>
            <w:pPr>
              <w:jc w:val="center"/>
              <w:ind w:left="2170"/>
              <w:spacing w:after="0"/>
              <w:rPr>
                <w:sz w:val="20"/>
                <w:szCs w:val="20"/>
                <w:color w:val="auto"/>
              </w:rPr>
            </w:pPr>
            <w:r>
              <w:rPr>
                <w:rFonts w:ascii="Arial" w:cs="Arial" w:eastAsia="Arial" w:hAnsi="Arial"/>
                <w:sz w:val="18"/>
                <w:szCs w:val="18"/>
                <w:color w:val="auto"/>
                <w:w w:val="95"/>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0840"/>
          </w:cols>
          <w:pgMar w:left="320" w:top="908" w:right="739" w:bottom="1440" w:gutter="0" w:footer="0" w:header="0"/>
        </w:sectPr>
      </w:pPr>
    </w:p>
    <w:bookmarkStart w:id="129" w:name="page130"/>
    <w:bookmarkEnd w:id="129"/>
    <w:p>
      <w:pPr>
        <w:spacing w:after="0" w:line="8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10(iii)(a.3)</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Exxon Mobil Corporation</w:t>
      </w:r>
    </w:p>
    <w:p>
      <w:pPr>
        <w:jc w:val="center"/>
        <w:spacing w:after="0" w:line="211" w:lineRule="auto"/>
        <w:rPr>
          <w:sz w:val="20"/>
          <w:szCs w:val="20"/>
          <w:color w:val="auto"/>
        </w:rPr>
      </w:pPr>
      <w:r>
        <w:rPr>
          <w:rFonts w:ascii="Arial" w:cs="Arial" w:eastAsia="Arial" w:hAnsi="Arial"/>
          <w:sz w:val="16"/>
          <w:szCs w:val="16"/>
          <w:color w:val="auto"/>
        </w:rPr>
        <w:t>2021 Extended Provisions for Restricted Stock Unit Agreements</w:t>
      </w:r>
    </w:p>
    <w:p>
      <w:pPr>
        <w:jc w:val="center"/>
        <w:spacing w:after="0"/>
        <w:rPr>
          <w:sz w:val="20"/>
          <w:szCs w:val="20"/>
          <w:color w:val="auto"/>
        </w:rPr>
      </w:pPr>
      <w:r>
        <w:rPr>
          <w:rFonts w:ascii="Arial" w:cs="Arial" w:eastAsia="Arial" w:hAnsi="Arial"/>
          <w:sz w:val="16"/>
          <w:szCs w:val="16"/>
          <w:color w:val="auto"/>
        </w:rPr>
        <w:t>Settled in Stock</w:t>
      </w:r>
    </w:p>
    <w:p>
      <w:pPr>
        <w:spacing w:after="0" w:line="248" w:lineRule="exact"/>
        <w:rPr>
          <w:sz w:val="20"/>
          <w:szCs w:val="20"/>
          <w:color w:val="auto"/>
        </w:rPr>
      </w:pPr>
    </w:p>
    <w:p>
      <w:pPr>
        <w:jc w:val="both"/>
        <w:ind w:left="260" w:right="20" w:hanging="252"/>
        <w:spacing w:after="0" w:line="303" w:lineRule="auto"/>
        <w:tabs>
          <w:tab w:leader="none" w:pos="260"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Effective Date and Credit of Restricted Stock Units</w:t>
      </w:r>
      <w:r>
        <w:rPr>
          <w:rFonts w:ascii="Arial" w:cs="Arial" w:eastAsia="Arial" w:hAnsi="Arial"/>
          <w:sz w:val="16"/>
          <w:szCs w:val="16"/>
          <w:color w:val="auto"/>
        </w:rPr>
        <w:t>. If Grantee accepts the award on or before March 1, 2022, this Agreement will become effective the date the Corporation receives the award acceptance. After this agreement becomes effective, the Corporation will credit to Grantee the number of restricted stock units specified in the Incentive Award Summary. Subject to the terms and conditions of this Agreement, each restricted stock unit ("unit") will entitle Grantee to receive in settlement of the unit one share of the Corporation's common stock.</w:t>
      </w:r>
    </w:p>
    <w:p>
      <w:pPr>
        <w:spacing w:after="0" w:line="204" w:lineRule="exact"/>
        <w:rPr>
          <w:rFonts w:ascii="Arial" w:cs="Arial" w:eastAsia="Arial" w:hAnsi="Arial"/>
          <w:sz w:val="16"/>
          <w:szCs w:val="16"/>
          <w:color w:val="auto"/>
        </w:rPr>
      </w:pPr>
    </w:p>
    <w:p>
      <w:pPr>
        <w:jc w:val="both"/>
        <w:ind w:left="260" w:right="20" w:hanging="252"/>
        <w:spacing w:after="0" w:line="306" w:lineRule="auto"/>
        <w:tabs>
          <w:tab w:leader="none" w:pos="260"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Conditions</w:t>
      </w:r>
      <w:r>
        <w:rPr>
          <w:rFonts w:ascii="Arial" w:cs="Arial" w:eastAsia="Arial" w:hAnsi="Arial"/>
          <w:sz w:val="16"/>
          <w:szCs w:val="16"/>
          <w:color w:val="auto"/>
        </w:rPr>
        <w:t>. If credited, the units will be subject to the provisions of this Agreement, and to such regulations and requirements as the administrative authority of the Program may establish from time to time. The units will be credited to Grantee only on the condition that Grantee accepts such provisions, regulations, and requirements.</w:t>
      </w:r>
    </w:p>
    <w:p>
      <w:pPr>
        <w:spacing w:after="0" w:line="200" w:lineRule="exact"/>
        <w:rPr>
          <w:rFonts w:ascii="Arial" w:cs="Arial" w:eastAsia="Arial" w:hAnsi="Arial"/>
          <w:sz w:val="16"/>
          <w:szCs w:val="16"/>
          <w:color w:val="auto"/>
        </w:rPr>
      </w:pPr>
    </w:p>
    <w:p>
      <w:pPr>
        <w:jc w:val="both"/>
        <w:ind w:left="260" w:right="20" w:hanging="252"/>
        <w:spacing w:after="0" w:line="306" w:lineRule="auto"/>
        <w:tabs>
          <w:tab w:leader="none" w:pos="260"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Restrictions and Risk of Forfeiture</w:t>
      </w:r>
      <w:r>
        <w:rPr>
          <w:rFonts w:ascii="Arial" w:cs="Arial" w:eastAsia="Arial" w:hAnsi="Arial"/>
          <w:sz w:val="16"/>
          <w:szCs w:val="16"/>
          <w:color w:val="auto"/>
        </w:rPr>
        <w:t>. During the applicable restricted periods specified in section 4 of this Agreement, (a) the units under restriction may not be sold, assigned, transferred, pledged, or otherwise disposed of or encumbered, and any attempt to do so will be null and void; and, (b) the units under restriction may be forfeited as provided in section 6.</w:t>
      </w:r>
    </w:p>
    <w:p>
      <w:pPr>
        <w:spacing w:after="0" w:line="200" w:lineRule="exact"/>
        <w:rPr>
          <w:rFonts w:ascii="Arial" w:cs="Arial" w:eastAsia="Arial" w:hAnsi="Arial"/>
          <w:sz w:val="16"/>
          <w:szCs w:val="16"/>
          <w:color w:val="auto"/>
        </w:rPr>
      </w:pPr>
    </w:p>
    <w:p>
      <w:pPr>
        <w:jc w:val="both"/>
        <w:ind w:left="260" w:right="20" w:hanging="252"/>
        <w:spacing w:after="0" w:line="303" w:lineRule="auto"/>
        <w:tabs>
          <w:tab w:leader="none" w:pos="305"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Restricted Periods</w:t>
      </w:r>
      <w:r>
        <w:rPr>
          <w:rFonts w:ascii="Arial" w:cs="Arial" w:eastAsia="Arial" w:hAnsi="Arial"/>
          <w:sz w:val="16"/>
          <w:szCs w:val="16"/>
          <w:color w:val="auto"/>
        </w:rPr>
        <w:t>. The restricted periods will commence when the units are credited to Grantee and, unless the units have been forfeited earlier under section 6, will expire as follows, whether or not Grantee is still an employee, (a) with respect to 50% of the units on November 23, 2026, and, (b) with respect to the remaining units on November 23, 2031, except that (c) the restricted periods will automatically expire with respect to all units on the death of Grantee.</w:t>
      </w:r>
    </w:p>
    <w:p>
      <w:pPr>
        <w:spacing w:after="0" w:line="204" w:lineRule="exact"/>
        <w:rPr>
          <w:rFonts w:ascii="Arial" w:cs="Arial" w:eastAsia="Arial" w:hAnsi="Arial"/>
          <w:sz w:val="16"/>
          <w:szCs w:val="16"/>
          <w:color w:val="auto"/>
        </w:rPr>
      </w:pPr>
    </w:p>
    <w:p>
      <w:pPr>
        <w:ind w:left="260" w:hanging="252"/>
        <w:spacing w:after="0" w:line="302" w:lineRule="auto"/>
        <w:tabs>
          <w:tab w:leader="none" w:pos="197"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No Obligation to Credit Units</w:t>
      </w:r>
      <w:r>
        <w:rPr>
          <w:rFonts w:ascii="Arial" w:cs="Arial" w:eastAsia="Arial" w:hAnsi="Arial"/>
          <w:sz w:val="16"/>
          <w:szCs w:val="16"/>
          <w:color w:val="auto"/>
        </w:rPr>
        <w:t>. The Corporation will have no obligation to credit any units and will have no other obligation to Grantee with respect to the subject matter of this Agreement if Grantee fails to accept the award on or before March 1, 2022. In addition, whether or not Grantee has accepted the award, the Corporation will have no obligation to credit any units and will have no other obligation to Grantee with respect to the subject matter of this Agreement if, before the units are credited, (a) Grantee terminates (other than by death) before standard retirement time within the meaning of the Program, except to the extent the administrative authority of the Program determines Grantee may receive units under this Agreement; or (b) Grantee is determined to have engaged in detrimental activity within the meaning of the Program.</w:t>
      </w:r>
    </w:p>
    <w:p>
      <w:pPr>
        <w:spacing w:after="0" w:line="203" w:lineRule="exact"/>
        <w:rPr>
          <w:rFonts w:ascii="Arial" w:cs="Arial" w:eastAsia="Arial" w:hAnsi="Arial"/>
          <w:sz w:val="16"/>
          <w:szCs w:val="16"/>
          <w:color w:val="auto"/>
        </w:rPr>
      </w:pPr>
    </w:p>
    <w:p>
      <w:pPr>
        <w:ind w:left="260" w:right="20" w:hanging="252"/>
        <w:spacing w:after="0" w:line="313" w:lineRule="auto"/>
        <w:tabs>
          <w:tab w:leader="none" w:pos="210"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Forfeiture of Units After Crediting</w:t>
      </w:r>
      <w:r>
        <w:rPr>
          <w:rFonts w:ascii="Arial" w:cs="Arial" w:eastAsia="Arial" w:hAnsi="Arial"/>
          <w:sz w:val="16"/>
          <w:szCs w:val="16"/>
          <w:color w:val="auto"/>
        </w:rPr>
        <w:t>. Until the applicable restricted period specified in section 4 has expired, the units under restriction will be forfeited or subject to forfeiture in the following circumstances:</w:t>
      </w:r>
    </w:p>
    <w:p>
      <w:pPr>
        <w:spacing w:after="0" w:line="87" w:lineRule="exact"/>
        <w:rPr>
          <w:rFonts w:ascii="Arial" w:cs="Arial" w:eastAsia="Arial" w:hAnsi="Arial"/>
          <w:sz w:val="16"/>
          <w:szCs w:val="16"/>
          <w:color w:val="auto"/>
        </w:rPr>
      </w:pPr>
    </w:p>
    <w:p>
      <w:pPr>
        <w:jc w:val="both"/>
        <w:ind w:left="500" w:hanging="249"/>
        <w:spacing w:after="0" w:line="306" w:lineRule="auto"/>
        <w:tabs>
          <w:tab w:leader="none" w:pos="489" w:val="left"/>
        </w:tabs>
        <w:numPr>
          <w:ilvl w:val="1"/>
          <w:numId w:val="42"/>
        </w:numPr>
        <w:rPr>
          <w:rFonts w:ascii="Arial" w:cs="Arial" w:eastAsia="Arial" w:hAnsi="Arial"/>
          <w:sz w:val="16"/>
          <w:szCs w:val="16"/>
          <w:color w:val="auto"/>
        </w:rPr>
      </w:pPr>
      <w:r>
        <w:rPr>
          <w:rFonts w:ascii="Arial" w:cs="Arial" w:eastAsia="Arial" w:hAnsi="Arial"/>
          <w:sz w:val="16"/>
          <w:szCs w:val="16"/>
          <w:color w:val="auto"/>
        </w:rPr>
        <w:t>Termination - If Grantee terminates (other than by death) before standard retirement time within the meaning of the Program, all units for which the applicable restricted periods have not expired will be automatically forfeited as of the date of termination, except to the extent the administrative authority determines Grantee may retain units issued under this Agreement.</w:t>
      </w:r>
    </w:p>
    <w:p>
      <w:pPr>
        <w:spacing w:after="0" w:line="92" w:lineRule="exact"/>
        <w:rPr>
          <w:rFonts w:ascii="Arial" w:cs="Arial" w:eastAsia="Arial" w:hAnsi="Arial"/>
          <w:sz w:val="16"/>
          <w:szCs w:val="16"/>
          <w:color w:val="auto"/>
        </w:rPr>
      </w:pPr>
    </w:p>
    <w:p>
      <w:pPr>
        <w:ind w:left="500" w:hanging="249"/>
        <w:spacing w:after="0" w:line="313" w:lineRule="auto"/>
        <w:tabs>
          <w:tab w:leader="none" w:pos="489" w:val="left"/>
        </w:tabs>
        <w:numPr>
          <w:ilvl w:val="1"/>
          <w:numId w:val="42"/>
        </w:numPr>
        <w:rPr>
          <w:rFonts w:ascii="Arial" w:cs="Arial" w:eastAsia="Arial" w:hAnsi="Arial"/>
          <w:sz w:val="16"/>
          <w:szCs w:val="16"/>
          <w:color w:val="auto"/>
        </w:rPr>
      </w:pPr>
      <w:r>
        <w:rPr>
          <w:rFonts w:ascii="Arial" w:cs="Arial" w:eastAsia="Arial" w:hAnsi="Arial"/>
          <w:sz w:val="16"/>
          <w:szCs w:val="16"/>
          <w:color w:val="auto"/>
        </w:rPr>
        <w:t>Detrimental Activity - If Grantee is determined to have engaged in detrimental activity within the meaning of the Program, either before or after termination, all units for which the applicable restricted periods have not expired will be automatically forfeited as of the date of such determination.</w:t>
      </w:r>
    </w:p>
    <w:p>
      <w:pPr>
        <w:spacing w:after="0" w:line="87" w:lineRule="exact"/>
        <w:rPr>
          <w:rFonts w:ascii="Arial" w:cs="Arial" w:eastAsia="Arial" w:hAnsi="Arial"/>
          <w:sz w:val="16"/>
          <w:szCs w:val="16"/>
          <w:color w:val="auto"/>
        </w:rPr>
      </w:pPr>
    </w:p>
    <w:p>
      <w:pPr>
        <w:ind w:left="500" w:hanging="249"/>
        <w:spacing w:after="0" w:line="313" w:lineRule="auto"/>
        <w:tabs>
          <w:tab w:leader="none" w:pos="489" w:val="left"/>
        </w:tabs>
        <w:numPr>
          <w:ilvl w:val="1"/>
          <w:numId w:val="42"/>
        </w:numPr>
        <w:rPr>
          <w:rFonts w:ascii="Arial" w:cs="Arial" w:eastAsia="Arial" w:hAnsi="Arial"/>
          <w:sz w:val="16"/>
          <w:szCs w:val="16"/>
          <w:color w:val="auto"/>
        </w:rPr>
      </w:pPr>
      <w:r>
        <w:rPr>
          <w:rFonts w:ascii="Arial" w:cs="Arial" w:eastAsia="Arial" w:hAnsi="Arial"/>
          <w:sz w:val="16"/>
          <w:szCs w:val="16"/>
          <w:color w:val="auto"/>
        </w:rPr>
        <w:t>Attempted Transfer - The units are subject to forfeiture in the discretion of the administrative authority if Grantee attempts to sell, assign, transfer, pledge, or otherwise dispose of or encumber them during the applicable restricted periods.</w:t>
      </w:r>
    </w:p>
    <w:p>
      <w:pPr>
        <w:spacing w:after="0" w:line="87" w:lineRule="exact"/>
        <w:rPr>
          <w:rFonts w:ascii="Arial" w:cs="Arial" w:eastAsia="Arial" w:hAnsi="Arial"/>
          <w:sz w:val="16"/>
          <w:szCs w:val="16"/>
          <w:color w:val="auto"/>
        </w:rPr>
      </w:pPr>
    </w:p>
    <w:p>
      <w:pPr>
        <w:jc w:val="both"/>
        <w:ind w:left="500" w:hanging="249"/>
        <w:spacing w:after="0" w:line="306" w:lineRule="auto"/>
        <w:tabs>
          <w:tab w:leader="none" w:pos="489" w:val="left"/>
        </w:tabs>
        <w:numPr>
          <w:ilvl w:val="1"/>
          <w:numId w:val="42"/>
        </w:numPr>
        <w:rPr>
          <w:rFonts w:ascii="Arial" w:cs="Arial" w:eastAsia="Arial" w:hAnsi="Arial"/>
          <w:sz w:val="16"/>
          <w:szCs w:val="16"/>
          <w:color w:val="auto"/>
        </w:rPr>
      </w:pPr>
      <w:r>
        <w:rPr>
          <w:rFonts w:ascii="Arial" w:cs="Arial" w:eastAsia="Arial" w:hAnsi="Arial"/>
          <w:sz w:val="16"/>
          <w:szCs w:val="16"/>
          <w:color w:val="auto"/>
        </w:rPr>
        <w:t>Applicable Law - The units are subject to forfeiture in whole or in part as the administrative authority deems necessary to comply with applicable law or Corporation policy including, without limitation, any clawback obligations determined to be owed by Grantee to the Corporation in connection with this or other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440" w:right="339" w:bottom="1440" w:gutter="0" w:footer="0" w:header="0"/>
        </w:sectPr>
      </w:pPr>
    </w:p>
    <w:bookmarkStart w:id="130" w:name="page131"/>
    <w:bookmarkEnd w:id="130"/>
    <w:p>
      <w:pPr>
        <w:spacing w:after="0" w:line="227" w:lineRule="exact"/>
        <w:rPr>
          <w:sz w:val="20"/>
          <w:szCs w:val="20"/>
          <w:color w:val="auto"/>
        </w:rPr>
      </w:pPr>
    </w:p>
    <w:p>
      <w:pPr>
        <w:jc w:val="both"/>
        <w:ind w:left="260" w:right="20" w:hanging="252"/>
        <w:spacing w:after="0" w:line="303" w:lineRule="auto"/>
        <w:tabs>
          <w:tab w:leader="none" w:pos="210"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Taxes</w:t>
      </w:r>
      <w:r>
        <w:rPr>
          <w:rFonts w:ascii="Arial" w:cs="Arial" w:eastAsia="Arial" w:hAnsi="Arial"/>
          <w:sz w:val="16"/>
          <w:szCs w:val="16"/>
          <w:color w:val="auto"/>
        </w:rPr>
        <w:t>. Notwithstanding the restrictions on transfer that otherwise apply, the Corporation in its sole discretion may withhold units, or shares otherwise deliverable in settlement of units, either at the time of crediting, at the time of settlement, or at any other time in order to satisfy any required withholding, Social Security, and similar taxes or contributions (collectively, "required taxes"). Withheld units or shares may be retained by the Corporation or sold on behalf of Grantee. The Corporation in its sole discretion may also withhold any required taxes from dividend equivalents paid on the units.</w:t>
      </w:r>
    </w:p>
    <w:p>
      <w:pPr>
        <w:spacing w:after="0" w:line="204" w:lineRule="exact"/>
        <w:rPr>
          <w:rFonts w:ascii="Arial" w:cs="Arial" w:eastAsia="Arial" w:hAnsi="Arial"/>
          <w:sz w:val="16"/>
          <w:szCs w:val="16"/>
          <w:color w:val="auto"/>
        </w:rPr>
      </w:pPr>
    </w:p>
    <w:p>
      <w:pPr>
        <w:ind w:left="260" w:right="20" w:hanging="252"/>
        <w:spacing w:after="0" w:line="306" w:lineRule="auto"/>
        <w:tabs>
          <w:tab w:leader="none" w:pos="197"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Form of Units; No Shareholder Status</w:t>
      </w:r>
      <w:r>
        <w:rPr>
          <w:rFonts w:ascii="Arial" w:cs="Arial" w:eastAsia="Arial" w:hAnsi="Arial"/>
          <w:sz w:val="16"/>
          <w:szCs w:val="16"/>
          <w:color w:val="auto"/>
        </w:rPr>
        <w:t>. The units will be represented by book-entry credits in records maintained by or on behalf of the Corporation. Units will be unfunded and unsecured promises by the Corporation to deliver shares in the future upon the terms and subject to the conditions of this Agreement. Grantee will not be a shareholder of the Corporation with respect to units.</w:t>
      </w:r>
    </w:p>
    <w:p>
      <w:pPr>
        <w:spacing w:after="0" w:line="200" w:lineRule="exact"/>
        <w:rPr>
          <w:rFonts w:ascii="Arial" w:cs="Arial" w:eastAsia="Arial" w:hAnsi="Arial"/>
          <w:sz w:val="16"/>
          <w:szCs w:val="16"/>
          <w:color w:val="auto"/>
        </w:rPr>
      </w:pPr>
    </w:p>
    <w:p>
      <w:pPr>
        <w:ind w:left="260" w:right="20" w:hanging="252"/>
        <w:spacing w:after="0" w:line="303" w:lineRule="auto"/>
        <w:tabs>
          <w:tab w:leader="none" w:pos="197"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Settlement of Units</w:t>
      </w:r>
      <w:r>
        <w:rPr>
          <w:rFonts w:ascii="Arial" w:cs="Arial" w:eastAsia="Arial" w:hAnsi="Arial"/>
          <w:sz w:val="16"/>
          <w:szCs w:val="16"/>
          <w:color w:val="auto"/>
        </w:rPr>
        <w:t>. If and when the applicable restricted period expires with respect to any units, subject to section 7, the Corporation will issue shares, free of restriction and registered in the name of Grantee, in settlement of such units. Such shares will be delivered promptly after such expiration to or for the account of Grantee either in certificated form or by book-entry transfer in accordance with the procedures of the administrative authority in effect at the time.</w:t>
      </w:r>
    </w:p>
    <w:p>
      <w:pPr>
        <w:spacing w:after="0" w:line="204" w:lineRule="exact"/>
        <w:rPr>
          <w:rFonts w:ascii="Arial" w:cs="Arial" w:eastAsia="Arial" w:hAnsi="Arial"/>
          <w:sz w:val="16"/>
          <w:szCs w:val="16"/>
          <w:color w:val="auto"/>
        </w:rPr>
      </w:pPr>
    </w:p>
    <w:p>
      <w:pPr>
        <w:jc w:val="both"/>
        <w:ind w:left="260" w:hanging="252"/>
        <w:spacing w:after="0" w:line="303" w:lineRule="auto"/>
        <w:tabs>
          <w:tab w:leader="none" w:pos="287"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Dividend Equivalents</w:t>
      </w:r>
      <w:r>
        <w:rPr>
          <w:rFonts w:ascii="Arial" w:cs="Arial" w:eastAsia="Arial" w:hAnsi="Arial"/>
          <w:sz w:val="16"/>
          <w:szCs w:val="16"/>
          <w:color w:val="auto"/>
        </w:rPr>
        <w:t>. The Corporation will pay to Grantee cash with respect to each credited unit corresponding in amount, currency, and timing to cash dividends that would be payable with respect to a share of common stock outstanding on each record date that occurs during the applicable restricted period. Alternatively, the administrative authority may determine to reinvest such dividend equivalents in additional units which will be held subject to all the terms and conditions otherwise applicable to units under this Agreement.</w:t>
      </w:r>
    </w:p>
    <w:p>
      <w:pPr>
        <w:spacing w:after="0" w:line="204" w:lineRule="exact"/>
        <w:rPr>
          <w:rFonts w:ascii="Arial" w:cs="Arial" w:eastAsia="Arial" w:hAnsi="Arial"/>
          <w:sz w:val="16"/>
          <w:szCs w:val="16"/>
          <w:color w:val="auto"/>
        </w:rPr>
      </w:pPr>
    </w:p>
    <w:p>
      <w:pPr>
        <w:jc w:val="both"/>
        <w:ind w:left="260" w:hanging="252"/>
        <w:spacing w:after="0" w:line="302" w:lineRule="auto"/>
        <w:tabs>
          <w:tab w:leader="none" w:pos="314"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Change in Capitalization</w:t>
      </w:r>
      <w:r>
        <w:rPr>
          <w:rFonts w:ascii="Arial" w:cs="Arial" w:eastAsia="Arial" w:hAnsi="Arial"/>
          <w:sz w:val="16"/>
          <w:szCs w:val="16"/>
          <w:color w:val="auto"/>
        </w:rPr>
        <w:t>. If during the applicable restricted periods a stock split, stock dividend, or other relevant change in capitalization of the Corporation occurs, the administrative authority will make such adjustments in the number of units credited to Grantee, or in the number and type of securities deliverable to Grantee in settlement of such units and used in determining dividend equivalent amounts, as the administrative authority may determine to be appropriate. Any resulting new units or securities credited with respect to previously credited units that are still restricted under this Agreement will be delivered to and held by or on behalf of the Corporation and will be subject to the same provisions, restrictions, and requirements as those previously credited units.</w:t>
      </w:r>
    </w:p>
    <w:p>
      <w:pPr>
        <w:spacing w:after="0" w:line="203" w:lineRule="exact"/>
        <w:rPr>
          <w:rFonts w:ascii="Arial" w:cs="Arial" w:eastAsia="Arial" w:hAnsi="Arial"/>
          <w:sz w:val="16"/>
          <w:szCs w:val="16"/>
          <w:color w:val="auto"/>
        </w:rPr>
      </w:pPr>
    </w:p>
    <w:p>
      <w:pPr>
        <w:jc w:val="both"/>
        <w:ind w:left="260" w:hanging="252"/>
        <w:spacing w:after="0" w:line="306" w:lineRule="auto"/>
        <w:tabs>
          <w:tab w:leader="none" w:pos="301"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Limits on the Corporation’s Obligations</w:t>
      </w:r>
      <w:r>
        <w:rPr>
          <w:rFonts w:ascii="Arial" w:cs="Arial" w:eastAsia="Arial" w:hAnsi="Arial"/>
          <w:sz w:val="16"/>
          <w:szCs w:val="16"/>
          <w:color w:val="auto"/>
        </w:rPr>
        <w:t>. Notwithstanding anything else contained in this Agreement, under no circumstances will the Corporation be required to credit any units or issue or deliver any shares in settlement of units if doing so would violate any law or listing requirement that the administrative authority determines to be applicable.</w:t>
      </w:r>
    </w:p>
    <w:p>
      <w:pPr>
        <w:spacing w:after="0" w:line="200" w:lineRule="exact"/>
        <w:rPr>
          <w:rFonts w:ascii="Arial" w:cs="Arial" w:eastAsia="Arial" w:hAnsi="Arial"/>
          <w:sz w:val="16"/>
          <w:szCs w:val="16"/>
          <w:color w:val="auto"/>
        </w:rPr>
      </w:pPr>
    </w:p>
    <w:p>
      <w:pPr>
        <w:ind w:left="280" w:hanging="272"/>
        <w:spacing w:after="0"/>
        <w:tabs>
          <w:tab w:leader="none" w:pos="280"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Receipt or Access to Program</w:t>
      </w:r>
      <w:r>
        <w:rPr>
          <w:rFonts w:ascii="Arial" w:cs="Arial" w:eastAsia="Arial" w:hAnsi="Arial"/>
          <w:sz w:val="16"/>
          <w:szCs w:val="16"/>
          <w:color w:val="auto"/>
        </w:rPr>
        <w:t>. Grantee acknowledges receipt of or access to the full text of the Program.</w:t>
      </w:r>
    </w:p>
    <w:p>
      <w:pPr>
        <w:spacing w:after="0" w:line="261" w:lineRule="exact"/>
        <w:rPr>
          <w:rFonts w:ascii="Arial" w:cs="Arial" w:eastAsia="Arial" w:hAnsi="Arial"/>
          <w:sz w:val="16"/>
          <w:szCs w:val="16"/>
          <w:color w:val="auto"/>
        </w:rPr>
      </w:pPr>
    </w:p>
    <w:p>
      <w:pPr>
        <w:jc w:val="both"/>
        <w:ind w:left="260" w:right="20" w:hanging="252"/>
        <w:spacing w:after="0" w:line="306" w:lineRule="auto"/>
        <w:tabs>
          <w:tab w:leader="none" w:pos="287"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Addresses for Communications</w:t>
      </w:r>
      <w:r>
        <w:rPr>
          <w:rFonts w:ascii="Arial" w:cs="Arial" w:eastAsia="Arial" w:hAnsi="Arial"/>
          <w:sz w:val="16"/>
          <w:szCs w:val="16"/>
          <w:color w:val="auto"/>
        </w:rPr>
        <w:t>. To facilitate communications regarding this Agreement, Grantee agrees to notify the Corporation promptly of changes in current mailing and e-mail addresses. Communications to the Corporation in connection with this Agreement should be directed to the Incentive Processing Office or to such other address as the Corporation may designate by further notice to Grantee.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40" w:right="339" w:bottom="1440" w:gutter="0" w:footer="0" w:header="0"/>
        </w:sectPr>
      </w:pPr>
    </w:p>
    <w:bookmarkStart w:id="131" w:name="page132"/>
    <w:bookmarkEnd w:id="131"/>
    <w:p>
      <w:pPr>
        <w:spacing w:after="0" w:line="119" w:lineRule="exact"/>
        <w:rPr>
          <w:sz w:val="20"/>
          <w:szCs w:val="20"/>
          <w:color w:val="auto"/>
        </w:rPr>
      </w:pPr>
    </w:p>
    <w:p>
      <w:pPr>
        <w:jc w:val="both"/>
        <w:ind w:left="260" w:hanging="252"/>
        <w:spacing w:after="0" w:line="301" w:lineRule="auto"/>
        <w:tabs>
          <w:tab w:leader="none" w:pos="287"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t>Transfer of Personal Data</w:t>
      </w:r>
      <w:r>
        <w:rPr>
          <w:rFonts w:ascii="Arial" w:cs="Arial" w:eastAsia="Arial" w:hAnsi="Arial"/>
          <w:sz w:val="16"/>
          <w:szCs w:val="16"/>
          <w:color w:val="auto"/>
        </w:rPr>
        <w:t>. The administration of the Program and this Agreement, including any subsequent ownership of shares; involves the collection, use, and transfer of personal data about Grantee between and among the Corporation, selected subsidiaries and other affiliates of the Corporation, and third-party service providers such as Morgan Stanley and Computershare (the Corporation's transfer agent), as well as various regulatory and tax authorities around the world. This data includes Grantee's name, age, date of birth, contact information, work location, employment status, tax status, Social Security number, salary, nationality, job title, share ownership, and details of incentive awards granted, cancelled, vested or unvested, and related information. By accepting this award, Grantee authorizes such collection, use, and transfer of this data. Grantee may, at any time and without charge, view such data and require necessary corrections to it. Such data will at all times be held in accordance with applicable laws, regulations, and agreements. For more information on data privacy, see the data privacy statement on the Incentive Award Program website.</w:t>
      </w:r>
    </w:p>
    <w:p>
      <w:pPr>
        <w:spacing w:after="0" w:line="206" w:lineRule="exact"/>
        <w:rPr>
          <w:rFonts w:ascii="Arial" w:cs="Arial" w:eastAsia="Arial" w:hAnsi="Arial"/>
          <w:sz w:val="16"/>
          <w:szCs w:val="16"/>
          <w:color w:val="auto"/>
        </w:rPr>
      </w:pPr>
    </w:p>
    <w:p>
      <w:pPr>
        <w:jc w:val="both"/>
        <w:ind w:left="260" w:hanging="252"/>
        <w:spacing w:after="0" w:line="307" w:lineRule="auto"/>
        <w:tabs>
          <w:tab w:leader="none" w:pos="287"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t>No Employment Contract or Entitlement to Other or Future Awards</w:t>
      </w:r>
      <w:r>
        <w:rPr>
          <w:rFonts w:ascii="Arial" w:cs="Arial" w:eastAsia="Arial" w:hAnsi="Arial"/>
          <w:sz w:val="16"/>
          <w:szCs w:val="16"/>
          <w:color w:val="auto"/>
        </w:rPr>
        <w:t>. This Agreement, the Corporation's incentive programs, and Grantee's selection for incentive awards do not imply or form a part of any contract or assurance of employment, and they do not in any way limit or restrict the ability of Grantee's employer to terminate Grantee's employment. Grantee acknowledges that the Corporation maintains and administers its incentive programs entirely in its discretion and that Grantee is not entitled to any other or future incentive awards of any kind in addition to those that have already been granted.</w:t>
      </w:r>
    </w:p>
    <w:p>
      <w:pPr>
        <w:spacing w:after="0" w:line="200" w:lineRule="exact"/>
        <w:rPr>
          <w:rFonts w:ascii="Arial" w:cs="Arial" w:eastAsia="Arial" w:hAnsi="Arial"/>
          <w:sz w:val="16"/>
          <w:szCs w:val="16"/>
          <w:color w:val="auto"/>
        </w:rPr>
      </w:pPr>
    </w:p>
    <w:p>
      <w:pPr>
        <w:spacing w:after="0" w:line="222" w:lineRule="exact"/>
        <w:rPr>
          <w:rFonts w:ascii="Arial" w:cs="Arial" w:eastAsia="Arial" w:hAnsi="Arial"/>
          <w:sz w:val="16"/>
          <w:szCs w:val="16"/>
          <w:color w:val="auto"/>
        </w:rPr>
      </w:pPr>
    </w:p>
    <w:p>
      <w:pPr>
        <w:jc w:val="both"/>
        <w:ind w:left="260" w:hanging="252"/>
        <w:spacing w:after="0" w:line="303" w:lineRule="auto"/>
        <w:tabs>
          <w:tab w:leader="none" w:pos="287"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t>Governing Law and Consent to Jurisdiction</w:t>
      </w:r>
      <w:r>
        <w:rPr>
          <w:rFonts w:ascii="Arial" w:cs="Arial" w:eastAsia="Arial" w:hAnsi="Arial"/>
          <w:sz w:val="16"/>
          <w:szCs w:val="16"/>
          <w:color w:val="auto"/>
        </w:rPr>
        <w:t>. This Agreement and the Program are governed by the laws of the State of New York without regard to any conflict of law rules. Any dispute arising out of or relating to this Agreement or the Program may be resolved in any state or federal court located within Dallas County, Texas, U.S.A. Grantee accepts that venue and submits to the personal jurisdiction of any such court. Similarly, the Corporation accepts such venue and submits to such jurisdiction.</w:t>
      </w:r>
    </w:p>
    <w:p>
      <w:pPr>
        <w:spacing w:after="0" w:line="204" w:lineRule="exact"/>
        <w:rPr>
          <w:rFonts w:ascii="Arial" w:cs="Arial" w:eastAsia="Arial" w:hAnsi="Arial"/>
          <w:sz w:val="16"/>
          <w:szCs w:val="16"/>
          <w:color w:val="auto"/>
        </w:rPr>
      </w:pPr>
    </w:p>
    <w:p>
      <w:pPr>
        <w:ind w:left="260" w:right="20" w:hanging="252"/>
        <w:spacing w:after="0" w:line="313" w:lineRule="auto"/>
        <w:tabs>
          <w:tab w:leader="none" w:pos="287"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together with the applicable electronically signed acceptance constitutes the entire understanding between Grantee and the Corporation with respect to the subject matter of this Agreement.</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40" w:right="339" w:bottom="1440" w:gutter="0" w:footer="0" w:header="0"/>
        </w:sectPr>
      </w:pPr>
    </w:p>
    <w:bookmarkStart w:id="132" w:name="page133"/>
    <w:bookmarkEnd w:id="132"/>
    <w:p>
      <w:pPr>
        <w:ind w:left="9580"/>
        <w:spacing w:after="0"/>
        <w:rPr>
          <w:sz w:val="20"/>
          <w:szCs w:val="20"/>
          <w:color w:val="auto"/>
        </w:rPr>
      </w:pPr>
      <w:r>
        <w:rPr>
          <w:rFonts w:ascii="Arial" w:cs="Arial" w:eastAsia="Arial" w:hAnsi="Arial"/>
          <w:sz w:val="18"/>
          <w:szCs w:val="18"/>
          <w:b w:val="1"/>
          <w:bCs w:val="1"/>
          <w:color w:val="auto"/>
        </w:rPr>
        <w:t>EXHIBIT 10(iii)(f.3)</w:t>
      </w:r>
    </w:p>
    <w:p>
      <w:pPr>
        <w:sectPr>
          <w:pgSz w:w="11900" w:h="16838" w:orient="portrait"/>
          <w:cols w:equalWidth="0" w:num="1">
            <w:col w:w="11240"/>
          </w:cols>
          <w:pgMar w:left="320" w:top="634" w:right="339" w:bottom="1440" w:gutter="0" w:footer="0" w:header="0"/>
        </w:sectPr>
      </w:pPr>
    </w:p>
    <w:p>
      <w:pPr>
        <w:spacing w:after="0" w:line="31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6D6D6D"/>
        </w:rPr>
        <w:t>Exxon Mobil Corporation</w:t>
      </w:r>
    </w:p>
    <w:p>
      <w:pPr>
        <w:spacing w:after="0" w:line="20" w:lineRule="exact"/>
        <w:rPr>
          <w:sz w:val="20"/>
          <w:szCs w:val="20"/>
          <w:color w:val="auto"/>
        </w:rPr>
      </w:pPr>
      <w:r>
        <w:rPr>
          <w:sz w:val="20"/>
          <w:szCs w:val="20"/>
          <w:color w:val="auto"/>
        </w:rPr>
        <w:br w:type="column"/>
      </w:r>
    </w:p>
    <w:p>
      <w:pPr>
        <w:spacing w:after="0" w:line="291" w:lineRule="exact"/>
        <w:rPr>
          <w:sz w:val="20"/>
          <w:szCs w:val="20"/>
          <w:color w:val="auto"/>
        </w:rPr>
      </w:pPr>
    </w:p>
    <w:p>
      <w:pPr>
        <w:spacing w:after="0"/>
        <w:rPr>
          <w:sz w:val="20"/>
          <w:szCs w:val="20"/>
          <w:color w:val="auto"/>
        </w:rPr>
      </w:pPr>
      <w:r>
        <w:rPr>
          <w:rFonts w:ascii="Arial" w:cs="Arial" w:eastAsia="Arial" w:hAnsi="Arial"/>
          <w:sz w:val="14"/>
          <w:szCs w:val="14"/>
          <w:b w:val="1"/>
          <w:bCs w:val="1"/>
          <w:color w:val="6D6D6D"/>
        </w:rPr>
        <w:t>Stephen A. Littleton</w:t>
      </w:r>
    </w:p>
    <w:p>
      <w:pPr>
        <w:spacing w:after="0" w:line="73" w:lineRule="exact"/>
        <w:rPr>
          <w:sz w:val="20"/>
          <w:szCs w:val="20"/>
          <w:color w:val="auto"/>
        </w:rPr>
      </w:pPr>
    </w:p>
    <w:p>
      <w:pPr>
        <w:sectPr>
          <w:pgSz w:w="11900" w:h="16838" w:orient="portrait"/>
          <w:cols w:equalWidth="0" w:num="2">
            <w:col w:w="6840" w:space="720"/>
            <w:col w:w="3680"/>
          </w:cols>
          <w:pgMar w:left="320" w:top="634" w:right="339" w:bottom="1440" w:gutter="0" w:footer="0" w:header="0"/>
          <w:type w:val="continuous"/>
        </w:sectPr>
      </w:pPr>
    </w:p>
    <w:p>
      <w:pPr>
        <w:ind w:left="20"/>
        <w:spacing w:after="0"/>
        <w:rPr>
          <w:sz w:val="20"/>
          <w:szCs w:val="20"/>
          <w:color w:val="auto"/>
        </w:rPr>
      </w:pPr>
      <w:r>
        <w:rPr>
          <w:rFonts w:ascii="Arial" w:cs="Arial" w:eastAsia="Arial" w:hAnsi="Arial"/>
          <w:sz w:val="14"/>
          <w:szCs w:val="14"/>
          <w:color w:val="6D6D6D"/>
        </w:rPr>
        <w:t>5959 Las Colinas Boulevard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6D6D6D"/>
        </w:rPr>
        <w:t>Vice President, Investor Relations</w:t>
      </w:r>
    </w:p>
    <w:p>
      <w:pPr>
        <w:spacing w:after="0" w:line="55" w:lineRule="exact"/>
        <w:rPr>
          <w:sz w:val="20"/>
          <w:szCs w:val="20"/>
          <w:color w:val="auto"/>
        </w:rPr>
      </w:pPr>
    </w:p>
    <w:p>
      <w:pPr>
        <w:sectPr>
          <w:pgSz w:w="11900" w:h="16838" w:orient="portrait"/>
          <w:cols w:equalWidth="0" w:num="2">
            <w:col w:w="6840" w:space="720"/>
            <w:col w:w="3680"/>
          </w:cols>
          <w:pgMar w:left="320" w:top="634" w:right="339" w:bottom="1440" w:gutter="0" w:footer="0" w:header="0"/>
          <w:type w:val="continuous"/>
        </w:sectPr>
      </w:pPr>
    </w:p>
    <w:p>
      <w:pPr>
        <w:ind w:left="20"/>
        <w:spacing w:after="0"/>
        <w:rPr>
          <w:sz w:val="20"/>
          <w:szCs w:val="20"/>
          <w:color w:val="auto"/>
        </w:rPr>
      </w:pPr>
      <w:r>
        <w:rPr>
          <w:rFonts w:ascii="Arial" w:cs="Arial" w:eastAsia="Arial" w:hAnsi="Arial"/>
          <w:sz w:val="14"/>
          <w:szCs w:val="14"/>
          <w:color w:val="6D6D6D"/>
        </w:rPr>
        <w:t>Irving, Texas 75039-2298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6D6D6D"/>
        </w:rPr>
        <w:t>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357505</wp:posOffset>
            </wp:positionV>
            <wp:extent cx="1757045" cy="41148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8">
                      <a:extLst>
                        <a:ext uri="{28A0092B-C50C-407E-A947-70E740481C1C}"/>
                      </a:extLst>
                    </a:blip>
                    <a:srcRect/>
                    <a:stretch>
                      <a:fillRect/>
                    </a:stretch>
                  </pic:blipFill>
                  <pic:spPr bwMode="auto">
                    <a:xfrm>
                      <a:off x="0" y="0"/>
                      <a:ext cx="1757045" cy="41148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840" w:space="720"/>
            <w:col w:w="3680"/>
          </w:cols>
          <w:pgMar w:left="320" w:top="63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0"/>
        <w:spacing w:after="0"/>
        <w:rPr>
          <w:sz w:val="20"/>
          <w:szCs w:val="20"/>
          <w:color w:val="auto"/>
        </w:rPr>
      </w:pPr>
      <w:r>
        <w:rPr>
          <w:rFonts w:ascii="Arial" w:cs="Arial" w:eastAsia="Arial" w:hAnsi="Arial"/>
          <w:sz w:val="20"/>
          <w:szCs w:val="20"/>
          <w:color w:val="auto"/>
        </w:rPr>
        <w:t>January 3, 2022</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20"/>
          <w:szCs w:val="20"/>
          <w:color w:val="auto"/>
        </w:rPr>
        <w:t>[Name of Non-Employee Director]</w:t>
      </w:r>
    </w:p>
    <w:p>
      <w:pPr>
        <w:spacing w:after="0" w:line="243"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I am pleased to inform you that on January 3, 2022, you were granted 2,500 shares of restricted stock under Exxon Mobil Corporation's 2004 Non-Employee Director Restricted Stock Plan (the "Plan") and in accordance with the Board's standing resolution regarding grants under the Plan. This letter summarizes key terms of your award and is qualified by reference to the Plan. You should refer to the text of the Plan for a detailed description of the terms and conditions of your award. Copies of the Plan have been previously distributed to you and are also available on request to me at any time.</w:t>
      </w:r>
    </w:p>
    <w:p>
      <w:pPr>
        <w:spacing w:after="0" w:line="236"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restricted stock has been registered in your name and will be held in book-entry form by the Corporation's agent during the restricted period. As the owner of record, you have the right to vote the shares and receive cash dividends. However, during the restricted period the shares may not be sold, assigned, transferred, pledged, or otherwise disposed of or encumbered, and your restricted stock account will be subject to stop transfer instructions. When the restricted period expires, shares will be delivered to or for your account free of restrictions.</w:t>
      </w:r>
    </w:p>
    <w:p>
      <w:pPr>
        <w:spacing w:after="0" w:line="236"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The restricted period for this award began at the time of grant. The restricted period will expire on the earliest of grantee leaving the Board after reaching retirement age (currently age 72), leaving the Board in good standing (as determined by the Board) before reaching retirement age, or by reason of death. By accepting this award you agree to all its terms and conditions, including the restrictions on transfer and events of forfeiture.</w:t>
      </w:r>
    </w:p>
    <w:p>
      <w:pPr>
        <w:spacing w:after="0" w:line="225"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You are entitled to designate a beneficiary for your restricted stock account. Please contact Cindy Kessel Guild at (972) 940-6708 for the necessary form should you wish to do so. Additional information concerning your award, including information on the tax consequences of your award and certain additional information required by the Securities Act of 1933, is also enclosed with this letter.</w:t>
      </w:r>
    </w:p>
    <w:p>
      <w:pPr>
        <w:spacing w:after="0" w:line="237" w:lineRule="exact"/>
        <w:rPr>
          <w:sz w:val="20"/>
          <w:szCs w:val="20"/>
          <w:color w:val="auto"/>
        </w:rPr>
      </w:pPr>
    </w:p>
    <w:p>
      <w:pPr>
        <w:jc w:val="center"/>
        <w:ind w:right="1100"/>
        <w:spacing w:after="0"/>
        <w:rPr>
          <w:sz w:val="20"/>
          <w:szCs w:val="20"/>
          <w:color w:val="auto"/>
        </w:rPr>
      </w:pPr>
      <w:r>
        <w:rPr>
          <w:rFonts w:ascii="Arial" w:cs="Arial" w:eastAsia="Arial" w:hAnsi="Arial"/>
          <w:sz w:val="19"/>
          <w:szCs w:val="19"/>
          <w:color w:val="auto"/>
        </w:rPr>
        <w:t>Should you have any questions concerning the Plan or this award, please feel free to contact me at (972) 940-6716.</w:t>
      </w:r>
    </w:p>
    <w:p>
      <w:pPr>
        <w:spacing w:after="0" w:line="241"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Sincerely,</w:t>
      </w:r>
    </w:p>
    <w:p>
      <w:pPr>
        <w:spacing w:after="0" w:line="229"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[signed by Stephen A. Littleton]</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color w:val="auto"/>
        </w:rPr>
        <w:t>Enclosures</w:t>
      </w:r>
    </w:p>
    <w:p>
      <w:pPr>
        <w:sectPr>
          <w:pgSz w:w="11900" w:h="16838" w:orient="portrait"/>
          <w:cols w:equalWidth="0" w:num="1">
            <w:col w:w="11240"/>
          </w:cols>
          <w:pgMar w:left="320" w:top="634" w:right="339" w:bottom="1440" w:gutter="0" w:footer="0" w:header="0"/>
          <w:type w:val="continuous"/>
        </w:sectPr>
      </w:pPr>
    </w:p>
    <w:bookmarkStart w:id="133" w:name="page134"/>
    <w:bookmarkEnd w:id="133"/>
    <w:tbl>
      <w:tblPr>
        <w:tblLayout w:type="fixed"/>
        <w:tblInd w:w="0" w:type="dxa"/>
        <w:tblCellMar>
          <w:top w:w="0" w:type="dxa"/>
          <w:left w:w="0" w:type="dxa"/>
          <w:bottom w:w="0" w:type="dxa"/>
          <w:right w:w="0" w:type="dxa"/>
        </w:tblCellMar>
      </w:tblPr>
      <w:tr>
        <w:trPr>
          <w:trHeight w:val="234"/>
        </w:trPr>
        <w:tc>
          <w:tcPr>
            <w:tcW w:w="66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60" w:type="dxa"/>
            <w:vAlign w:val="bottom"/>
          </w:tcPr>
          <w:p>
            <w:pPr>
              <w:ind w:left="1060"/>
              <w:spacing w:after="0"/>
              <w:rPr>
                <w:sz w:val="20"/>
                <w:szCs w:val="20"/>
                <w:color w:val="auto"/>
              </w:rPr>
            </w:pPr>
            <w:r>
              <w:rPr>
                <w:rFonts w:ascii="Arial" w:cs="Arial" w:eastAsia="Arial" w:hAnsi="Arial"/>
                <w:sz w:val="18"/>
                <w:szCs w:val="18"/>
                <w:b w:val="1"/>
                <w:bCs w:val="1"/>
                <w:color w:val="auto"/>
              </w:rPr>
              <w:t>EXHIBIT 21</w:t>
            </w:r>
          </w:p>
        </w:tc>
        <w:tc>
          <w:tcPr>
            <w:tcW w:w="0" w:type="dxa"/>
            <w:vAlign w:val="bottom"/>
          </w:tcPr>
          <w:p>
            <w:pPr>
              <w:spacing w:after="0"/>
              <w:rPr>
                <w:sz w:val="1"/>
                <w:szCs w:val="1"/>
                <w:color w:val="auto"/>
              </w:rPr>
            </w:pPr>
          </w:p>
        </w:tc>
      </w:tr>
      <w:tr>
        <w:trPr>
          <w:trHeight w:val="392"/>
        </w:trPr>
        <w:tc>
          <w:tcPr>
            <w:tcW w:w="6680" w:type="dxa"/>
            <w:vAlign w:val="bottom"/>
          </w:tcPr>
          <w:p>
            <w:pPr>
              <w:spacing w:after="0"/>
              <w:rPr>
                <w:sz w:val="20"/>
                <w:szCs w:val="20"/>
                <w:color w:val="auto"/>
              </w:rPr>
            </w:pPr>
            <w:r>
              <w:rPr>
                <w:rFonts w:ascii="Arial" w:cs="Arial" w:eastAsia="Arial" w:hAnsi="Arial"/>
                <w:sz w:val="18"/>
                <w:szCs w:val="18"/>
                <w:b w:val="1"/>
                <w:bCs w:val="1"/>
                <w:color w:val="auto"/>
              </w:rPr>
              <w:t xml:space="preserve">Subsidiaries of the Registrant </w:t>
            </w:r>
            <w:r>
              <w:rPr>
                <w:rFonts w:ascii="Arial" w:cs="Arial" w:eastAsia="Arial" w:hAnsi="Arial"/>
                <w:sz w:val="18"/>
                <w:szCs w:val="18"/>
                <w:b w:val="1"/>
                <w:bCs w:val="1"/>
                <w:i w:val="1"/>
                <w:iCs w:val="1"/>
                <w:color w:val="auto"/>
              </w:rPr>
              <w:t>(1), (2)</w:t>
            </w:r>
            <w:r>
              <w:rPr>
                <w:rFonts w:ascii="Arial" w:cs="Arial" w:eastAsia="Arial" w:hAnsi="Arial"/>
                <w:sz w:val="18"/>
                <w:szCs w:val="18"/>
                <w:b w:val="1"/>
                <w:bCs w:val="1"/>
                <w:color w:val="auto"/>
              </w:rPr>
              <w:t xml:space="preserve"> and </w:t>
            </w:r>
            <w:r>
              <w:rPr>
                <w:rFonts w:ascii="Arial" w:cs="Arial" w:eastAsia="Arial" w:hAnsi="Arial"/>
                <w:sz w:val="18"/>
                <w:szCs w:val="18"/>
                <w:b w:val="1"/>
                <w:bCs w:val="1"/>
                <w:i w:val="1"/>
                <w:iCs w:val="1"/>
                <w:color w:val="auto"/>
              </w:rPr>
              <w:t>(3)</w:t>
            </w:r>
            <w:r>
              <w:rPr>
                <w:rFonts w:ascii="Arial" w:cs="Arial" w:eastAsia="Arial" w:hAnsi="Arial"/>
                <w:sz w:val="18"/>
                <w:szCs w:val="18"/>
                <w:b w:val="1"/>
                <w:bCs w:val="1"/>
                <w:color w:val="auto"/>
              </w:rPr>
              <w:t xml:space="preserve"> – at December 31, 2021</w:t>
            </w:r>
          </w:p>
        </w:tc>
        <w:tc>
          <w:tcPr>
            <w:tcW w:w="2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6680" w:type="dxa"/>
            <w:vAlign w:val="bottom"/>
          </w:tcPr>
          <w:p>
            <w:pPr>
              <w:spacing w:after="0"/>
              <w:rPr>
                <w:sz w:val="24"/>
                <w:szCs w:val="24"/>
                <w:color w:val="auto"/>
              </w:rPr>
            </w:pPr>
          </w:p>
        </w:tc>
        <w:tc>
          <w:tcPr>
            <w:tcW w:w="2500" w:type="dxa"/>
            <w:vAlign w:val="bottom"/>
            <w:gridSpan w:val="2"/>
          </w:tcPr>
          <w:p>
            <w:pPr>
              <w:jc w:val="center"/>
              <w:ind w:right="440"/>
              <w:spacing w:after="0"/>
              <w:rPr>
                <w:sz w:val="20"/>
                <w:szCs w:val="20"/>
                <w:color w:val="auto"/>
              </w:rPr>
            </w:pPr>
            <w:r>
              <w:rPr>
                <w:rFonts w:ascii="Arial" w:cs="Arial" w:eastAsia="Arial" w:hAnsi="Arial"/>
                <w:sz w:val="18"/>
                <w:szCs w:val="18"/>
                <w:color w:val="auto"/>
                <w:w w:val="87"/>
              </w:rPr>
              <w:t>Percentage of</w:t>
            </w: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680" w:type="dxa"/>
            <w:vAlign w:val="bottom"/>
          </w:tcPr>
          <w:p>
            <w:pPr>
              <w:spacing w:after="0"/>
              <w:rPr>
                <w:sz w:val="18"/>
                <w:szCs w:val="18"/>
                <w:color w:val="auto"/>
              </w:rPr>
            </w:pPr>
          </w:p>
        </w:tc>
        <w:tc>
          <w:tcPr>
            <w:tcW w:w="2500" w:type="dxa"/>
            <w:vAlign w:val="bottom"/>
            <w:gridSpan w:val="2"/>
          </w:tcPr>
          <w:p>
            <w:pPr>
              <w:jc w:val="center"/>
              <w:ind w:right="460"/>
              <w:spacing w:after="0"/>
              <w:rPr>
                <w:sz w:val="20"/>
                <w:szCs w:val="20"/>
                <w:color w:val="auto"/>
              </w:rPr>
            </w:pPr>
            <w:r>
              <w:rPr>
                <w:rFonts w:ascii="Arial" w:cs="Arial" w:eastAsia="Arial" w:hAnsi="Arial"/>
                <w:sz w:val="18"/>
                <w:szCs w:val="18"/>
                <w:color w:val="auto"/>
                <w:w w:val="91"/>
              </w:rPr>
              <w:t>Voting Securities</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spacing w:after="0"/>
              <w:rPr>
                <w:sz w:val="18"/>
                <w:szCs w:val="18"/>
                <w:color w:val="auto"/>
              </w:rPr>
            </w:pPr>
          </w:p>
        </w:tc>
        <w:tc>
          <w:tcPr>
            <w:tcW w:w="2500" w:type="dxa"/>
            <w:vAlign w:val="bottom"/>
            <w:gridSpan w:val="2"/>
          </w:tcPr>
          <w:p>
            <w:pPr>
              <w:jc w:val="center"/>
              <w:ind w:right="460"/>
              <w:spacing w:after="0"/>
              <w:rPr>
                <w:sz w:val="20"/>
                <w:szCs w:val="20"/>
                <w:color w:val="auto"/>
              </w:rPr>
            </w:pPr>
            <w:r>
              <w:rPr>
                <w:rFonts w:ascii="Arial" w:cs="Arial" w:eastAsia="Arial" w:hAnsi="Arial"/>
                <w:sz w:val="18"/>
                <w:szCs w:val="18"/>
                <w:color w:val="auto"/>
                <w:w w:val="95"/>
              </w:rPr>
              <w:t>Owned Directly</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spacing w:after="0"/>
              <w:rPr>
                <w:sz w:val="18"/>
                <w:szCs w:val="18"/>
                <w:color w:val="auto"/>
              </w:rPr>
            </w:pPr>
          </w:p>
        </w:tc>
        <w:tc>
          <w:tcPr>
            <w:tcW w:w="2500" w:type="dxa"/>
            <w:vAlign w:val="bottom"/>
            <w:gridSpan w:val="2"/>
          </w:tcPr>
          <w:p>
            <w:pPr>
              <w:jc w:val="center"/>
              <w:ind w:right="460"/>
              <w:spacing w:after="0"/>
              <w:rPr>
                <w:sz w:val="20"/>
                <w:szCs w:val="20"/>
                <w:color w:val="auto"/>
              </w:rPr>
            </w:pPr>
            <w:r>
              <w:rPr>
                <w:rFonts w:ascii="Arial" w:cs="Arial" w:eastAsia="Arial" w:hAnsi="Arial"/>
                <w:sz w:val="18"/>
                <w:szCs w:val="18"/>
                <w:color w:val="auto"/>
                <w:w w:val="95"/>
              </w:rPr>
              <w:t>or Indirectly by</w:t>
            </w:r>
          </w:p>
        </w:tc>
        <w:tc>
          <w:tcPr>
            <w:tcW w:w="2060" w:type="dxa"/>
            <w:vAlign w:val="bottom"/>
          </w:tcPr>
          <w:p>
            <w:pPr>
              <w:ind w:left="760"/>
              <w:spacing w:after="0"/>
              <w:rPr>
                <w:sz w:val="20"/>
                <w:szCs w:val="20"/>
                <w:color w:val="auto"/>
              </w:rPr>
            </w:pPr>
            <w:r>
              <w:rPr>
                <w:rFonts w:ascii="Arial" w:cs="Arial" w:eastAsia="Arial" w:hAnsi="Arial"/>
                <w:sz w:val="18"/>
                <w:szCs w:val="18"/>
                <w:color w:val="auto"/>
              </w:rPr>
              <w:t>State or</w:t>
            </w:r>
          </w:p>
        </w:tc>
        <w:tc>
          <w:tcPr>
            <w:tcW w:w="0" w:type="dxa"/>
            <w:vAlign w:val="bottom"/>
          </w:tcPr>
          <w:p>
            <w:pPr>
              <w:spacing w:after="0"/>
              <w:rPr>
                <w:sz w:val="1"/>
                <w:szCs w:val="1"/>
                <w:color w:val="auto"/>
              </w:rPr>
            </w:pPr>
          </w:p>
        </w:tc>
      </w:tr>
      <w:tr>
        <w:trPr>
          <w:trHeight w:val="230"/>
        </w:trPr>
        <w:tc>
          <w:tcPr>
            <w:tcW w:w="6680" w:type="dxa"/>
            <w:vAlign w:val="bottom"/>
          </w:tcPr>
          <w:p>
            <w:pPr>
              <w:spacing w:after="0"/>
              <w:rPr>
                <w:sz w:val="20"/>
                <w:szCs w:val="20"/>
                <w:color w:val="auto"/>
              </w:rPr>
            </w:pPr>
          </w:p>
        </w:tc>
        <w:tc>
          <w:tcPr>
            <w:tcW w:w="2500" w:type="dxa"/>
            <w:vAlign w:val="bottom"/>
            <w:gridSpan w:val="2"/>
          </w:tcPr>
          <w:p>
            <w:pPr>
              <w:jc w:val="center"/>
              <w:ind w:right="440"/>
              <w:spacing w:after="0"/>
              <w:rPr>
                <w:sz w:val="20"/>
                <w:szCs w:val="20"/>
                <w:color w:val="auto"/>
              </w:rPr>
            </w:pPr>
            <w:r>
              <w:rPr>
                <w:rFonts w:ascii="Arial" w:cs="Arial" w:eastAsia="Arial" w:hAnsi="Arial"/>
                <w:sz w:val="18"/>
                <w:szCs w:val="18"/>
                <w:color w:val="auto"/>
                <w:w w:val="90"/>
              </w:rPr>
              <w:t>Registrant</w:t>
            </w:r>
          </w:p>
        </w:tc>
        <w:tc>
          <w:tcPr>
            <w:tcW w:w="2060" w:type="dxa"/>
            <w:vAlign w:val="bottom"/>
          </w:tcPr>
          <w:p>
            <w:pPr>
              <w:ind w:left="160"/>
              <w:spacing w:after="0"/>
              <w:rPr>
                <w:sz w:val="20"/>
                <w:szCs w:val="20"/>
                <w:color w:val="auto"/>
              </w:rPr>
            </w:pPr>
            <w:r>
              <w:rPr>
                <w:rFonts w:ascii="Arial" w:cs="Arial" w:eastAsia="Arial" w:hAnsi="Arial"/>
                <w:sz w:val="18"/>
                <w:szCs w:val="18"/>
                <w:color w:val="auto"/>
                <w:w w:val="98"/>
              </w:rPr>
              <w:t>Country of Organization</w:t>
            </w:r>
          </w:p>
        </w:tc>
        <w:tc>
          <w:tcPr>
            <w:tcW w:w="0" w:type="dxa"/>
            <w:vAlign w:val="bottom"/>
          </w:tcPr>
          <w:p>
            <w:pPr>
              <w:spacing w:after="0"/>
              <w:rPr>
                <w:sz w:val="1"/>
                <w:szCs w:val="1"/>
                <w:color w:val="auto"/>
              </w:rPr>
            </w:pPr>
          </w:p>
        </w:tc>
      </w:tr>
      <w:tr>
        <w:trPr>
          <w:trHeight w:val="27"/>
        </w:trPr>
        <w:tc>
          <w:tcPr>
            <w:tcW w:w="6680" w:type="dxa"/>
            <w:vAlign w:val="bottom"/>
            <w:vMerge w:val="restart"/>
          </w:tcPr>
          <w:p>
            <w:pPr>
              <w:ind w:left="20"/>
              <w:spacing w:after="0"/>
              <w:rPr>
                <w:sz w:val="20"/>
                <w:szCs w:val="20"/>
                <w:color w:val="auto"/>
              </w:rPr>
            </w:pPr>
            <w:r>
              <w:rPr>
                <w:rFonts w:ascii="Arial" w:cs="Arial" w:eastAsia="Arial" w:hAnsi="Arial"/>
                <w:sz w:val="18"/>
                <w:szCs w:val="18"/>
                <w:color w:val="auto"/>
              </w:rPr>
              <w:t xml:space="preserve">Aera Energy LLC </w:t>
            </w:r>
            <w:r>
              <w:rPr>
                <w:rFonts w:ascii="Arial" w:cs="Arial" w:eastAsia="Arial" w:hAnsi="Arial"/>
                <w:sz w:val="18"/>
                <w:szCs w:val="18"/>
                <w:i w:val="1"/>
                <w:iCs w:val="1"/>
                <w:color w:val="auto"/>
              </w:rPr>
              <w:t>(5)</w:t>
            </w:r>
          </w:p>
        </w:tc>
        <w:tc>
          <w:tcPr>
            <w:tcW w:w="204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680" w:type="dxa"/>
            <w:vAlign w:val="bottom"/>
            <w:vMerge w:val="continue"/>
          </w:tcPr>
          <w:p>
            <w:pPr>
              <w:spacing w:after="0"/>
              <w:rPr>
                <w:sz w:val="21"/>
                <w:szCs w:val="21"/>
                <w:color w:val="auto"/>
              </w:rPr>
            </w:pPr>
          </w:p>
        </w:tc>
        <w:tc>
          <w:tcPr>
            <w:tcW w:w="2040" w:type="dxa"/>
            <w:vAlign w:val="bottom"/>
          </w:tcPr>
          <w:p>
            <w:pPr>
              <w:jc w:val="center"/>
              <w:spacing w:after="0"/>
              <w:rPr>
                <w:sz w:val="20"/>
                <w:szCs w:val="20"/>
                <w:color w:val="auto"/>
              </w:rPr>
            </w:pPr>
            <w:r>
              <w:rPr>
                <w:rFonts w:ascii="Arial" w:cs="Arial" w:eastAsia="Arial" w:hAnsi="Arial"/>
                <w:sz w:val="18"/>
                <w:szCs w:val="18"/>
                <w:color w:val="auto"/>
                <w:w w:val="91"/>
              </w:rPr>
              <w:t>48.2</w:t>
            </w:r>
          </w:p>
        </w:tc>
        <w:tc>
          <w:tcPr>
            <w:tcW w:w="460" w:type="dxa"/>
            <w:vAlign w:val="bottom"/>
          </w:tcPr>
          <w:p>
            <w:pPr>
              <w:spacing w:after="0"/>
              <w:rPr>
                <w:sz w:val="21"/>
                <w:szCs w:val="21"/>
                <w:color w:val="auto"/>
              </w:rPr>
            </w:pPr>
          </w:p>
        </w:tc>
        <w:tc>
          <w:tcPr>
            <w:tcW w:w="2060" w:type="dxa"/>
            <w:vAlign w:val="bottom"/>
          </w:tcPr>
          <w:p>
            <w:pPr>
              <w:ind w:left="20"/>
              <w:spacing w:after="0"/>
              <w:rPr>
                <w:sz w:val="20"/>
                <w:szCs w:val="20"/>
                <w:color w:val="auto"/>
              </w:rPr>
            </w:pPr>
            <w:r>
              <w:rPr>
                <w:rFonts w:ascii="Arial" w:cs="Arial" w:eastAsia="Arial" w:hAnsi="Arial"/>
                <w:sz w:val="18"/>
                <w:szCs w:val="18"/>
                <w:color w:val="auto"/>
              </w:rPr>
              <w:t>California</w:t>
            </w:r>
          </w:p>
        </w:tc>
        <w:tc>
          <w:tcPr>
            <w:tcW w:w="0" w:type="dxa"/>
            <w:vAlign w:val="bottom"/>
          </w:tcPr>
          <w:p>
            <w:pPr>
              <w:spacing w:after="0"/>
              <w:rPr>
                <w:sz w:val="1"/>
                <w:szCs w:val="1"/>
                <w:color w:val="auto"/>
              </w:rPr>
            </w:pPr>
          </w:p>
        </w:tc>
      </w:tr>
      <w:tr>
        <w:trPr>
          <w:trHeight w:val="283"/>
        </w:trPr>
        <w:tc>
          <w:tcPr>
            <w:tcW w:w="6680" w:type="dxa"/>
            <w:vAlign w:val="bottom"/>
          </w:tcPr>
          <w:p>
            <w:pPr>
              <w:ind w:left="20"/>
              <w:spacing w:after="0"/>
              <w:rPr>
                <w:sz w:val="20"/>
                <w:szCs w:val="20"/>
                <w:color w:val="auto"/>
              </w:rPr>
            </w:pPr>
            <w:r>
              <w:rPr>
                <w:rFonts w:ascii="Arial" w:cs="Arial" w:eastAsia="Arial" w:hAnsi="Arial"/>
                <w:sz w:val="18"/>
                <w:szCs w:val="18"/>
                <w:color w:val="auto"/>
              </w:rPr>
              <w:t>AKG Marketing Company Limited</w:t>
            </w:r>
          </w:p>
        </w:tc>
        <w:tc>
          <w:tcPr>
            <w:tcW w:w="2040" w:type="dxa"/>
            <w:vAlign w:val="bottom"/>
          </w:tcPr>
          <w:p>
            <w:pPr>
              <w:jc w:val="center"/>
              <w:spacing w:after="0"/>
              <w:rPr>
                <w:sz w:val="20"/>
                <w:szCs w:val="20"/>
                <w:color w:val="auto"/>
              </w:rPr>
            </w:pPr>
            <w:r>
              <w:rPr>
                <w:rFonts w:ascii="Arial" w:cs="Arial" w:eastAsia="Arial" w:hAnsi="Arial"/>
                <w:sz w:val="18"/>
                <w:szCs w:val="18"/>
                <w:color w:val="auto"/>
                <w:w w:val="91"/>
              </w:rPr>
              <w:t>87.5</w:t>
            </w:r>
          </w:p>
        </w:tc>
        <w:tc>
          <w:tcPr>
            <w:tcW w:w="46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Arial" w:cs="Arial" w:eastAsia="Arial" w:hAnsi="Arial"/>
                <w:sz w:val="18"/>
                <w:szCs w:val="18"/>
                <w:color w:val="auto"/>
              </w:rPr>
              <w:t>Bahamas</w:t>
            </w:r>
          </w:p>
        </w:tc>
        <w:tc>
          <w:tcPr>
            <w:tcW w:w="0" w:type="dxa"/>
            <w:vAlign w:val="bottom"/>
          </w:tcPr>
          <w:p>
            <w:pPr>
              <w:spacing w:after="0"/>
              <w:rPr>
                <w:sz w:val="1"/>
                <w:szCs w:val="1"/>
                <w:color w:val="auto"/>
              </w:rPr>
            </w:pPr>
          </w:p>
        </w:tc>
      </w:tr>
      <w:tr>
        <w:trPr>
          <w:trHeight w:val="283"/>
        </w:trPr>
        <w:tc>
          <w:tcPr>
            <w:tcW w:w="6680" w:type="dxa"/>
            <w:vAlign w:val="bottom"/>
          </w:tcPr>
          <w:p>
            <w:pPr>
              <w:ind w:left="20"/>
              <w:spacing w:after="0"/>
              <w:rPr>
                <w:sz w:val="20"/>
                <w:szCs w:val="20"/>
                <w:color w:val="auto"/>
              </w:rPr>
            </w:pPr>
            <w:r>
              <w:rPr>
                <w:rFonts w:ascii="Arial" w:cs="Arial" w:eastAsia="Arial" w:hAnsi="Arial"/>
                <w:sz w:val="18"/>
                <w:szCs w:val="18"/>
                <w:color w:val="auto"/>
              </w:rPr>
              <w:t xml:space="preserve">Al-Jubail Petrochemical Company </w:t>
            </w:r>
            <w:r>
              <w:rPr>
                <w:rFonts w:ascii="Arial" w:cs="Arial" w:eastAsia="Arial" w:hAnsi="Arial"/>
                <w:sz w:val="18"/>
                <w:szCs w:val="18"/>
                <w:i w:val="1"/>
                <w:iCs w:val="1"/>
                <w:color w:val="auto"/>
              </w:rPr>
              <w:t>(4) (5)</w:t>
            </w:r>
          </w:p>
        </w:tc>
        <w:tc>
          <w:tcPr>
            <w:tcW w:w="204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46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Arial" w:cs="Arial" w:eastAsia="Arial" w:hAnsi="Arial"/>
                <w:sz w:val="18"/>
                <w:szCs w:val="18"/>
                <w:color w:val="auto"/>
              </w:rPr>
              <w:t>Saudi Arabia</w:t>
            </w:r>
          </w:p>
        </w:tc>
        <w:tc>
          <w:tcPr>
            <w:tcW w:w="0" w:type="dxa"/>
            <w:vAlign w:val="bottom"/>
          </w:tcPr>
          <w:p>
            <w:pPr>
              <w:spacing w:after="0"/>
              <w:rPr>
                <w:sz w:val="1"/>
                <w:szCs w:val="1"/>
                <w:color w:val="auto"/>
              </w:rPr>
            </w:pPr>
          </w:p>
        </w:tc>
      </w:tr>
      <w:tr>
        <w:trPr>
          <w:trHeight w:val="283"/>
        </w:trPr>
        <w:tc>
          <w:tcPr>
            <w:tcW w:w="6680" w:type="dxa"/>
            <w:vAlign w:val="bottom"/>
          </w:tcPr>
          <w:p>
            <w:pPr>
              <w:ind w:left="20"/>
              <w:spacing w:after="0"/>
              <w:rPr>
                <w:sz w:val="20"/>
                <w:szCs w:val="20"/>
                <w:color w:val="auto"/>
              </w:rPr>
            </w:pPr>
            <w:r>
              <w:rPr>
                <w:rFonts w:ascii="Arial" w:cs="Arial" w:eastAsia="Arial" w:hAnsi="Arial"/>
                <w:sz w:val="18"/>
                <w:szCs w:val="18"/>
                <w:color w:val="auto"/>
              </w:rPr>
              <w:t xml:space="preserve">Alberta Products Pipe Line Ltd. </w:t>
            </w:r>
            <w:r>
              <w:rPr>
                <w:rFonts w:ascii="Arial" w:cs="Arial" w:eastAsia="Arial" w:hAnsi="Arial"/>
                <w:sz w:val="18"/>
                <w:szCs w:val="18"/>
                <w:i w:val="1"/>
                <w:iCs w:val="1"/>
                <w:color w:val="auto"/>
              </w:rPr>
              <w:t>(5)</w:t>
            </w:r>
          </w:p>
        </w:tc>
        <w:tc>
          <w:tcPr>
            <w:tcW w:w="2040" w:type="dxa"/>
            <w:vAlign w:val="bottom"/>
          </w:tcPr>
          <w:p>
            <w:pPr>
              <w:jc w:val="center"/>
              <w:spacing w:after="0"/>
              <w:rPr>
                <w:sz w:val="20"/>
                <w:szCs w:val="20"/>
                <w:color w:val="auto"/>
              </w:rPr>
            </w:pPr>
            <w:r>
              <w:rPr>
                <w:rFonts w:ascii="Arial" w:cs="Arial" w:eastAsia="Arial" w:hAnsi="Arial"/>
                <w:sz w:val="18"/>
                <w:szCs w:val="18"/>
                <w:color w:val="auto"/>
                <w:w w:val="89"/>
              </w:rPr>
              <w:t>45</w:t>
            </w:r>
          </w:p>
        </w:tc>
        <w:tc>
          <w:tcPr>
            <w:tcW w:w="46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84"/>
        </w:trPr>
        <w:tc>
          <w:tcPr>
            <w:tcW w:w="6680" w:type="dxa"/>
            <w:vAlign w:val="bottom"/>
          </w:tcPr>
          <w:p>
            <w:pPr>
              <w:ind w:left="20"/>
              <w:spacing w:after="0"/>
              <w:rPr>
                <w:sz w:val="20"/>
                <w:szCs w:val="20"/>
                <w:color w:val="auto"/>
              </w:rPr>
            </w:pPr>
            <w:r>
              <w:rPr>
                <w:rFonts w:ascii="Arial" w:cs="Arial" w:eastAsia="Arial" w:hAnsi="Arial"/>
                <w:sz w:val="18"/>
                <w:szCs w:val="18"/>
                <w:color w:val="auto"/>
              </w:rPr>
              <w:t>Ancon Insurance Company, Inc.</w:t>
            </w:r>
          </w:p>
        </w:tc>
        <w:tc>
          <w:tcPr>
            <w:tcW w:w="2040" w:type="dxa"/>
            <w:vAlign w:val="bottom"/>
          </w:tcPr>
          <w:p>
            <w:pPr>
              <w:jc w:val="center"/>
              <w:spacing w:after="0"/>
              <w:rPr>
                <w:sz w:val="20"/>
                <w:szCs w:val="20"/>
                <w:color w:val="auto"/>
              </w:rPr>
            </w:pPr>
            <w:r>
              <w:rPr>
                <w:rFonts w:ascii="Arial" w:cs="Arial" w:eastAsia="Arial" w:hAnsi="Arial"/>
                <w:sz w:val="18"/>
                <w:szCs w:val="18"/>
                <w:color w:val="auto"/>
                <w:w w:val="93"/>
              </w:rPr>
              <w:t>100</w:t>
            </w:r>
          </w:p>
        </w:tc>
        <w:tc>
          <w:tcPr>
            <w:tcW w:w="46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Arial" w:cs="Arial" w:eastAsia="Arial" w:hAnsi="Arial"/>
                <w:sz w:val="18"/>
                <w:szCs w:val="18"/>
                <w:color w:val="auto"/>
              </w:rPr>
              <w:t>Vermont</w:t>
            </w:r>
          </w:p>
        </w:tc>
        <w:tc>
          <w:tcPr>
            <w:tcW w:w="0" w:type="dxa"/>
            <w:vAlign w:val="bottom"/>
          </w:tcPr>
          <w:p>
            <w:pPr>
              <w:spacing w:after="0"/>
              <w:rPr>
                <w:sz w:val="1"/>
                <w:szCs w:val="1"/>
                <w:color w:val="auto"/>
              </w:rPr>
            </w:pPr>
          </w:p>
        </w:tc>
      </w:tr>
      <w:tr>
        <w:trPr>
          <w:trHeight w:val="283"/>
        </w:trPr>
        <w:tc>
          <w:tcPr>
            <w:tcW w:w="6680" w:type="dxa"/>
            <w:vAlign w:val="bottom"/>
          </w:tcPr>
          <w:p>
            <w:pPr>
              <w:ind w:left="20"/>
              <w:spacing w:after="0"/>
              <w:rPr>
                <w:sz w:val="20"/>
                <w:szCs w:val="20"/>
                <w:color w:val="auto"/>
              </w:rPr>
            </w:pPr>
            <w:r>
              <w:rPr>
                <w:rFonts w:ascii="Arial" w:cs="Arial" w:eastAsia="Arial" w:hAnsi="Arial"/>
                <w:sz w:val="18"/>
                <w:szCs w:val="18"/>
                <w:color w:val="auto"/>
              </w:rPr>
              <w:t xml:space="preserve">Barzan Gas Company Limited </w:t>
            </w:r>
            <w:r>
              <w:rPr>
                <w:rFonts w:ascii="Arial" w:cs="Arial" w:eastAsia="Arial" w:hAnsi="Arial"/>
                <w:sz w:val="18"/>
                <w:szCs w:val="18"/>
                <w:i w:val="1"/>
                <w:iCs w:val="1"/>
                <w:color w:val="auto"/>
              </w:rPr>
              <w:t>(5)</w:t>
            </w:r>
          </w:p>
        </w:tc>
        <w:tc>
          <w:tcPr>
            <w:tcW w:w="2040" w:type="dxa"/>
            <w:vAlign w:val="bottom"/>
          </w:tcPr>
          <w:p>
            <w:pPr>
              <w:jc w:val="center"/>
              <w:spacing w:after="0"/>
              <w:rPr>
                <w:sz w:val="20"/>
                <w:szCs w:val="20"/>
                <w:color w:val="auto"/>
              </w:rPr>
            </w:pPr>
            <w:r>
              <w:rPr>
                <w:rFonts w:ascii="Arial" w:cs="Arial" w:eastAsia="Arial" w:hAnsi="Arial"/>
                <w:sz w:val="18"/>
                <w:szCs w:val="18"/>
                <w:color w:val="auto"/>
                <w:w w:val="79"/>
              </w:rPr>
              <w:t>7</w:t>
            </w:r>
          </w:p>
        </w:tc>
        <w:tc>
          <w:tcPr>
            <w:tcW w:w="46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Arial" w:cs="Arial" w:eastAsia="Arial" w:hAnsi="Arial"/>
                <w:sz w:val="18"/>
                <w:szCs w:val="18"/>
                <w:color w:val="auto"/>
              </w:rPr>
              <w:t>Qatar</w:t>
            </w:r>
          </w:p>
        </w:tc>
        <w:tc>
          <w:tcPr>
            <w:tcW w:w="0" w:type="dxa"/>
            <w:vAlign w:val="bottom"/>
          </w:tcPr>
          <w:p>
            <w:pPr>
              <w:spacing w:after="0"/>
              <w:rPr>
                <w:sz w:val="1"/>
                <w:szCs w:val="1"/>
                <w:color w:val="auto"/>
              </w:rPr>
            </w:pPr>
          </w:p>
        </w:tc>
      </w:tr>
      <w:tr>
        <w:trPr>
          <w:trHeight w:val="283"/>
        </w:trPr>
        <w:tc>
          <w:tcPr>
            <w:tcW w:w="6680" w:type="dxa"/>
            <w:vAlign w:val="bottom"/>
          </w:tcPr>
          <w:p>
            <w:pPr>
              <w:ind w:left="20"/>
              <w:spacing w:after="0"/>
              <w:rPr>
                <w:sz w:val="20"/>
                <w:szCs w:val="20"/>
                <w:color w:val="auto"/>
              </w:rPr>
            </w:pPr>
            <w:r>
              <w:rPr>
                <w:rFonts w:ascii="Arial" w:cs="Arial" w:eastAsia="Arial" w:hAnsi="Arial"/>
                <w:sz w:val="18"/>
                <w:szCs w:val="18"/>
                <w:color w:val="auto"/>
              </w:rPr>
              <w:t xml:space="preserve">BEB Erdgas und Erdoel GmbH &amp; Co. KG </w:t>
            </w:r>
            <w:r>
              <w:rPr>
                <w:rFonts w:ascii="Arial" w:cs="Arial" w:eastAsia="Arial" w:hAnsi="Arial"/>
                <w:sz w:val="18"/>
                <w:szCs w:val="18"/>
                <w:i w:val="1"/>
                <w:iCs w:val="1"/>
                <w:color w:val="auto"/>
              </w:rPr>
              <w:t>(4) (5)</w:t>
            </w:r>
          </w:p>
        </w:tc>
        <w:tc>
          <w:tcPr>
            <w:tcW w:w="204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46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83"/>
        </w:trPr>
        <w:tc>
          <w:tcPr>
            <w:tcW w:w="6680" w:type="dxa"/>
            <w:vAlign w:val="bottom"/>
          </w:tcPr>
          <w:p>
            <w:pPr>
              <w:ind w:left="20"/>
              <w:spacing w:after="0"/>
              <w:rPr>
                <w:sz w:val="20"/>
                <w:szCs w:val="20"/>
                <w:color w:val="auto"/>
              </w:rPr>
            </w:pPr>
            <w:r>
              <w:rPr>
                <w:rFonts w:ascii="Arial" w:cs="Arial" w:eastAsia="Arial" w:hAnsi="Arial"/>
                <w:sz w:val="18"/>
                <w:szCs w:val="18"/>
                <w:color w:val="auto"/>
              </w:rPr>
              <w:t>Canada Imperial Oil Limited</w:t>
            </w:r>
          </w:p>
        </w:tc>
        <w:tc>
          <w:tcPr>
            <w:tcW w:w="2040" w:type="dxa"/>
            <w:vAlign w:val="bottom"/>
          </w:tcPr>
          <w:p>
            <w:pPr>
              <w:jc w:val="center"/>
              <w:spacing w:after="0"/>
              <w:rPr>
                <w:sz w:val="20"/>
                <w:szCs w:val="20"/>
                <w:color w:val="auto"/>
              </w:rPr>
            </w:pPr>
            <w:r>
              <w:rPr>
                <w:rFonts w:ascii="Arial" w:cs="Arial" w:eastAsia="Arial" w:hAnsi="Arial"/>
                <w:sz w:val="18"/>
                <w:szCs w:val="18"/>
                <w:color w:val="auto"/>
                <w:w w:val="91"/>
              </w:rPr>
              <w:t>69.6</w:t>
            </w:r>
          </w:p>
        </w:tc>
        <w:tc>
          <w:tcPr>
            <w:tcW w:w="46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83"/>
        </w:trPr>
        <w:tc>
          <w:tcPr>
            <w:tcW w:w="6680" w:type="dxa"/>
            <w:vAlign w:val="bottom"/>
          </w:tcPr>
          <w:p>
            <w:pPr>
              <w:ind w:left="20"/>
              <w:spacing w:after="0"/>
              <w:rPr>
                <w:sz w:val="20"/>
                <w:szCs w:val="20"/>
                <w:color w:val="auto"/>
              </w:rPr>
            </w:pPr>
            <w:r>
              <w:rPr>
                <w:rFonts w:ascii="Arial" w:cs="Arial" w:eastAsia="Arial" w:hAnsi="Arial"/>
                <w:sz w:val="18"/>
                <w:szCs w:val="18"/>
                <w:color w:val="auto"/>
              </w:rPr>
              <w:t xml:space="preserve">Caspian Pipeline Consortium </w:t>
            </w:r>
            <w:r>
              <w:rPr>
                <w:rFonts w:ascii="Arial" w:cs="Arial" w:eastAsia="Arial" w:hAnsi="Arial"/>
                <w:sz w:val="18"/>
                <w:szCs w:val="18"/>
                <w:i w:val="1"/>
                <w:iCs w:val="1"/>
                <w:color w:val="auto"/>
              </w:rPr>
              <w:t>(5)</w:t>
            </w:r>
          </w:p>
        </w:tc>
        <w:tc>
          <w:tcPr>
            <w:tcW w:w="2040" w:type="dxa"/>
            <w:vAlign w:val="bottom"/>
          </w:tcPr>
          <w:p>
            <w:pPr>
              <w:jc w:val="center"/>
              <w:spacing w:after="0"/>
              <w:rPr>
                <w:sz w:val="20"/>
                <w:szCs w:val="20"/>
                <w:color w:val="auto"/>
              </w:rPr>
            </w:pPr>
            <w:r>
              <w:rPr>
                <w:rFonts w:ascii="Arial" w:cs="Arial" w:eastAsia="Arial" w:hAnsi="Arial"/>
                <w:sz w:val="18"/>
                <w:szCs w:val="18"/>
                <w:color w:val="auto"/>
                <w:w w:val="91"/>
              </w:rPr>
              <w:t>7.50</w:t>
            </w:r>
          </w:p>
        </w:tc>
        <w:tc>
          <w:tcPr>
            <w:tcW w:w="46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Arial" w:cs="Arial" w:eastAsia="Arial" w:hAnsi="Arial"/>
                <w:sz w:val="18"/>
                <w:szCs w:val="18"/>
                <w:color w:val="auto"/>
              </w:rPr>
              <w:t>Russia/Kazakhstan</w:t>
            </w:r>
          </w:p>
        </w:tc>
        <w:tc>
          <w:tcPr>
            <w:tcW w:w="0" w:type="dxa"/>
            <w:vAlign w:val="bottom"/>
          </w:tcPr>
          <w:p>
            <w:pPr>
              <w:spacing w:after="0"/>
              <w:rPr>
                <w:sz w:val="1"/>
                <w:szCs w:val="1"/>
                <w:color w:val="auto"/>
              </w:rPr>
            </w:pPr>
          </w:p>
        </w:tc>
      </w:tr>
      <w:tr>
        <w:trPr>
          <w:trHeight w:val="283"/>
        </w:trPr>
        <w:tc>
          <w:tcPr>
            <w:tcW w:w="6680" w:type="dxa"/>
            <w:vAlign w:val="bottom"/>
          </w:tcPr>
          <w:p>
            <w:pPr>
              <w:ind w:left="20"/>
              <w:spacing w:after="0"/>
              <w:rPr>
                <w:sz w:val="20"/>
                <w:szCs w:val="20"/>
                <w:color w:val="auto"/>
              </w:rPr>
            </w:pPr>
            <w:r>
              <w:rPr>
                <w:rFonts w:ascii="Arial" w:cs="Arial" w:eastAsia="Arial" w:hAnsi="Arial"/>
                <w:sz w:val="18"/>
                <w:szCs w:val="18"/>
                <w:color w:val="auto"/>
              </w:rPr>
              <w:t xml:space="preserve">CORAL FLNG, S.A. </w:t>
            </w:r>
            <w:r>
              <w:rPr>
                <w:rFonts w:ascii="Arial" w:cs="Arial" w:eastAsia="Arial" w:hAnsi="Arial"/>
                <w:sz w:val="18"/>
                <w:szCs w:val="18"/>
                <w:i w:val="1"/>
                <w:iCs w:val="1"/>
                <w:color w:val="auto"/>
              </w:rPr>
              <w:t>(5)</w:t>
            </w:r>
          </w:p>
        </w:tc>
        <w:tc>
          <w:tcPr>
            <w:tcW w:w="2040" w:type="dxa"/>
            <w:vAlign w:val="bottom"/>
          </w:tcPr>
          <w:p>
            <w:pPr>
              <w:jc w:val="center"/>
              <w:spacing w:after="0"/>
              <w:rPr>
                <w:sz w:val="20"/>
                <w:szCs w:val="20"/>
                <w:color w:val="auto"/>
              </w:rPr>
            </w:pPr>
            <w:r>
              <w:rPr>
                <w:rFonts w:ascii="Arial" w:cs="Arial" w:eastAsia="Arial" w:hAnsi="Arial"/>
                <w:sz w:val="18"/>
                <w:szCs w:val="18"/>
                <w:color w:val="auto"/>
                <w:w w:val="89"/>
              </w:rPr>
              <w:t>25</w:t>
            </w:r>
          </w:p>
        </w:tc>
        <w:tc>
          <w:tcPr>
            <w:tcW w:w="46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Arial" w:cs="Arial" w:eastAsia="Arial" w:hAnsi="Arial"/>
                <w:sz w:val="18"/>
                <w:szCs w:val="18"/>
                <w:color w:val="auto"/>
              </w:rPr>
              <w:t>Mozambique</w:t>
            </w:r>
          </w:p>
        </w:tc>
        <w:tc>
          <w:tcPr>
            <w:tcW w:w="0" w:type="dxa"/>
            <w:vAlign w:val="bottom"/>
          </w:tcPr>
          <w:p>
            <w:pPr>
              <w:spacing w:after="0"/>
              <w:rPr>
                <w:sz w:val="1"/>
                <w:szCs w:val="1"/>
                <w:color w:val="auto"/>
              </w:rPr>
            </w:pPr>
          </w:p>
        </w:tc>
      </w:tr>
      <w:tr>
        <w:trPr>
          <w:trHeight w:val="284"/>
        </w:trPr>
        <w:tc>
          <w:tcPr>
            <w:tcW w:w="6680" w:type="dxa"/>
            <w:vAlign w:val="bottom"/>
          </w:tcPr>
          <w:p>
            <w:pPr>
              <w:ind w:left="20"/>
              <w:spacing w:after="0"/>
              <w:rPr>
                <w:sz w:val="20"/>
                <w:szCs w:val="20"/>
                <w:color w:val="auto"/>
              </w:rPr>
            </w:pPr>
            <w:r>
              <w:rPr>
                <w:rFonts w:ascii="Arial" w:cs="Arial" w:eastAsia="Arial" w:hAnsi="Arial"/>
                <w:sz w:val="18"/>
                <w:szCs w:val="18"/>
                <w:color w:val="auto"/>
              </w:rPr>
              <w:t xml:space="preserve">Cross Timbers Energy, LLC </w:t>
            </w:r>
            <w:r>
              <w:rPr>
                <w:rFonts w:ascii="Arial" w:cs="Arial" w:eastAsia="Arial" w:hAnsi="Arial"/>
                <w:sz w:val="18"/>
                <w:szCs w:val="18"/>
                <w:i w:val="1"/>
                <w:iCs w:val="1"/>
                <w:color w:val="auto"/>
              </w:rPr>
              <w:t>(4) (5)</w:t>
            </w:r>
          </w:p>
        </w:tc>
        <w:tc>
          <w:tcPr>
            <w:tcW w:w="204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46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83"/>
        </w:trPr>
        <w:tc>
          <w:tcPr>
            <w:tcW w:w="6680" w:type="dxa"/>
            <w:vAlign w:val="bottom"/>
          </w:tcPr>
          <w:p>
            <w:pPr>
              <w:ind w:left="20"/>
              <w:spacing w:after="0"/>
              <w:rPr>
                <w:sz w:val="20"/>
                <w:szCs w:val="20"/>
                <w:color w:val="auto"/>
              </w:rPr>
            </w:pPr>
            <w:r>
              <w:rPr>
                <w:rFonts w:ascii="Arial" w:cs="Arial" w:eastAsia="Arial" w:hAnsi="Arial"/>
                <w:sz w:val="18"/>
                <w:szCs w:val="18"/>
                <w:color w:val="auto"/>
              </w:rPr>
              <w:t>Ellora Energy Inc.</w:t>
            </w:r>
          </w:p>
        </w:tc>
        <w:tc>
          <w:tcPr>
            <w:tcW w:w="2040" w:type="dxa"/>
            <w:vAlign w:val="bottom"/>
          </w:tcPr>
          <w:p>
            <w:pPr>
              <w:jc w:val="center"/>
              <w:spacing w:after="0"/>
              <w:rPr>
                <w:sz w:val="20"/>
                <w:szCs w:val="20"/>
                <w:color w:val="auto"/>
              </w:rPr>
            </w:pPr>
            <w:r>
              <w:rPr>
                <w:rFonts w:ascii="Arial" w:cs="Arial" w:eastAsia="Arial" w:hAnsi="Arial"/>
                <w:sz w:val="18"/>
                <w:szCs w:val="18"/>
                <w:color w:val="auto"/>
                <w:w w:val="93"/>
              </w:rPr>
              <w:t>100</w:t>
            </w:r>
          </w:p>
        </w:tc>
        <w:tc>
          <w:tcPr>
            <w:tcW w:w="46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83"/>
        </w:trPr>
        <w:tc>
          <w:tcPr>
            <w:tcW w:w="6680" w:type="dxa"/>
            <w:vAlign w:val="bottom"/>
          </w:tcPr>
          <w:p>
            <w:pPr>
              <w:ind w:left="20"/>
              <w:spacing w:after="0"/>
              <w:rPr>
                <w:sz w:val="20"/>
                <w:szCs w:val="20"/>
                <w:color w:val="auto"/>
              </w:rPr>
            </w:pPr>
            <w:r>
              <w:rPr>
                <w:rFonts w:ascii="Arial" w:cs="Arial" w:eastAsia="Arial" w:hAnsi="Arial"/>
                <w:sz w:val="18"/>
                <w:szCs w:val="18"/>
                <w:color w:val="auto"/>
              </w:rPr>
              <w:t>Esso Australia Resources Pty Ltd</w:t>
            </w:r>
          </w:p>
        </w:tc>
        <w:tc>
          <w:tcPr>
            <w:tcW w:w="2040" w:type="dxa"/>
            <w:vAlign w:val="bottom"/>
          </w:tcPr>
          <w:p>
            <w:pPr>
              <w:jc w:val="center"/>
              <w:spacing w:after="0"/>
              <w:rPr>
                <w:sz w:val="20"/>
                <w:szCs w:val="20"/>
                <w:color w:val="auto"/>
              </w:rPr>
            </w:pPr>
            <w:r>
              <w:rPr>
                <w:rFonts w:ascii="Arial" w:cs="Arial" w:eastAsia="Arial" w:hAnsi="Arial"/>
                <w:sz w:val="18"/>
                <w:szCs w:val="18"/>
                <w:color w:val="auto"/>
                <w:w w:val="93"/>
              </w:rPr>
              <w:t>100</w:t>
            </w:r>
          </w:p>
        </w:tc>
        <w:tc>
          <w:tcPr>
            <w:tcW w:w="46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Arial" w:cs="Arial" w:eastAsia="Arial" w:hAnsi="Arial"/>
                <w:sz w:val="18"/>
                <w:szCs w:val="18"/>
                <w:color w:val="auto"/>
              </w:rPr>
              <w:t>Australia</w:t>
            </w:r>
          </w:p>
        </w:tc>
        <w:tc>
          <w:tcPr>
            <w:tcW w:w="0" w:type="dxa"/>
            <w:vAlign w:val="bottom"/>
          </w:tcPr>
          <w:p>
            <w:pPr>
              <w:spacing w:after="0"/>
              <w:rPr>
                <w:sz w:val="1"/>
                <w:szCs w:val="1"/>
                <w:color w:val="auto"/>
              </w:rPr>
            </w:pPr>
          </w:p>
        </w:tc>
      </w:tr>
      <w:tr>
        <w:trPr>
          <w:trHeight w:val="283"/>
        </w:trPr>
        <w:tc>
          <w:tcPr>
            <w:tcW w:w="6680" w:type="dxa"/>
            <w:vAlign w:val="bottom"/>
          </w:tcPr>
          <w:p>
            <w:pPr>
              <w:ind w:left="20"/>
              <w:spacing w:after="0"/>
              <w:rPr>
                <w:sz w:val="20"/>
                <w:szCs w:val="20"/>
                <w:color w:val="auto"/>
              </w:rPr>
            </w:pPr>
            <w:r>
              <w:rPr>
                <w:rFonts w:ascii="Arial" w:cs="Arial" w:eastAsia="Arial" w:hAnsi="Arial"/>
                <w:sz w:val="18"/>
                <w:szCs w:val="18"/>
                <w:color w:val="auto"/>
              </w:rPr>
              <w:t>Esso Deutschland GmbH</w:t>
            </w:r>
          </w:p>
        </w:tc>
        <w:tc>
          <w:tcPr>
            <w:tcW w:w="2040" w:type="dxa"/>
            <w:vAlign w:val="bottom"/>
          </w:tcPr>
          <w:p>
            <w:pPr>
              <w:jc w:val="center"/>
              <w:spacing w:after="0"/>
              <w:rPr>
                <w:sz w:val="20"/>
                <w:szCs w:val="20"/>
                <w:color w:val="auto"/>
              </w:rPr>
            </w:pPr>
            <w:r>
              <w:rPr>
                <w:rFonts w:ascii="Arial" w:cs="Arial" w:eastAsia="Arial" w:hAnsi="Arial"/>
                <w:sz w:val="18"/>
                <w:szCs w:val="18"/>
                <w:color w:val="auto"/>
                <w:w w:val="93"/>
              </w:rPr>
              <w:t>100</w:t>
            </w:r>
          </w:p>
        </w:tc>
        <w:tc>
          <w:tcPr>
            <w:tcW w:w="46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84"/>
        </w:trPr>
        <w:tc>
          <w:tcPr>
            <w:tcW w:w="6680" w:type="dxa"/>
            <w:vAlign w:val="bottom"/>
          </w:tcPr>
          <w:p>
            <w:pPr>
              <w:ind w:left="20"/>
              <w:spacing w:after="0"/>
              <w:rPr>
                <w:sz w:val="20"/>
                <w:szCs w:val="20"/>
                <w:color w:val="auto"/>
              </w:rPr>
            </w:pPr>
            <w:r>
              <w:rPr>
                <w:rFonts w:ascii="Arial" w:cs="Arial" w:eastAsia="Arial" w:hAnsi="Arial"/>
                <w:sz w:val="18"/>
                <w:szCs w:val="18"/>
                <w:color w:val="auto"/>
              </w:rPr>
              <w:t>Esso Erdgas Beteiligungsgesellschaft mbH</w:t>
            </w:r>
          </w:p>
        </w:tc>
        <w:tc>
          <w:tcPr>
            <w:tcW w:w="2040" w:type="dxa"/>
            <w:vAlign w:val="bottom"/>
          </w:tcPr>
          <w:p>
            <w:pPr>
              <w:jc w:val="center"/>
              <w:spacing w:after="0"/>
              <w:rPr>
                <w:sz w:val="20"/>
                <w:szCs w:val="20"/>
                <w:color w:val="auto"/>
              </w:rPr>
            </w:pPr>
            <w:r>
              <w:rPr>
                <w:rFonts w:ascii="Arial" w:cs="Arial" w:eastAsia="Arial" w:hAnsi="Arial"/>
                <w:sz w:val="18"/>
                <w:szCs w:val="18"/>
                <w:color w:val="auto"/>
                <w:w w:val="93"/>
              </w:rPr>
              <w:t>100</w:t>
            </w:r>
          </w:p>
        </w:tc>
        <w:tc>
          <w:tcPr>
            <w:tcW w:w="46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83"/>
        </w:trPr>
        <w:tc>
          <w:tcPr>
            <w:tcW w:w="6680" w:type="dxa"/>
            <w:vAlign w:val="bottom"/>
          </w:tcPr>
          <w:p>
            <w:pPr>
              <w:ind w:left="20"/>
              <w:spacing w:after="0"/>
              <w:rPr>
                <w:sz w:val="20"/>
                <w:szCs w:val="20"/>
                <w:color w:val="auto"/>
              </w:rPr>
            </w:pPr>
            <w:r>
              <w:rPr>
                <w:rFonts w:ascii="Arial" w:cs="Arial" w:eastAsia="Arial" w:hAnsi="Arial"/>
                <w:sz w:val="18"/>
                <w:szCs w:val="18"/>
                <w:color w:val="auto"/>
              </w:rPr>
              <w:t>Esso Exploration and Production Angola (Overseas) Limited</w:t>
            </w:r>
          </w:p>
        </w:tc>
        <w:tc>
          <w:tcPr>
            <w:tcW w:w="2040" w:type="dxa"/>
            <w:vAlign w:val="bottom"/>
          </w:tcPr>
          <w:p>
            <w:pPr>
              <w:jc w:val="center"/>
              <w:spacing w:after="0"/>
              <w:rPr>
                <w:sz w:val="20"/>
                <w:szCs w:val="20"/>
                <w:color w:val="auto"/>
              </w:rPr>
            </w:pPr>
            <w:r>
              <w:rPr>
                <w:rFonts w:ascii="Arial" w:cs="Arial" w:eastAsia="Arial" w:hAnsi="Arial"/>
                <w:sz w:val="18"/>
                <w:szCs w:val="18"/>
                <w:color w:val="auto"/>
                <w:w w:val="93"/>
              </w:rPr>
              <w:t>100</w:t>
            </w:r>
          </w:p>
        </w:tc>
        <w:tc>
          <w:tcPr>
            <w:tcW w:w="46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Arial" w:cs="Arial" w:eastAsia="Arial" w:hAnsi="Arial"/>
                <w:sz w:val="18"/>
                <w:szCs w:val="18"/>
                <w:color w:val="auto"/>
              </w:rPr>
              <w:t>Bahamas</w:t>
            </w:r>
          </w:p>
        </w:tc>
        <w:tc>
          <w:tcPr>
            <w:tcW w:w="0" w:type="dxa"/>
            <w:vAlign w:val="bottom"/>
          </w:tcPr>
          <w:p>
            <w:pPr>
              <w:spacing w:after="0"/>
              <w:rPr>
                <w:sz w:val="1"/>
                <w:szCs w:val="1"/>
                <w:color w:val="auto"/>
              </w:rPr>
            </w:pPr>
          </w:p>
        </w:tc>
      </w:tr>
      <w:tr>
        <w:trPr>
          <w:trHeight w:val="283"/>
        </w:trPr>
        <w:tc>
          <w:tcPr>
            <w:tcW w:w="6680" w:type="dxa"/>
            <w:vAlign w:val="bottom"/>
          </w:tcPr>
          <w:p>
            <w:pPr>
              <w:ind w:left="20"/>
              <w:spacing w:after="0"/>
              <w:rPr>
                <w:sz w:val="20"/>
                <w:szCs w:val="20"/>
                <w:color w:val="auto"/>
              </w:rPr>
            </w:pPr>
            <w:r>
              <w:rPr>
                <w:rFonts w:ascii="Arial" w:cs="Arial" w:eastAsia="Arial" w:hAnsi="Arial"/>
                <w:sz w:val="18"/>
                <w:szCs w:val="18"/>
                <w:color w:val="auto"/>
              </w:rPr>
              <w:t>Esso Exploration and Production Chad Inc.</w:t>
            </w:r>
          </w:p>
        </w:tc>
        <w:tc>
          <w:tcPr>
            <w:tcW w:w="2040" w:type="dxa"/>
            <w:vAlign w:val="bottom"/>
          </w:tcPr>
          <w:p>
            <w:pPr>
              <w:jc w:val="center"/>
              <w:spacing w:after="0"/>
              <w:rPr>
                <w:sz w:val="20"/>
                <w:szCs w:val="20"/>
                <w:color w:val="auto"/>
              </w:rPr>
            </w:pPr>
            <w:r>
              <w:rPr>
                <w:rFonts w:ascii="Arial" w:cs="Arial" w:eastAsia="Arial" w:hAnsi="Arial"/>
                <w:sz w:val="18"/>
                <w:szCs w:val="18"/>
                <w:color w:val="auto"/>
                <w:w w:val="93"/>
              </w:rPr>
              <w:t>100</w:t>
            </w:r>
          </w:p>
        </w:tc>
        <w:tc>
          <w:tcPr>
            <w:tcW w:w="46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Arial" w:cs="Arial" w:eastAsia="Arial" w:hAnsi="Arial"/>
                <w:sz w:val="18"/>
                <w:szCs w:val="18"/>
                <w:color w:val="auto"/>
              </w:rPr>
              <w:t>Bahamas</w:t>
            </w:r>
          </w:p>
        </w:tc>
        <w:tc>
          <w:tcPr>
            <w:tcW w:w="0" w:type="dxa"/>
            <w:vAlign w:val="bottom"/>
          </w:tcPr>
          <w:p>
            <w:pPr>
              <w:spacing w:after="0"/>
              <w:rPr>
                <w:sz w:val="1"/>
                <w:szCs w:val="1"/>
                <w:color w:val="auto"/>
              </w:rPr>
            </w:pPr>
          </w:p>
        </w:tc>
      </w:tr>
      <w:tr>
        <w:trPr>
          <w:trHeight w:val="284"/>
        </w:trPr>
        <w:tc>
          <w:tcPr>
            <w:tcW w:w="6680" w:type="dxa"/>
            <w:vAlign w:val="bottom"/>
          </w:tcPr>
          <w:p>
            <w:pPr>
              <w:ind w:left="20"/>
              <w:spacing w:after="0"/>
              <w:rPr>
                <w:sz w:val="20"/>
                <w:szCs w:val="20"/>
                <w:color w:val="auto"/>
              </w:rPr>
            </w:pPr>
            <w:r>
              <w:rPr>
                <w:rFonts w:ascii="Arial" w:cs="Arial" w:eastAsia="Arial" w:hAnsi="Arial"/>
                <w:sz w:val="18"/>
                <w:szCs w:val="18"/>
                <w:color w:val="auto"/>
              </w:rPr>
              <w:t>Esso Exploration and Production Guyana Limited</w:t>
            </w:r>
          </w:p>
        </w:tc>
        <w:tc>
          <w:tcPr>
            <w:tcW w:w="2040" w:type="dxa"/>
            <w:vAlign w:val="bottom"/>
          </w:tcPr>
          <w:p>
            <w:pPr>
              <w:jc w:val="center"/>
              <w:spacing w:after="0"/>
              <w:rPr>
                <w:sz w:val="20"/>
                <w:szCs w:val="20"/>
                <w:color w:val="auto"/>
              </w:rPr>
            </w:pPr>
            <w:r>
              <w:rPr>
                <w:rFonts w:ascii="Arial" w:cs="Arial" w:eastAsia="Arial" w:hAnsi="Arial"/>
                <w:sz w:val="18"/>
                <w:szCs w:val="18"/>
                <w:color w:val="auto"/>
                <w:w w:val="93"/>
              </w:rPr>
              <w:t>100</w:t>
            </w:r>
          </w:p>
        </w:tc>
        <w:tc>
          <w:tcPr>
            <w:tcW w:w="46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Arial" w:cs="Arial" w:eastAsia="Arial" w:hAnsi="Arial"/>
                <w:sz w:val="18"/>
                <w:szCs w:val="18"/>
                <w:color w:val="auto"/>
              </w:rPr>
              <w:t>Bahamas</w:t>
            </w:r>
          </w:p>
        </w:tc>
        <w:tc>
          <w:tcPr>
            <w:tcW w:w="0" w:type="dxa"/>
            <w:vAlign w:val="bottom"/>
          </w:tcPr>
          <w:p>
            <w:pPr>
              <w:spacing w:after="0"/>
              <w:rPr>
                <w:sz w:val="1"/>
                <w:szCs w:val="1"/>
                <w:color w:val="auto"/>
              </w:rPr>
            </w:pPr>
          </w:p>
        </w:tc>
      </w:tr>
      <w:tr>
        <w:trPr>
          <w:trHeight w:val="283"/>
        </w:trPr>
        <w:tc>
          <w:tcPr>
            <w:tcW w:w="6680" w:type="dxa"/>
            <w:vAlign w:val="bottom"/>
          </w:tcPr>
          <w:p>
            <w:pPr>
              <w:ind w:left="20"/>
              <w:spacing w:after="0"/>
              <w:rPr>
                <w:sz w:val="20"/>
                <w:szCs w:val="20"/>
                <w:color w:val="auto"/>
              </w:rPr>
            </w:pPr>
            <w:r>
              <w:rPr>
                <w:rFonts w:ascii="Arial" w:cs="Arial" w:eastAsia="Arial" w:hAnsi="Arial"/>
                <w:sz w:val="18"/>
                <w:szCs w:val="18"/>
                <w:color w:val="auto"/>
              </w:rPr>
              <w:t>Esso Exploration and Production Nigeria (Deepwater) Limited</w:t>
            </w:r>
          </w:p>
        </w:tc>
        <w:tc>
          <w:tcPr>
            <w:tcW w:w="2040" w:type="dxa"/>
            <w:vAlign w:val="bottom"/>
          </w:tcPr>
          <w:p>
            <w:pPr>
              <w:jc w:val="center"/>
              <w:spacing w:after="0"/>
              <w:rPr>
                <w:sz w:val="20"/>
                <w:szCs w:val="20"/>
                <w:color w:val="auto"/>
              </w:rPr>
            </w:pPr>
            <w:r>
              <w:rPr>
                <w:rFonts w:ascii="Arial" w:cs="Arial" w:eastAsia="Arial" w:hAnsi="Arial"/>
                <w:sz w:val="18"/>
                <w:szCs w:val="18"/>
                <w:color w:val="auto"/>
                <w:w w:val="93"/>
              </w:rPr>
              <w:t>100</w:t>
            </w:r>
          </w:p>
        </w:tc>
        <w:tc>
          <w:tcPr>
            <w:tcW w:w="46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Arial" w:cs="Arial" w:eastAsia="Arial" w:hAnsi="Arial"/>
                <w:sz w:val="18"/>
                <w:szCs w:val="18"/>
                <w:color w:val="auto"/>
              </w:rPr>
              <w:t>Nigeria</w:t>
            </w:r>
          </w:p>
        </w:tc>
        <w:tc>
          <w:tcPr>
            <w:tcW w:w="0" w:type="dxa"/>
            <w:vAlign w:val="bottom"/>
          </w:tcPr>
          <w:p>
            <w:pPr>
              <w:spacing w:after="0"/>
              <w:rPr>
                <w:sz w:val="1"/>
                <w:szCs w:val="1"/>
                <w:color w:val="auto"/>
              </w:rPr>
            </w:pPr>
          </w:p>
        </w:tc>
      </w:tr>
      <w:tr>
        <w:trPr>
          <w:trHeight w:val="283"/>
        </w:trPr>
        <w:tc>
          <w:tcPr>
            <w:tcW w:w="6680" w:type="dxa"/>
            <w:vAlign w:val="bottom"/>
          </w:tcPr>
          <w:p>
            <w:pPr>
              <w:ind w:left="20"/>
              <w:spacing w:after="0"/>
              <w:rPr>
                <w:sz w:val="20"/>
                <w:szCs w:val="20"/>
                <w:color w:val="auto"/>
              </w:rPr>
            </w:pPr>
            <w:r>
              <w:rPr>
                <w:rFonts w:ascii="Arial" w:cs="Arial" w:eastAsia="Arial" w:hAnsi="Arial"/>
                <w:sz w:val="18"/>
                <w:szCs w:val="18"/>
                <w:color w:val="auto"/>
              </w:rPr>
              <w:t>Esso Exploration and Production Nigeria Limited</w:t>
            </w:r>
          </w:p>
        </w:tc>
        <w:tc>
          <w:tcPr>
            <w:tcW w:w="2040" w:type="dxa"/>
            <w:vAlign w:val="bottom"/>
          </w:tcPr>
          <w:p>
            <w:pPr>
              <w:jc w:val="center"/>
              <w:spacing w:after="0"/>
              <w:rPr>
                <w:sz w:val="20"/>
                <w:szCs w:val="20"/>
                <w:color w:val="auto"/>
              </w:rPr>
            </w:pPr>
            <w:r>
              <w:rPr>
                <w:rFonts w:ascii="Arial" w:cs="Arial" w:eastAsia="Arial" w:hAnsi="Arial"/>
                <w:sz w:val="18"/>
                <w:szCs w:val="18"/>
                <w:color w:val="auto"/>
                <w:w w:val="93"/>
              </w:rPr>
              <w:t>100</w:t>
            </w:r>
          </w:p>
        </w:tc>
        <w:tc>
          <w:tcPr>
            <w:tcW w:w="46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Arial" w:cs="Arial" w:eastAsia="Arial" w:hAnsi="Arial"/>
                <w:sz w:val="18"/>
                <w:szCs w:val="18"/>
                <w:color w:val="auto"/>
              </w:rPr>
              <w:t>Nigeria</w:t>
            </w:r>
          </w:p>
        </w:tc>
        <w:tc>
          <w:tcPr>
            <w:tcW w:w="0" w:type="dxa"/>
            <w:vAlign w:val="bottom"/>
          </w:tcPr>
          <w:p>
            <w:pPr>
              <w:spacing w:after="0"/>
              <w:rPr>
                <w:sz w:val="1"/>
                <w:szCs w:val="1"/>
                <w:color w:val="auto"/>
              </w:rPr>
            </w:pPr>
          </w:p>
        </w:tc>
      </w:tr>
      <w:tr>
        <w:trPr>
          <w:trHeight w:val="284"/>
        </w:trPr>
        <w:tc>
          <w:tcPr>
            <w:tcW w:w="6680" w:type="dxa"/>
            <w:vAlign w:val="bottom"/>
          </w:tcPr>
          <w:p>
            <w:pPr>
              <w:ind w:left="20"/>
              <w:spacing w:after="0"/>
              <w:rPr>
                <w:sz w:val="20"/>
                <w:szCs w:val="20"/>
                <w:color w:val="auto"/>
              </w:rPr>
            </w:pPr>
            <w:r>
              <w:rPr>
                <w:rFonts w:ascii="Arial" w:cs="Arial" w:eastAsia="Arial" w:hAnsi="Arial"/>
                <w:sz w:val="18"/>
                <w:szCs w:val="18"/>
                <w:color w:val="auto"/>
              </w:rPr>
              <w:t>Esso Exploration and Production UK Limited</w:t>
            </w:r>
          </w:p>
        </w:tc>
        <w:tc>
          <w:tcPr>
            <w:tcW w:w="2040" w:type="dxa"/>
            <w:vAlign w:val="bottom"/>
          </w:tcPr>
          <w:p>
            <w:pPr>
              <w:jc w:val="center"/>
              <w:spacing w:after="0"/>
              <w:rPr>
                <w:sz w:val="20"/>
                <w:szCs w:val="20"/>
                <w:color w:val="auto"/>
              </w:rPr>
            </w:pPr>
            <w:r>
              <w:rPr>
                <w:rFonts w:ascii="Arial" w:cs="Arial" w:eastAsia="Arial" w:hAnsi="Arial"/>
                <w:sz w:val="18"/>
                <w:szCs w:val="18"/>
                <w:color w:val="auto"/>
                <w:w w:val="93"/>
              </w:rPr>
              <w:t>100</w:t>
            </w:r>
          </w:p>
        </w:tc>
        <w:tc>
          <w:tcPr>
            <w:tcW w:w="46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83"/>
        </w:trPr>
        <w:tc>
          <w:tcPr>
            <w:tcW w:w="6680" w:type="dxa"/>
            <w:vAlign w:val="bottom"/>
          </w:tcPr>
          <w:p>
            <w:pPr>
              <w:ind w:left="20"/>
              <w:spacing w:after="0"/>
              <w:rPr>
                <w:sz w:val="20"/>
                <w:szCs w:val="20"/>
                <w:color w:val="auto"/>
              </w:rPr>
            </w:pPr>
            <w:r>
              <w:rPr>
                <w:rFonts w:ascii="Arial" w:cs="Arial" w:eastAsia="Arial" w:hAnsi="Arial"/>
                <w:sz w:val="18"/>
                <w:szCs w:val="18"/>
                <w:color w:val="auto"/>
              </w:rPr>
              <w:t>Esso Exploration Angola (Block 15) Limited</w:t>
            </w:r>
          </w:p>
        </w:tc>
        <w:tc>
          <w:tcPr>
            <w:tcW w:w="2040" w:type="dxa"/>
            <w:vAlign w:val="bottom"/>
          </w:tcPr>
          <w:p>
            <w:pPr>
              <w:jc w:val="center"/>
              <w:spacing w:after="0"/>
              <w:rPr>
                <w:sz w:val="20"/>
                <w:szCs w:val="20"/>
                <w:color w:val="auto"/>
              </w:rPr>
            </w:pPr>
            <w:r>
              <w:rPr>
                <w:rFonts w:ascii="Arial" w:cs="Arial" w:eastAsia="Arial" w:hAnsi="Arial"/>
                <w:sz w:val="18"/>
                <w:szCs w:val="18"/>
                <w:color w:val="auto"/>
                <w:w w:val="93"/>
              </w:rPr>
              <w:t>100</w:t>
            </w:r>
          </w:p>
        </w:tc>
        <w:tc>
          <w:tcPr>
            <w:tcW w:w="46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Arial" w:cs="Arial" w:eastAsia="Arial" w:hAnsi="Arial"/>
                <w:sz w:val="18"/>
                <w:szCs w:val="18"/>
                <w:color w:val="auto"/>
              </w:rPr>
              <w:t>Bahamas</w:t>
            </w:r>
          </w:p>
        </w:tc>
        <w:tc>
          <w:tcPr>
            <w:tcW w:w="0" w:type="dxa"/>
            <w:vAlign w:val="bottom"/>
          </w:tcPr>
          <w:p>
            <w:pPr>
              <w:spacing w:after="0"/>
              <w:rPr>
                <w:sz w:val="1"/>
                <w:szCs w:val="1"/>
                <w:color w:val="auto"/>
              </w:rPr>
            </w:pPr>
          </w:p>
        </w:tc>
      </w:tr>
      <w:tr>
        <w:trPr>
          <w:trHeight w:val="283"/>
        </w:trPr>
        <w:tc>
          <w:tcPr>
            <w:tcW w:w="6680" w:type="dxa"/>
            <w:vAlign w:val="bottom"/>
          </w:tcPr>
          <w:p>
            <w:pPr>
              <w:ind w:left="20"/>
              <w:spacing w:after="0"/>
              <w:rPr>
                <w:sz w:val="20"/>
                <w:szCs w:val="20"/>
                <w:color w:val="auto"/>
              </w:rPr>
            </w:pPr>
            <w:r>
              <w:rPr>
                <w:rFonts w:ascii="Arial" w:cs="Arial" w:eastAsia="Arial" w:hAnsi="Arial"/>
                <w:sz w:val="18"/>
                <w:szCs w:val="18"/>
                <w:color w:val="auto"/>
              </w:rPr>
              <w:t>Esso Exploration Angola (Block 17) Limited</w:t>
            </w:r>
          </w:p>
        </w:tc>
        <w:tc>
          <w:tcPr>
            <w:tcW w:w="2040" w:type="dxa"/>
            <w:vAlign w:val="bottom"/>
          </w:tcPr>
          <w:p>
            <w:pPr>
              <w:jc w:val="center"/>
              <w:spacing w:after="0"/>
              <w:rPr>
                <w:sz w:val="20"/>
                <w:szCs w:val="20"/>
                <w:color w:val="auto"/>
              </w:rPr>
            </w:pPr>
            <w:r>
              <w:rPr>
                <w:rFonts w:ascii="Arial" w:cs="Arial" w:eastAsia="Arial" w:hAnsi="Arial"/>
                <w:sz w:val="18"/>
                <w:szCs w:val="18"/>
                <w:color w:val="auto"/>
                <w:w w:val="93"/>
              </w:rPr>
              <w:t>100</w:t>
            </w:r>
          </w:p>
        </w:tc>
        <w:tc>
          <w:tcPr>
            <w:tcW w:w="46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Arial" w:cs="Arial" w:eastAsia="Arial" w:hAnsi="Arial"/>
                <w:sz w:val="18"/>
                <w:szCs w:val="18"/>
                <w:color w:val="auto"/>
              </w:rPr>
              <w:t>Bahamas</w:t>
            </w:r>
          </w:p>
        </w:tc>
        <w:tc>
          <w:tcPr>
            <w:tcW w:w="0" w:type="dxa"/>
            <w:vAlign w:val="bottom"/>
          </w:tcPr>
          <w:p>
            <w:pPr>
              <w:spacing w:after="0"/>
              <w:rPr>
                <w:sz w:val="1"/>
                <w:szCs w:val="1"/>
                <w:color w:val="auto"/>
              </w:rPr>
            </w:pPr>
          </w:p>
        </w:tc>
      </w:tr>
      <w:tr>
        <w:trPr>
          <w:trHeight w:val="284"/>
        </w:trPr>
        <w:tc>
          <w:tcPr>
            <w:tcW w:w="6680" w:type="dxa"/>
            <w:vAlign w:val="bottom"/>
          </w:tcPr>
          <w:p>
            <w:pPr>
              <w:ind w:left="20"/>
              <w:spacing w:after="0"/>
              <w:rPr>
                <w:sz w:val="20"/>
                <w:szCs w:val="20"/>
                <w:color w:val="auto"/>
              </w:rPr>
            </w:pPr>
            <w:r>
              <w:rPr>
                <w:rFonts w:ascii="Arial" w:cs="Arial" w:eastAsia="Arial" w:hAnsi="Arial"/>
                <w:sz w:val="18"/>
                <w:szCs w:val="18"/>
                <w:color w:val="auto"/>
              </w:rPr>
              <w:t>Esso Italiana S.r.l.</w:t>
            </w:r>
          </w:p>
        </w:tc>
        <w:tc>
          <w:tcPr>
            <w:tcW w:w="2040" w:type="dxa"/>
            <w:vAlign w:val="bottom"/>
          </w:tcPr>
          <w:p>
            <w:pPr>
              <w:jc w:val="center"/>
              <w:spacing w:after="0"/>
              <w:rPr>
                <w:sz w:val="20"/>
                <w:szCs w:val="20"/>
                <w:color w:val="auto"/>
              </w:rPr>
            </w:pPr>
            <w:r>
              <w:rPr>
                <w:rFonts w:ascii="Arial" w:cs="Arial" w:eastAsia="Arial" w:hAnsi="Arial"/>
                <w:sz w:val="18"/>
                <w:szCs w:val="18"/>
                <w:color w:val="auto"/>
                <w:w w:val="93"/>
              </w:rPr>
              <w:t>100</w:t>
            </w:r>
          </w:p>
        </w:tc>
        <w:tc>
          <w:tcPr>
            <w:tcW w:w="46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Arial" w:cs="Arial" w:eastAsia="Arial" w:hAnsi="Arial"/>
                <w:sz w:val="18"/>
                <w:szCs w:val="18"/>
                <w:color w:val="auto"/>
              </w:rPr>
              <w:t>Italy</w:t>
            </w:r>
          </w:p>
        </w:tc>
        <w:tc>
          <w:tcPr>
            <w:tcW w:w="0" w:type="dxa"/>
            <w:vAlign w:val="bottom"/>
          </w:tcPr>
          <w:p>
            <w:pPr>
              <w:spacing w:after="0"/>
              <w:rPr>
                <w:sz w:val="1"/>
                <w:szCs w:val="1"/>
                <w:color w:val="auto"/>
              </w:rPr>
            </w:pPr>
          </w:p>
        </w:tc>
      </w:tr>
      <w:tr>
        <w:trPr>
          <w:trHeight w:val="283"/>
        </w:trPr>
        <w:tc>
          <w:tcPr>
            <w:tcW w:w="6680" w:type="dxa"/>
            <w:vAlign w:val="bottom"/>
          </w:tcPr>
          <w:p>
            <w:pPr>
              <w:ind w:left="20"/>
              <w:spacing w:after="0"/>
              <w:rPr>
                <w:sz w:val="20"/>
                <w:szCs w:val="20"/>
                <w:color w:val="auto"/>
              </w:rPr>
            </w:pPr>
            <w:r>
              <w:rPr>
                <w:rFonts w:ascii="Arial" w:cs="Arial" w:eastAsia="Arial" w:hAnsi="Arial"/>
                <w:sz w:val="18"/>
                <w:szCs w:val="18"/>
                <w:color w:val="auto"/>
              </w:rPr>
              <w:t>Esso Nederland B.V.</w:t>
            </w:r>
          </w:p>
        </w:tc>
        <w:tc>
          <w:tcPr>
            <w:tcW w:w="2040" w:type="dxa"/>
            <w:vAlign w:val="bottom"/>
          </w:tcPr>
          <w:p>
            <w:pPr>
              <w:jc w:val="center"/>
              <w:spacing w:after="0"/>
              <w:rPr>
                <w:sz w:val="20"/>
                <w:szCs w:val="20"/>
                <w:color w:val="auto"/>
              </w:rPr>
            </w:pPr>
            <w:r>
              <w:rPr>
                <w:rFonts w:ascii="Arial" w:cs="Arial" w:eastAsia="Arial" w:hAnsi="Arial"/>
                <w:sz w:val="18"/>
                <w:szCs w:val="18"/>
                <w:color w:val="auto"/>
                <w:w w:val="93"/>
              </w:rPr>
              <w:t>100</w:t>
            </w:r>
          </w:p>
        </w:tc>
        <w:tc>
          <w:tcPr>
            <w:tcW w:w="46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Arial" w:cs="Arial" w:eastAsia="Arial" w:hAnsi="Arial"/>
                <w:sz w:val="18"/>
                <w:szCs w:val="18"/>
                <w:color w:val="auto"/>
              </w:rPr>
              <w:t>Netherlands</w:t>
            </w:r>
          </w:p>
        </w:tc>
        <w:tc>
          <w:tcPr>
            <w:tcW w:w="0" w:type="dxa"/>
            <w:vAlign w:val="bottom"/>
          </w:tcPr>
          <w:p>
            <w:pPr>
              <w:spacing w:after="0"/>
              <w:rPr>
                <w:sz w:val="1"/>
                <w:szCs w:val="1"/>
                <w:color w:val="auto"/>
              </w:rPr>
            </w:pPr>
          </w:p>
        </w:tc>
      </w:tr>
      <w:tr>
        <w:trPr>
          <w:trHeight w:val="283"/>
        </w:trPr>
        <w:tc>
          <w:tcPr>
            <w:tcW w:w="6680" w:type="dxa"/>
            <w:vAlign w:val="bottom"/>
          </w:tcPr>
          <w:p>
            <w:pPr>
              <w:ind w:left="20"/>
              <w:spacing w:after="0"/>
              <w:rPr>
                <w:sz w:val="20"/>
                <w:szCs w:val="20"/>
                <w:color w:val="auto"/>
              </w:rPr>
            </w:pPr>
            <w:r>
              <w:rPr>
                <w:rFonts w:ascii="Arial" w:cs="Arial" w:eastAsia="Arial" w:hAnsi="Arial"/>
                <w:sz w:val="18"/>
                <w:szCs w:val="18"/>
                <w:color w:val="auto"/>
              </w:rPr>
              <w:t>Esso Norge AS</w:t>
            </w:r>
          </w:p>
        </w:tc>
        <w:tc>
          <w:tcPr>
            <w:tcW w:w="2040" w:type="dxa"/>
            <w:vAlign w:val="bottom"/>
          </w:tcPr>
          <w:p>
            <w:pPr>
              <w:jc w:val="center"/>
              <w:spacing w:after="0"/>
              <w:rPr>
                <w:sz w:val="20"/>
                <w:szCs w:val="20"/>
                <w:color w:val="auto"/>
              </w:rPr>
            </w:pPr>
            <w:r>
              <w:rPr>
                <w:rFonts w:ascii="Arial" w:cs="Arial" w:eastAsia="Arial" w:hAnsi="Arial"/>
                <w:sz w:val="18"/>
                <w:szCs w:val="18"/>
                <w:color w:val="auto"/>
                <w:w w:val="93"/>
              </w:rPr>
              <w:t>100</w:t>
            </w:r>
          </w:p>
        </w:tc>
        <w:tc>
          <w:tcPr>
            <w:tcW w:w="46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Arial" w:cs="Arial" w:eastAsia="Arial" w:hAnsi="Arial"/>
                <w:sz w:val="18"/>
                <w:szCs w:val="18"/>
                <w:color w:val="auto"/>
              </w:rPr>
              <w:t>Norway</w:t>
            </w:r>
          </w:p>
        </w:tc>
        <w:tc>
          <w:tcPr>
            <w:tcW w:w="0" w:type="dxa"/>
            <w:vAlign w:val="bottom"/>
          </w:tcPr>
          <w:p>
            <w:pPr>
              <w:spacing w:after="0"/>
              <w:rPr>
                <w:sz w:val="1"/>
                <w:szCs w:val="1"/>
                <w:color w:val="auto"/>
              </w:rPr>
            </w:pPr>
          </w:p>
        </w:tc>
      </w:tr>
      <w:tr>
        <w:trPr>
          <w:trHeight w:val="284"/>
        </w:trPr>
        <w:tc>
          <w:tcPr>
            <w:tcW w:w="6680" w:type="dxa"/>
            <w:vAlign w:val="bottom"/>
          </w:tcPr>
          <w:p>
            <w:pPr>
              <w:ind w:left="20"/>
              <w:spacing w:after="0"/>
              <w:rPr>
                <w:sz w:val="20"/>
                <w:szCs w:val="20"/>
                <w:color w:val="auto"/>
              </w:rPr>
            </w:pPr>
            <w:r>
              <w:rPr>
                <w:rFonts w:ascii="Arial" w:cs="Arial" w:eastAsia="Arial" w:hAnsi="Arial"/>
                <w:sz w:val="18"/>
                <w:szCs w:val="18"/>
                <w:color w:val="auto"/>
              </w:rPr>
              <w:t>Esso Petroleum Company, Limited</w:t>
            </w:r>
          </w:p>
        </w:tc>
        <w:tc>
          <w:tcPr>
            <w:tcW w:w="2040" w:type="dxa"/>
            <w:vAlign w:val="bottom"/>
          </w:tcPr>
          <w:p>
            <w:pPr>
              <w:jc w:val="center"/>
              <w:spacing w:after="0"/>
              <w:rPr>
                <w:sz w:val="20"/>
                <w:szCs w:val="20"/>
                <w:color w:val="auto"/>
              </w:rPr>
            </w:pPr>
            <w:r>
              <w:rPr>
                <w:rFonts w:ascii="Arial" w:cs="Arial" w:eastAsia="Arial" w:hAnsi="Arial"/>
                <w:sz w:val="18"/>
                <w:szCs w:val="18"/>
                <w:color w:val="auto"/>
                <w:w w:val="93"/>
              </w:rPr>
              <w:t>100</w:t>
            </w:r>
          </w:p>
        </w:tc>
        <w:tc>
          <w:tcPr>
            <w:tcW w:w="46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83"/>
        </w:trPr>
        <w:tc>
          <w:tcPr>
            <w:tcW w:w="6680" w:type="dxa"/>
            <w:vAlign w:val="bottom"/>
          </w:tcPr>
          <w:p>
            <w:pPr>
              <w:ind w:left="20"/>
              <w:spacing w:after="0"/>
              <w:rPr>
                <w:sz w:val="20"/>
                <w:szCs w:val="20"/>
                <w:color w:val="auto"/>
              </w:rPr>
            </w:pPr>
            <w:r>
              <w:rPr>
                <w:rFonts w:ascii="Arial" w:cs="Arial" w:eastAsia="Arial" w:hAnsi="Arial"/>
                <w:sz w:val="18"/>
                <w:szCs w:val="18"/>
                <w:color w:val="auto"/>
              </w:rPr>
              <w:t>Esso Raffinage</w:t>
            </w:r>
          </w:p>
        </w:tc>
        <w:tc>
          <w:tcPr>
            <w:tcW w:w="2040" w:type="dxa"/>
            <w:vAlign w:val="bottom"/>
          </w:tcPr>
          <w:p>
            <w:pPr>
              <w:jc w:val="center"/>
              <w:spacing w:after="0"/>
              <w:rPr>
                <w:sz w:val="20"/>
                <w:szCs w:val="20"/>
                <w:color w:val="auto"/>
              </w:rPr>
            </w:pPr>
            <w:r>
              <w:rPr>
                <w:rFonts w:ascii="Arial" w:cs="Arial" w:eastAsia="Arial" w:hAnsi="Arial"/>
                <w:sz w:val="18"/>
                <w:szCs w:val="18"/>
                <w:color w:val="auto"/>
                <w:w w:val="88"/>
              </w:rPr>
              <w:t>82.89</w:t>
            </w:r>
          </w:p>
        </w:tc>
        <w:tc>
          <w:tcPr>
            <w:tcW w:w="46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Arial" w:cs="Arial" w:eastAsia="Arial" w:hAnsi="Arial"/>
                <w:sz w:val="18"/>
                <w:szCs w:val="18"/>
                <w:color w:val="auto"/>
              </w:rPr>
              <w:t>France</w:t>
            </w:r>
          </w:p>
        </w:tc>
        <w:tc>
          <w:tcPr>
            <w:tcW w:w="0" w:type="dxa"/>
            <w:vAlign w:val="bottom"/>
          </w:tcPr>
          <w:p>
            <w:pPr>
              <w:spacing w:after="0"/>
              <w:rPr>
                <w:sz w:val="1"/>
                <w:szCs w:val="1"/>
                <w:color w:val="auto"/>
              </w:rPr>
            </w:pPr>
          </w:p>
        </w:tc>
      </w:tr>
      <w:tr>
        <w:trPr>
          <w:trHeight w:val="284"/>
        </w:trPr>
        <w:tc>
          <w:tcPr>
            <w:tcW w:w="6680" w:type="dxa"/>
            <w:vAlign w:val="bottom"/>
          </w:tcPr>
          <w:p>
            <w:pPr>
              <w:ind w:left="20"/>
              <w:spacing w:after="0"/>
              <w:rPr>
                <w:sz w:val="20"/>
                <w:szCs w:val="20"/>
                <w:color w:val="auto"/>
              </w:rPr>
            </w:pPr>
            <w:r>
              <w:rPr>
                <w:rFonts w:ascii="Arial" w:cs="Arial" w:eastAsia="Arial" w:hAnsi="Arial"/>
                <w:sz w:val="18"/>
                <w:szCs w:val="18"/>
                <w:color w:val="auto"/>
              </w:rPr>
              <w:t>Esso Societe Anonyme Francaise</w:t>
            </w:r>
          </w:p>
        </w:tc>
        <w:tc>
          <w:tcPr>
            <w:tcW w:w="2040" w:type="dxa"/>
            <w:vAlign w:val="bottom"/>
          </w:tcPr>
          <w:p>
            <w:pPr>
              <w:jc w:val="center"/>
              <w:spacing w:after="0"/>
              <w:rPr>
                <w:sz w:val="20"/>
                <w:szCs w:val="20"/>
                <w:color w:val="auto"/>
              </w:rPr>
            </w:pPr>
            <w:r>
              <w:rPr>
                <w:rFonts w:ascii="Arial" w:cs="Arial" w:eastAsia="Arial" w:hAnsi="Arial"/>
                <w:sz w:val="18"/>
                <w:szCs w:val="18"/>
                <w:color w:val="auto"/>
                <w:w w:val="88"/>
              </w:rPr>
              <w:t>82.89</w:t>
            </w:r>
          </w:p>
        </w:tc>
        <w:tc>
          <w:tcPr>
            <w:tcW w:w="46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Arial" w:cs="Arial" w:eastAsia="Arial" w:hAnsi="Arial"/>
                <w:sz w:val="18"/>
                <w:szCs w:val="18"/>
                <w:color w:val="auto"/>
              </w:rPr>
              <w:t>France</w:t>
            </w:r>
          </w:p>
        </w:tc>
        <w:tc>
          <w:tcPr>
            <w:tcW w:w="0" w:type="dxa"/>
            <w:vAlign w:val="bottom"/>
          </w:tcPr>
          <w:p>
            <w:pPr>
              <w:spacing w:after="0"/>
              <w:rPr>
                <w:sz w:val="1"/>
                <w:szCs w:val="1"/>
                <w:color w:val="auto"/>
              </w:rPr>
            </w:pPr>
          </w:p>
        </w:tc>
      </w:tr>
      <w:tr>
        <w:trPr>
          <w:trHeight w:val="283"/>
        </w:trPr>
        <w:tc>
          <w:tcPr>
            <w:tcW w:w="6680" w:type="dxa"/>
            <w:vAlign w:val="bottom"/>
          </w:tcPr>
          <w:p>
            <w:pPr>
              <w:ind w:left="20"/>
              <w:spacing w:after="0"/>
              <w:rPr>
                <w:sz w:val="20"/>
                <w:szCs w:val="20"/>
                <w:color w:val="auto"/>
              </w:rPr>
            </w:pPr>
            <w:r>
              <w:rPr>
                <w:rFonts w:ascii="Arial" w:cs="Arial" w:eastAsia="Arial" w:hAnsi="Arial"/>
                <w:sz w:val="18"/>
                <w:szCs w:val="18"/>
                <w:color w:val="auto"/>
              </w:rPr>
              <w:t>Esso (Thailand) Public Company Limited</w:t>
            </w:r>
          </w:p>
        </w:tc>
        <w:tc>
          <w:tcPr>
            <w:tcW w:w="2040" w:type="dxa"/>
            <w:vAlign w:val="bottom"/>
          </w:tcPr>
          <w:p>
            <w:pPr>
              <w:jc w:val="center"/>
              <w:spacing w:after="0"/>
              <w:rPr>
                <w:sz w:val="20"/>
                <w:szCs w:val="20"/>
                <w:color w:val="auto"/>
              </w:rPr>
            </w:pPr>
            <w:r>
              <w:rPr>
                <w:rFonts w:ascii="Arial" w:cs="Arial" w:eastAsia="Arial" w:hAnsi="Arial"/>
                <w:sz w:val="18"/>
                <w:szCs w:val="18"/>
                <w:color w:val="auto"/>
                <w:w w:val="88"/>
              </w:rPr>
              <w:t>65.99</w:t>
            </w:r>
          </w:p>
        </w:tc>
        <w:tc>
          <w:tcPr>
            <w:tcW w:w="46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Arial" w:cs="Arial" w:eastAsia="Arial" w:hAnsi="Arial"/>
                <w:sz w:val="18"/>
                <w:szCs w:val="18"/>
                <w:color w:val="auto"/>
              </w:rPr>
              <w:t>Thailand</w:t>
            </w:r>
          </w:p>
        </w:tc>
        <w:tc>
          <w:tcPr>
            <w:tcW w:w="0" w:type="dxa"/>
            <w:vAlign w:val="bottom"/>
          </w:tcPr>
          <w:p>
            <w:pPr>
              <w:spacing w:after="0"/>
              <w:rPr>
                <w:sz w:val="1"/>
                <w:szCs w:val="1"/>
                <w:color w:val="auto"/>
              </w:rPr>
            </w:pPr>
          </w:p>
        </w:tc>
      </w:tr>
      <w:tr>
        <w:trPr>
          <w:trHeight w:val="283"/>
        </w:trPr>
        <w:tc>
          <w:tcPr>
            <w:tcW w:w="6680" w:type="dxa"/>
            <w:vAlign w:val="bottom"/>
          </w:tcPr>
          <w:p>
            <w:pPr>
              <w:ind w:left="20"/>
              <w:spacing w:after="0"/>
              <w:rPr>
                <w:sz w:val="20"/>
                <w:szCs w:val="20"/>
                <w:color w:val="auto"/>
              </w:rPr>
            </w:pPr>
            <w:r>
              <w:rPr>
                <w:rFonts w:ascii="Arial" w:cs="Arial" w:eastAsia="Arial" w:hAnsi="Arial"/>
                <w:sz w:val="18"/>
                <w:szCs w:val="18"/>
                <w:color w:val="auto"/>
              </w:rPr>
              <w:t>Exxon Azerbaijan Limited</w:t>
            </w:r>
          </w:p>
        </w:tc>
        <w:tc>
          <w:tcPr>
            <w:tcW w:w="2040" w:type="dxa"/>
            <w:vAlign w:val="bottom"/>
          </w:tcPr>
          <w:p>
            <w:pPr>
              <w:jc w:val="center"/>
              <w:spacing w:after="0"/>
              <w:rPr>
                <w:sz w:val="20"/>
                <w:szCs w:val="20"/>
                <w:color w:val="auto"/>
              </w:rPr>
            </w:pPr>
            <w:r>
              <w:rPr>
                <w:rFonts w:ascii="Arial" w:cs="Arial" w:eastAsia="Arial" w:hAnsi="Arial"/>
                <w:sz w:val="18"/>
                <w:szCs w:val="18"/>
                <w:color w:val="auto"/>
                <w:w w:val="93"/>
              </w:rPr>
              <w:t>100</w:t>
            </w:r>
          </w:p>
        </w:tc>
        <w:tc>
          <w:tcPr>
            <w:tcW w:w="46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Arial" w:cs="Arial" w:eastAsia="Arial" w:hAnsi="Arial"/>
                <w:sz w:val="18"/>
                <w:szCs w:val="18"/>
                <w:color w:val="auto"/>
              </w:rPr>
              <w:t>Bahamas</w:t>
            </w:r>
          </w:p>
        </w:tc>
        <w:tc>
          <w:tcPr>
            <w:tcW w:w="0" w:type="dxa"/>
            <w:vAlign w:val="bottom"/>
          </w:tcPr>
          <w:p>
            <w:pPr>
              <w:spacing w:after="0"/>
              <w:rPr>
                <w:sz w:val="1"/>
                <w:szCs w:val="1"/>
                <w:color w:val="auto"/>
              </w:rPr>
            </w:pPr>
          </w:p>
        </w:tc>
      </w:tr>
      <w:tr>
        <w:trPr>
          <w:trHeight w:val="283"/>
        </w:trPr>
        <w:tc>
          <w:tcPr>
            <w:tcW w:w="6680" w:type="dxa"/>
            <w:vAlign w:val="bottom"/>
          </w:tcPr>
          <w:p>
            <w:pPr>
              <w:ind w:left="20"/>
              <w:spacing w:after="0"/>
              <w:rPr>
                <w:sz w:val="20"/>
                <w:szCs w:val="20"/>
                <w:color w:val="auto"/>
              </w:rPr>
            </w:pPr>
            <w:r>
              <w:rPr>
                <w:rFonts w:ascii="Arial" w:cs="Arial" w:eastAsia="Arial" w:hAnsi="Arial"/>
                <w:sz w:val="18"/>
                <w:szCs w:val="18"/>
                <w:color w:val="auto"/>
              </w:rPr>
              <w:t>Exxon Chemical Arabia Inc.</w:t>
            </w:r>
          </w:p>
        </w:tc>
        <w:tc>
          <w:tcPr>
            <w:tcW w:w="2040" w:type="dxa"/>
            <w:vAlign w:val="bottom"/>
          </w:tcPr>
          <w:p>
            <w:pPr>
              <w:jc w:val="center"/>
              <w:spacing w:after="0"/>
              <w:rPr>
                <w:sz w:val="20"/>
                <w:szCs w:val="20"/>
                <w:color w:val="auto"/>
              </w:rPr>
            </w:pPr>
            <w:r>
              <w:rPr>
                <w:rFonts w:ascii="Arial" w:cs="Arial" w:eastAsia="Arial" w:hAnsi="Arial"/>
                <w:sz w:val="18"/>
                <w:szCs w:val="18"/>
                <w:color w:val="auto"/>
                <w:w w:val="93"/>
              </w:rPr>
              <w:t>100</w:t>
            </w:r>
          </w:p>
        </w:tc>
        <w:tc>
          <w:tcPr>
            <w:tcW w:w="46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84"/>
        </w:trPr>
        <w:tc>
          <w:tcPr>
            <w:tcW w:w="6680" w:type="dxa"/>
            <w:vAlign w:val="bottom"/>
          </w:tcPr>
          <w:p>
            <w:pPr>
              <w:ind w:left="20"/>
              <w:spacing w:after="0"/>
              <w:rPr>
                <w:sz w:val="20"/>
                <w:szCs w:val="20"/>
                <w:color w:val="auto"/>
              </w:rPr>
            </w:pPr>
            <w:r>
              <w:rPr>
                <w:rFonts w:ascii="Arial" w:cs="Arial" w:eastAsia="Arial" w:hAnsi="Arial"/>
                <w:sz w:val="18"/>
                <w:szCs w:val="18"/>
                <w:color w:val="auto"/>
              </w:rPr>
              <w:t>Exxon Neftegas Limited</w:t>
            </w:r>
          </w:p>
        </w:tc>
        <w:tc>
          <w:tcPr>
            <w:tcW w:w="2040" w:type="dxa"/>
            <w:vAlign w:val="bottom"/>
          </w:tcPr>
          <w:p>
            <w:pPr>
              <w:jc w:val="center"/>
              <w:spacing w:after="0"/>
              <w:rPr>
                <w:sz w:val="20"/>
                <w:szCs w:val="20"/>
                <w:color w:val="auto"/>
              </w:rPr>
            </w:pPr>
            <w:r>
              <w:rPr>
                <w:rFonts w:ascii="Arial" w:cs="Arial" w:eastAsia="Arial" w:hAnsi="Arial"/>
                <w:sz w:val="18"/>
                <w:szCs w:val="18"/>
                <w:color w:val="auto"/>
                <w:w w:val="93"/>
              </w:rPr>
              <w:t>100</w:t>
            </w:r>
          </w:p>
        </w:tc>
        <w:tc>
          <w:tcPr>
            <w:tcW w:w="46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Arial" w:cs="Arial" w:eastAsia="Arial" w:hAnsi="Arial"/>
                <w:sz w:val="18"/>
                <w:szCs w:val="18"/>
                <w:color w:val="auto"/>
              </w:rPr>
              <w:t>Bahamas</w:t>
            </w:r>
          </w:p>
        </w:tc>
        <w:tc>
          <w:tcPr>
            <w:tcW w:w="0" w:type="dxa"/>
            <w:vAlign w:val="bottom"/>
          </w:tcPr>
          <w:p>
            <w:pPr>
              <w:spacing w:after="0"/>
              <w:rPr>
                <w:sz w:val="1"/>
                <w:szCs w:val="1"/>
                <w:color w:val="auto"/>
              </w:rPr>
            </w:pPr>
          </w:p>
        </w:tc>
      </w:tr>
      <w:tr>
        <w:trPr>
          <w:trHeight w:val="284"/>
        </w:trPr>
        <w:tc>
          <w:tcPr>
            <w:tcW w:w="6680" w:type="dxa"/>
            <w:vAlign w:val="bottom"/>
          </w:tcPr>
          <w:p>
            <w:pPr>
              <w:ind w:left="20"/>
              <w:spacing w:after="0"/>
              <w:rPr>
                <w:sz w:val="20"/>
                <w:szCs w:val="20"/>
                <w:color w:val="auto"/>
              </w:rPr>
            </w:pPr>
            <w:r>
              <w:rPr>
                <w:rFonts w:ascii="Arial" w:cs="Arial" w:eastAsia="Arial" w:hAnsi="Arial"/>
                <w:sz w:val="18"/>
                <w:szCs w:val="18"/>
                <w:color w:val="auto"/>
              </w:rPr>
              <w:t>ExxonMobil (China) Investment Co., Ltd.</w:t>
            </w:r>
          </w:p>
        </w:tc>
        <w:tc>
          <w:tcPr>
            <w:tcW w:w="2040" w:type="dxa"/>
            <w:vAlign w:val="bottom"/>
          </w:tcPr>
          <w:p>
            <w:pPr>
              <w:jc w:val="center"/>
              <w:spacing w:after="0"/>
              <w:rPr>
                <w:sz w:val="20"/>
                <w:szCs w:val="20"/>
                <w:color w:val="auto"/>
              </w:rPr>
            </w:pPr>
            <w:r>
              <w:rPr>
                <w:rFonts w:ascii="Arial" w:cs="Arial" w:eastAsia="Arial" w:hAnsi="Arial"/>
                <w:sz w:val="18"/>
                <w:szCs w:val="18"/>
                <w:color w:val="auto"/>
                <w:w w:val="93"/>
              </w:rPr>
              <w:t>100</w:t>
            </w:r>
          </w:p>
        </w:tc>
        <w:tc>
          <w:tcPr>
            <w:tcW w:w="46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83"/>
        </w:trPr>
        <w:tc>
          <w:tcPr>
            <w:tcW w:w="6680" w:type="dxa"/>
            <w:vAlign w:val="bottom"/>
          </w:tcPr>
          <w:p>
            <w:pPr>
              <w:ind w:left="20"/>
              <w:spacing w:after="0"/>
              <w:rPr>
                <w:sz w:val="20"/>
                <w:szCs w:val="20"/>
                <w:color w:val="auto"/>
              </w:rPr>
            </w:pPr>
            <w:r>
              <w:rPr>
                <w:rFonts w:ascii="Arial" w:cs="Arial" w:eastAsia="Arial" w:hAnsi="Arial"/>
                <w:sz w:val="18"/>
                <w:szCs w:val="18"/>
                <w:color w:val="auto"/>
              </w:rPr>
              <w:t>ExxonMobil (Huizhou) Chemical Co., Ltd.</w:t>
            </w:r>
          </w:p>
        </w:tc>
        <w:tc>
          <w:tcPr>
            <w:tcW w:w="2040" w:type="dxa"/>
            <w:vAlign w:val="bottom"/>
          </w:tcPr>
          <w:p>
            <w:pPr>
              <w:jc w:val="center"/>
              <w:spacing w:after="0"/>
              <w:rPr>
                <w:sz w:val="20"/>
                <w:szCs w:val="20"/>
                <w:color w:val="auto"/>
              </w:rPr>
            </w:pPr>
            <w:r>
              <w:rPr>
                <w:rFonts w:ascii="Arial" w:cs="Arial" w:eastAsia="Arial" w:hAnsi="Arial"/>
                <w:sz w:val="18"/>
                <w:szCs w:val="18"/>
                <w:color w:val="auto"/>
                <w:w w:val="93"/>
              </w:rPr>
              <w:t>100</w:t>
            </w:r>
          </w:p>
        </w:tc>
        <w:tc>
          <w:tcPr>
            <w:tcW w:w="46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84"/>
        </w:trPr>
        <w:tc>
          <w:tcPr>
            <w:tcW w:w="6680" w:type="dxa"/>
            <w:vAlign w:val="bottom"/>
          </w:tcPr>
          <w:p>
            <w:pPr>
              <w:ind w:left="20"/>
              <w:spacing w:after="0"/>
              <w:rPr>
                <w:sz w:val="20"/>
                <w:szCs w:val="20"/>
                <w:color w:val="auto"/>
              </w:rPr>
            </w:pPr>
            <w:r>
              <w:rPr>
                <w:rFonts w:ascii="Arial" w:cs="Arial" w:eastAsia="Arial" w:hAnsi="Arial"/>
                <w:sz w:val="18"/>
                <w:szCs w:val="18"/>
                <w:color w:val="auto"/>
              </w:rPr>
              <w:t>ExxonMobil (Taicang) Petroleum Co., Ltd.</w:t>
            </w:r>
          </w:p>
        </w:tc>
        <w:tc>
          <w:tcPr>
            <w:tcW w:w="2040" w:type="dxa"/>
            <w:vAlign w:val="bottom"/>
          </w:tcPr>
          <w:p>
            <w:pPr>
              <w:jc w:val="center"/>
              <w:spacing w:after="0"/>
              <w:rPr>
                <w:sz w:val="20"/>
                <w:szCs w:val="20"/>
                <w:color w:val="auto"/>
              </w:rPr>
            </w:pPr>
            <w:r>
              <w:rPr>
                <w:rFonts w:ascii="Arial" w:cs="Arial" w:eastAsia="Arial" w:hAnsi="Arial"/>
                <w:sz w:val="18"/>
                <w:szCs w:val="18"/>
                <w:color w:val="auto"/>
                <w:w w:val="93"/>
              </w:rPr>
              <w:t>100</w:t>
            </w:r>
          </w:p>
        </w:tc>
        <w:tc>
          <w:tcPr>
            <w:tcW w:w="46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84"/>
        </w:trPr>
        <w:tc>
          <w:tcPr>
            <w:tcW w:w="6680" w:type="dxa"/>
            <w:vAlign w:val="bottom"/>
          </w:tcPr>
          <w:p>
            <w:pPr>
              <w:ind w:left="20"/>
              <w:spacing w:after="0"/>
              <w:rPr>
                <w:sz w:val="20"/>
                <w:szCs w:val="20"/>
                <w:color w:val="auto"/>
              </w:rPr>
            </w:pPr>
            <w:r>
              <w:rPr>
                <w:rFonts w:ascii="Arial" w:cs="Arial" w:eastAsia="Arial" w:hAnsi="Arial"/>
                <w:sz w:val="18"/>
                <w:szCs w:val="18"/>
                <w:color w:val="auto"/>
              </w:rPr>
              <w:t>ExxonMobil Abu Dhabi Offshore Petroleum Company Limited</w:t>
            </w:r>
          </w:p>
        </w:tc>
        <w:tc>
          <w:tcPr>
            <w:tcW w:w="2040" w:type="dxa"/>
            <w:vAlign w:val="bottom"/>
          </w:tcPr>
          <w:p>
            <w:pPr>
              <w:jc w:val="center"/>
              <w:spacing w:after="0"/>
              <w:rPr>
                <w:sz w:val="20"/>
                <w:szCs w:val="20"/>
                <w:color w:val="auto"/>
              </w:rPr>
            </w:pPr>
            <w:r>
              <w:rPr>
                <w:rFonts w:ascii="Arial" w:cs="Arial" w:eastAsia="Arial" w:hAnsi="Arial"/>
                <w:sz w:val="18"/>
                <w:szCs w:val="18"/>
                <w:color w:val="auto"/>
                <w:w w:val="93"/>
              </w:rPr>
              <w:t>100</w:t>
            </w:r>
          </w:p>
        </w:tc>
        <w:tc>
          <w:tcPr>
            <w:tcW w:w="46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Arial" w:cs="Arial" w:eastAsia="Arial" w:hAnsi="Arial"/>
                <w:sz w:val="18"/>
                <w:szCs w:val="18"/>
                <w:color w:val="auto"/>
              </w:rPr>
              <w:t>Bahamas</w:t>
            </w:r>
          </w:p>
        </w:tc>
        <w:tc>
          <w:tcPr>
            <w:tcW w:w="0" w:type="dxa"/>
            <w:vAlign w:val="bottom"/>
          </w:tcPr>
          <w:p>
            <w:pPr>
              <w:spacing w:after="0"/>
              <w:rPr>
                <w:sz w:val="1"/>
                <w:szCs w:val="1"/>
                <w:color w:val="auto"/>
              </w:rPr>
            </w:pPr>
          </w:p>
        </w:tc>
      </w:tr>
      <w:tr>
        <w:trPr>
          <w:trHeight w:val="283"/>
        </w:trPr>
        <w:tc>
          <w:tcPr>
            <w:tcW w:w="6680" w:type="dxa"/>
            <w:vAlign w:val="bottom"/>
          </w:tcPr>
          <w:p>
            <w:pPr>
              <w:ind w:left="20"/>
              <w:spacing w:after="0"/>
              <w:rPr>
                <w:sz w:val="20"/>
                <w:szCs w:val="20"/>
                <w:color w:val="auto"/>
              </w:rPr>
            </w:pPr>
            <w:r>
              <w:rPr>
                <w:rFonts w:ascii="Arial" w:cs="Arial" w:eastAsia="Arial" w:hAnsi="Arial"/>
                <w:sz w:val="18"/>
                <w:szCs w:val="18"/>
                <w:color w:val="auto"/>
              </w:rPr>
              <w:t>ExxonMobil Africa and Middle East Management Ltd</w:t>
            </w:r>
          </w:p>
        </w:tc>
        <w:tc>
          <w:tcPr>
            <w:tcW w:w="2040" w:type="dxa"/>
            <w:vAlign w:val="bottom"/>
          </w:tcPr>
          <w:p>
            <w:pPr>
              <w:jc w:val="center"/>
              <w:spacing w:after="0"/>
              <w:rPr>
                <w:sz w:val="20"/>
                <w:szCs w:val="20"/>
                <w:color w:val="auto"/>
              </w:rPr>
            </w:pPr>
            <w:r>
              <w:rPr>
                <w:rFonts w:ascii="Arial" w:cs="Arial" w:eastAsia="Arial" w:hAnsi="Arial"/>
                <w:sz w:val="18"/>
                <w:szCs w:val="18"/>
                <w:color w:val="auto"/>
                <w:w w:val="93"/>
              </w:rPr>
              <w:t>100</w:t>
            </w:r>
          </w:p>
        </w:tc>
        <w:tc>
          <w:tcPr>
            <w:tcW w:w="46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Arial" w:cs="Arial" w:eastAsia="Arial" w:hAnsi="Arial"/>
                <w:sz w:val="18"/>
                <w:szCs w:val="18"/>
                <w:color w:val="auto"/>
              </w:rPr>
              <w:t>United Arab Emirates</w:t>
            </w:r>
          </w:p>
        </w:tc>
        <w:tc>
          <w:tcPr>
            <w:tcW w:w="0" w:type="dxa"/>
            <w:vAlign w:val="bottom"/>
          </w:tcPr>
          <w:p>
            <w:pPr>
              <w:spacing w:after="0"/>
              <w:rPr>
                <w:sz w:val="1"/>
                <w:szCs w:val="1"/>
                <w:color w:val="auto"/>
              </w:rPr>
            </w:pPr>
          </w:p>
        </w:tc>
      </w:tr>
      <w:tr>
        <w:trPr>
          <w:trHeight w:val="284"/>
        </w:trPr>
        <w:tc>
          <w:tcPr>
            <w:tcW w:w="6680" w:type="dxa"/>
            <w:vAlign w:val="bottom"/>
          </w:tcPr>
          <w:p>
            <w:pPr>
              <w:ind w:left="20"/>
              <w:spacing w:after="0"/>
              <w:rPr>
                <w:sz w:val="20"/>
                <w:szCs w:val="20"/>
                <w:color w:val="auto"/>
              </w:rPr>
            </w:pPr>
            <w:r>
              <w:rPr>
                <w:rFonts w:ascii="Arial" w:cs="Arial" w:eastAsia="Arial" w:hAnsi="Arial"/>
                <w:sz w:val="18"/>
                <w:szCs w:val="18"/>
                <w:color w:val="auto"/>
              </w:rPr>
              <w:t>ExxonMobil Alaska Production Inc.</w:t>
            </w:r>
          </w:p>
        </w:tc>
        <w:tc>
          <w:tcPr>
            <w:tcW w:w="2040" w:type="dxa"/>
            <w:vAlign w:val="bottom"/>
          </w:tcPr>
          <w:p>
            <w:pPr>
              <w:jc w:val="center"/>
              <w:spacing w:after="0"/>
              <w:rPr>
                <w:sz w:val="20"/>
                <w:szCs w:val="20"/>
                <w:color w:val="auto"/>
              </w:rPr>
            </w:pPr>
            <w:r>
              <w:rPr>
                <w:rFonts w:ascii="Arial" w:cs="Arial" w:eastAsia="Arial" w:hAnsi="Arial"/>
                <w:sz w:val="18"/>
                <w:szCs w:val="18"/>
                <w:color w:val="auto"/>
                <w:w w:val="93"/>
              </w:rPr>
              <w:t>100</w:t>
            </w:r>
          </w:p>
        </w:tc>
        <w:tc>
          <w:tcPr>
            <w:tcW w:w="46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84"/>
        </w:trPr>
        <w:tc>
          <w:tcPr>
            <w:tcW w:w="6680" w:type="dxa"/>
            <w:vAlign w:val="bottom"/>
          </w:tcPr>
          <w:p>
            <w:pPr>
              <w:ind w:left="20"/>
              <w:spacing w:after="0"/>
              <w:rPr>
                <w:sz w:val="20"/>
                <w:szCs w:val="20"/>
                <w:color w:val="auto"/>
              </w:rPr>
            </w:pPr>
            <w:r>
              <w:rPr>
                <w:rFonts w:ascii="Arial" w:cs="Arial" w:eastAsia="Arial" w:hAnsi="Arial"/>
                <w:sz w:val="18"/>
                <w:szCs w:val="18"/>
                <w:color w:val="auto"/>
              </w:rPr>
              <w:t>ExxonMobil Asia Pacific Pte. Ltd.</w:t>
            </w:r>
          </w:p>
        </w:tc>
        <w:tc>
          <w:tcPr>
            <w:tcW w:w="2040" w:type="dxa"/>
            <w:vAlign w:val="bottom"/>
          </w:tcPr>
          <w:p>
            <w:pPr>
              <w:jc w:val="center"/>
              <w:spacing w:after="0"/>
              <w:rPr>
                <w:sz w:val="20"/>
                <w:szCs w:val="20"/>
                <w:color w:val="auto"/>
              </w:rPr>
            </w:pPr>
            <w:r>
              <w:rPr>
                <w:rFonts w:ascii="Arial" w:cs="Arial" w:eastAsia="Arial" w:hAnsi="Arial"/>
                <w:sz w:val="18"/>
                <w:szCs w:val="18"/>
                <w:color w:val="auto"/>
                <w:w w:val="93"/>
              </w:rPr>
              <w:t>100</w:t>
            </w:r>
          </w:p>
        </w:tc>
        <w:tc>
          <w:tcPr>
            <w:tcW w:w="46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Arial" w:cs="Arial" w:eastAsia="Arial" w:hAnsi="Arial"/>
                <w:sz w:val="18"/>
                <w:szCs w:val="18"/>
                <w:color w:val="auto"/>
              </w:rPr>
              <w:t>Singapore</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769" w:right="339" w:bottom="1440" w:gutter="0" w:footer="0" w:header="0"/>
        </w:sect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1240"/>
          </w:cols>
          <w:pgMar w:left="320" w:top="769" w:right="339" w:bottom="1440" w:gutter="0" w:footer="0" w:header="0"/>
          <w:type w:val="continuous"/>
        </w:sectPr>
      </w:pPr>
    </w:p>
    <w:bookmarkStart w:id="134" w:name="page135"/>
    <w:bookmarkEnd w:id="134"/>
    <w:tbl>
      <w:tblPr>
        <w:tblLayout w:type="fixed"/>
        <w:tblInd w:w="0" w:type="dxa"/>
        <w:tblCellMar>
          <w:top w:w="0" w:type="dxa"/>
          <w:left w:w="0" w:type="dxa"/>
          <w:bottom w:w="0" w:type="dxa"/>
          <w:right w:w="0" w:type="dxa"/>
        </w:tblCellMar>
      </w:tblPr>
      <w:tr>
        <w:trPr>
          <w:trHeight w:val="216"/>
        </w:trPr>
        <w:tc>
          <w:tcPr>
            <w:tcW w:w="6720" w:type="dxa"/>
            <w:vAlign w:val="bottom"/>
          </w:tcPr>
          <w:p>
            <w:pPr>
              <w:spacing w:after="0"/>
              <w:rPr>
                <w:sz w:val="18"/>
                <w:szCs w:val="18"/>
                <w:color w:val="auto"/>
              </w:rPr>
            </w:pPr>
          </w:p>
        </w:tc>
        <w:tc>
          <w:tcPr>
            <w:tcW w:w="2440" w:type="dxa"/>
            <w:vAlign w:val="bottom"/>
            <w:gridSpan w:val="2"/>
          </w:tcPr>
          <w:p>
            <w:pPr>
              <w:jc w:val="center"/>
              <w:ind w:right="380"/>
              <w:spacing w:after="0"/>
              <w:rPr>
                <w:sz w:val="20"/>
                <w:szCs w:val="20"/>
                <w:color w:val="auto"/>
              </w:rPr>
            </w:pPr>
            <w:r>
              <w:rPr>
                <w:rFonts w:ascii="Arial" w:cs="Arial" w:eastAsia="Arial" w:hAnsi="Arial"/>
                <w:sz w:val="18"/>
                <w:szCs w:val="18"/>
                <w:color w:val="auto"/>
                <w:w w:val="87"/>
              </w:rPr>
              <w:t>Percentage of</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spacing w:after="0"/>
              <w:rPr>
                <w:sz w:val="18"/>
                <w:szCs w:val="18"/>
                <w:color w:val="auto"/>
              </w:rPr>
            </w:pPr>
          </w:p>
        </w:tc>
        <w:tc>
          <w:tcPr>
            <w:tcW w:w="244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Voting Securities</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spacing w:after="0"/>
              <w:rPr>
                <w:sz w:val="18"/>
                <w:szCs w:val="18"/>
                <w:color w:val="auto"/>
              </w:rPr>
            </w:pPr>
          </w:p>
        </w:tc>
        <w:tc>
          <w:tcPr>
            <w:tcW w:w="2440" w:type="dxa"/>
            <w:vAlign w:val="bottom"/>
            <w:gridSpan w:val="2"/>
          </w:tcPr>
          <w:p>
            <w:pPr>
              <w:jc w:val="center"/>
              <w:ind w:right="360"/>
              <w:spacing w:after="0"/>
              <w:rPr>
                <w:sz w:val="20"/>
                <w:szCs w:val="20"/>
                <w:color w:val="auto"/>
              </w:rPr>
            </w:pPr>
            <w:r>
              <w:rPr>
                <w:rFonts w:ascii="Arial" w:cs="Arial" w:eastAsia="Arial" w:hAnsi="Arial"/>
                <w:sz w:val="18"/>
                <w:szCs w:val="18"/>
                <w:color w:val="auto"/>
                <w:w w:val="95"/>
              </w:rPr>
              <w:t>Owned Directly</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spacing w:after="0"/>
              <w:rPr>
                <w:sz w:val="18"/>
                <w:szCs w:val="18"/>
                <w:color w:val="auto"/>
              </w:rPr>
            </w:pPr>
          </w:p>
        </w:tc>
        <w:tc>
          <w:tcPr>
            <w:tcW w:w="2440" w:type="dxa"/>
            <w:vAlign w:val="bottom"/>
            <w:gridSpan w:val="2"/>
          </w:tcPr>
          <w:p>
            <w:pPr>
              <w:jc w:val="center"/>
              <w:ind w:right="360"/>
              <w:spacing w:after="0"/>
              <w:rPr>
                <w:sz w:val="20"/>
                <w:szCs w:val="20"/>
                <w:color w:val="auto"/>
              </w:rPr>
            </w:pPr>
            <w:r>
              <w:rPr>
                <w:rFonts w:ascii="Arial" w:cs="Arial" w:eastAsia="Arial" w:hAnsi="Arial"/>
                <w:sz w:val="18"/>
                <w:szCs w:val="18"/>
                <w:color w:val="auto"/>
                <w:w w:val="95"/>
              </w:rPr>
              <w:t>or Indirectly by</w:t>
            </w:r>
          </w:p>
        </w:tc>
        <w:tc>
          <w:tcPr>
            <w:tcW w:w="2060" w:type="dxa"/>
            <w:vAlign w:val="bottom"/>
          </w:tcPr>
          <w:p>
            <w:pPr>
              <w:ind w:left="740"/>
              <w:spacing w:after="0"/>
              <w:rPr>
                <w:sz w:val="20"/>
                <w:szCs w:val="20"/>
                <w:color w:val="auto"/>
              </w:rPr>
            </w:pPr>
            <w:r>
              <w:rPr>
                <w:rFonts w:ascii="Arial" w:cs="Arial" w:eastAsia="Arial" w:hAnsi="Arial"/>
                <w:sz w:val="18"/>
                <w:szCs w:val="18"/>
                <w:color w:val="auto"/>
              </w:rPr>
              <w:t>State or</w:t>
            </w:r>
          </w:p>
        </w:tc>
        <w:tc>
          <w:tcPr>
            <w:tcW w:w="0" w:type="dxa"/>
            <w:vAlign w:val="bottom"/>
          </w:tcPr>
          <w:p>
            <w:pPr>
              <w:spacing w:after="0"/>
              <w:rPr>
                <w:sz w:val="1"/>
                <w:szCs w:val="1"/>
                <w:color w:val="auto"/>
              </w:rPr>
            </w:pPr>
          </w:p>
        </w:tc>
      </w:tr>
      <w:tr>
        <w:trPr>
          <w:trHeight w:val="230"/>
        </w:trPr>
        <w:tc>
          <w:tcPr>
            <w:tcW w:w="6720" w:type="dxa"/>
            <w:vAlign w:val="bottom"/>
          </w:tcPr>
          <w:p>
            <w:pPr>
              <w:spacing w:after="0"/>
              <w:rPr>
                <w:sz w:val="20"/>
                <w:szCs w:val="20"/>
                <w:color w:val="auto"/>
              </w:rPr>
            </w:pPr>
          </w:p>
        </w:tc>
        <w:tc>
          <w:tcPr>
            <w:tcW w:w="2440" w:type="dxa"/>
            <w:vAlign w:val="bottom"/>
            <w:gridSpan w:val="2"/>
          </w:tcPr>
          <w:p>
            <w:pPr>
              <w:jc w:val="center"/>
              <w:ind w:right="380"/>
              <w:spacing w:after="0"/>
              <w:rPr>
                <w:sz w:val="20"/>
                <w:szCs w:val="20"/>
                <w:color w:val="auto"/>
              </w:rPr>
            </w:pPr>
            <w:r>
              <w:rPr>
                <w:rFonts w:ascii="Arial" w:cs="Arial" w:eastAsia="Arial" w:hAnsi="Arial"/>
                <w:sz w:val="18"/>
                <w:szCs w:val="18"/>
                <w:color w:val="auto"/>
                <w:w w:val="90"/>
              </w:rPr>
              <w:t>Registrant</w:t>
            </w:r>
          </w:p>
        </w:tc>
        <w:tc>
          <w:tcPr>
            <w:tcW w:w="2060" w:type="dxa"/>
            <w:vAlign w:val="bottom"/>
          </w:tcPr>
          <w:p>
            <w:pPr>
              <w:ind w:left="140"/>
              <w:spacing w:after="0"/>
              <w:rPr>
                <w:sz w:val="20"/>
                <w:szCs w:val="20"/>
                <w:color w:val="auto"/>
              </w:rPr>
            </w:pPr>
            <w:r>
              <w:rPr>
                <w:rFonts w:ascii="Arial" w:cs="Arial" w:eastAsia="Arial" w:hAnsi="Arial"/>
                <w:sz w:val="18"/>
                <w:szCs w:val="18"/>
                <w:color w:val="auto"/>
                <w:w w:val="99"/>
              </w:rPr>
              <w:t>Country of Organization</w:t>
            </w:r>
          </w:p>
        </w:tc>
        <w:tc>
          <w:tcPr>
            <w:tcW w:w="0" w:type="dxa"/>
            <w:vAlign w:val="bottom"/>
          </w:tcPr>
          <w:p>
            <w:pPr>
              <w:spacing w:after="0"/>
              <w:rPr>
                <w:sz w:val="1"/>
                <w:szCs w:val="1"/>
                <w:color w:val="auto"/>
              </w:rPr>
            </w:pPr>
          </w:p>
        </w:tc>
      </w:tr>
      <w:tr>
        <w:trPr>
          <w:trHeight w:val="27"/>
        </w:trPr>
        <w:tc>
          <w:tcPr>
            <w:tcW w:w="6720" w:type="dxa"/>
            <w:vAlign w:val="bottom"/>
            <w:vMerge w:val="restart"/>
          </w:tcPr>
          <w:p>
            <w:pPr>
              <w:spacing w:after="0"/>
              <w:rPr>
                <w:sz w:val="20"/>
                <w:szCs w:val="20"/>
                <w:color w:val="auto"/>
              </w:rPr>
            </w:pPr>
            <w:r>
              <w:rPr>
                <w:rFonts w:ascii="Arial" w:cs="Arial" w:eastAsia="Arial" w:hAnsi="Arial"/>
                <w:sz w:val="18"/>
                <w:szCs w:val="18"/>
                <w:color w:val="auto"/>
              </w:rPr>
              <w:t>ExxonMobil Australia Pty Ltd</w:t>
            </w:r>
          </w:p>
        </w:tc>
        <w:tc>
          <w:tcPr>
            <w:tcW w:w="206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720" w:type="dxa"/>
            <w:vAlign w:val="bottom"/>
            <w:vMerge w:val="continue"/>
          </w:tcPr>
          <w:p>
            <w:pPr>
              <w:spacing w:after="0"/>
              <w:rPr>
                <w:sz w:val="21"/>
                <w:szCs w:val="21"/>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93"/>
              </w:rPr>
              <w:t>100</w:t>
            </w:r>
          </w:p>
        </w:tc>
        <w:tc>
          <w:tcPr>
            <w:tcW w:w="380" w:type="dxa"/>
            <w:vAlign w:val="bottom"/>
          </w:tcPr>
          <w:p>
            <w:pPr>
              <w:spacing w:after="0"/>
              <w:rPr>
                <w:sz w:val="21"/>
                <w:szCs w:val="21"/>
                <w:color w:val="auto"/>
              </w:rPr>
            </w:pPr>
          </w:p>
        </w:tc>
        <w:tc>
          <w:tcPr>
            <w:tcW w:w="2060" w:type="dxa"/>
            <w:vAlign w:val="bottom"/>
          </w:tcPr>
          <w:p>
            <w:pPr>
              <w:ind w:left="20"/>
              <w:spacing w:after="0"/>
              <w:rPr>
                <w:sz w:val="20"/>
                <w:szCs w:val="20"/>
                <w:color w:val="auto"/>
              </w:rPr>
            </w:pPr>
            <w:r>
              <w:rPr>
                <w:rFonts w:ascii="Arial" w:cs="Arial" w:eastAsia="Arial" w:hAnsi="Arial"/>
                <w:sz w:val="18"/>
                <w:szCs w:val="18"/>
                <w:color w:val="auto"/>
              </w:rPr>
              <w:t>Australia</w:t>
            </w:r>
          </w:p>
        </w:tc>
        <w:tc>
          <w:tcPr>
            <w:tcW w:w="0" w:type="dxa"/>
            <w:vAlign w:val="bottom"/>
          </w:tcPr>
          <w:p>
            <w:pPr>
              <w:spacing w:after="0"/>
              <w:rPr>
                <w:sz w:val="1"/>
                <w:szCs w:val="1"/>
                <w:color w:val="auto"/>
              </w:rPr>
            </w:pPr>
          </w:p>
        </w:tc>
      </w:tr>
      <w:tr>
        <w:trPr>
          <w:trHeight w:val="283"/>
        </w:trPr>
        <w:tc>
          <w:tcPr>
            <w:tcW w:w="6720" w:type="dxa"/>
            <w:vAlign w:val="bottom"/>
          </w:tcPr>
          <w:p>
            <w:pPr>
              <w:spacing w:after="0"/>
              <w:rPr>
                <w:sz w:val="20"/>
                <w:szCs w:val="20"/>
                <w:color w:val="auto"/>
              </w:rPr>
            </w:pPr>
            <w:r>
              <w:rPr>
                <w:rFonts w:ascii="Arial" w:cs="Arial" w:eastAsia="Arial" w:hAnsi="Arial"/>
                <w:sz w:val="18"/>
                <w:szCs w:val="18"/>
                <w:color w:val="auto"/>
              </w:rPr>
              <w:t>ExxonMobil Barzan Limited</w:t>
            </w:r>
          </w:p>
        </w:tc>
        <w:tc>
          <w:tcPr>
            <w:tcW w:w="2060" w:type="dxa"/>
            <w:vAlign w:val="bottom"/>
          </w:tcPr>
          <w:p>
            <w:pPr>
              <w:jc w:val="center"/>
              <w:spacing w:after="0"/>
              <w:rPr>
                <w:sz w:val="20"/>
                <w:szCs w:val="20"/>
                <w:color w:val="auto"/>
              </w:rPr>
            </w:pPr>
            <w:r>
              <w:rPr>
                <w:rFonts w:ascii="Arial" w:cs="Arial" w:eastAsia="Arial" w:hAnsi="Arial"/>
                <w:sz w:val="18"/>
                <w:szCs w:val="18"/>
                <w:color w:val="auto"/>
                <w:w w:val="93"/>
              </w:rPr>
              <w:t>100</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Arial" w:cs="Arial" w:eastAsia="Arial" w:hAnsi="Arial"/>
                <w:sz w:val="18"/>
                <w:szCs w:val="18"/>
                <w:color w:val="auto"/>
              </w:rPr>
              <w:t>Bahamas</w:t>
            </w:r>
          </w:p>
        </w:tc>
        <w:tc>
          <w:tcPr>
            <w:tcW w:w="0" w:type="dxa"/>
            <w:vAlign w:val="bottom"/>
          </w:tcPr>
          <w:p>
            <w:pPr>
              <w:spacing w:after="0"/>
              <w:rPr>
                <w:sz w:val="1"/>
                <w:szCs w:val="1"/>
                <w:color w:val="auto"/>
              </w:rPr>
            </w:pPr>
          </w:p>
        </w:tc>
      </w:tr>
      <w:tr>
        <w:trPr>
          <w:trHeight w:val="284"/>
        </w:trPr>
        <w:tc>
          <w:tcPr>
            <w:tcW w:w="6720" w:type="dxa"/>
            <w:vAlign w:val="bottom"/>
          </w:tcPr>
          <w:p>
            <w:pPr>
              <w:spacing w:after="0"/>
              <w:rPr>
                <w:sz w:val="20"/>
                <w:szCs w:val="20"/>
                <w:color w:val="auto"/>
              </w:rPr>
            </w:pPr>
            <w:r>
              <w:rPr>
                <w:rFonts w:ascii="Arial" w:cs="Arial" w:eastAsia="Arial" w:hAnsi="Arial"/>
                <w:sz w:val="18"/>
                <w:szCs w:val="18"/>
                <w:color w:val="auto"/>
              </w:rPr>
              <w:t>ExxonMobil Canada Ltd.</w:t>
            </w:r>
          </w:p>
        </w:tc>
        <w:tc>
          <w:tcPr>
            <w:tcW w:w="2060" w:type="dxa"/>
            <w:vAlign w:val="bottom"/>
          </w:tcPr>
          <w:p>
            <w:pPr>
              <w:jc w:val="center"/>
              <w:spacing w:after="0"/>
              <w:rPr>
                <w:sz w:val="20"/>
                <w:szCs w:val="20"/>
                <w:color w:val="auto"/>
              </w:rPr>
            </w:pPr>
            <w:r>
              <w:rPr>
                <w:rFonts w:ascii="Arial" w:cs="Arial" w:eastAsia="Arial" w:hAnsi="Arial"/>
                <w:sz w:val="18"/>
                <w:szCs w:val="18"/>
                <w:color w:val="auto"/>
                <w:w w:val="93"/>
              </w:rPr>
              <w:t>100</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83"/>
        </w:trPr>
        <w:tc>
          <w:tcPr>
            <w:tcW w:w="6720" w:type="dxa"/>
            <w:vAlign w:val="bottom"/>
          </w:tcPr>
          <w:p>
            <w:pPr>
              <w:spacing w:after="0"/>
              <w:rPr>
                <w:sz w:val="20"/>
                <w:szCs w:val="20"/>
                <w:color w:val="auto"/>
              </w:rPr>
            </w:pPr>
            <w:r>
              <w:rPr>
                <w:rFonts w:ascii="Arial" w:cs="Arial" w:eastAsia="Arial" w:hAnsi="Arial"/>
                <w:sz w:val="18"/>
                <w:szCs w:val="18"/>
                <w:color w:val="auto"/>
              </w:rPr>
              <w:t>ExxonMobil Canada Properties</w:t>
            </w:r>
          </w:p>
        </w:tc>
        <w:tc>
          <w:tcPr>
            <w:tcW w:w="2060" w:type="dxa"/>
            <w:vAlign w:val="bottom"/>
          </w:tcPr>
          <w:p>
            <w:pPr>
              <w:jc w:val="center"/>
              <w:spacing w:after="0"/>
              <w:rPr>
                <w:sz w:val="20"/>
                <w:szCs w:val="20"/>
                <w:color w:val="auto"/>
              </w:rPr>
            </w:pPr>
            <w:r>
              <w:rPr>
                <w:rFonts w:ascii="Arial" w:cs="Arial" w:eastAsia="Arial" w:hAnsi="Arial"/>
                <w:sz w:val="18"/>
                <w:szCs w:val="18"/>
                <w:color w:val="auto"/>
                <w:w w:val="93"/>
              </w:rPr>
              <w:t>100</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83"/>
        </w:trPr>
        <w:tc>
          <w:tcPr>
            <w:tcW w:w="6720" w:type="dxa"/>
            <w:vAlign w:val="bottom"/>
          </w:tcPr>
          <w:p>
            <w:pPr>
              <w:spacing w:after="0"/>
              <w:rPr>
                <w:sz w:val="20"/>
                <w:szCs w:val="20"/>
                <w:color w:val="auto"/>
              </w:rPr>
            </w:pPr>
            <w:r>
              <w:rPr>
                <w:rFonts w:ascii="Arial" w:cs="Arial" w:eastAsia="Arial" w:hAnsi="Arial"/>
                <w:sz w:val="18"/>
                <w:szCs w:val="18"/>
                <w:color w:val="auto"/>
              </w:rPr>
              <w:t>ExxonMobil Capital B.V.</w:t>
            </w:r>
          </w:p>
        </w:tc>
        <w:tc>
          <w:tcPr>
            <w:tcW w:w="2060" w:type="dxa"/>
            <w:vAlign w:val="bottom"/>
          </w:tcPr>
          <w:p>
            <w:pPr>
              <w:jc w:val="center"/>
              <w:spacing w:after="0"/>
              <w:rPr>
                <w:sz w:val="20"/>
                <w:szCs w:val="20"/>
                <w:color w:val="auto"/>
              </w:rPr>
            </w:pPr>
            <w:r>
              <w:rPr>
                <w:rFonts w:ascii="Arial" w:cs="Arial" w:eastAsia="Arial" w:hAnsi="Arial"/>
                <w:sz w:val="18"/>
                <w:szCs w:val="18"/>
                <w:color w:val="auto"/>
                <w:w w:val="93"/>
              </w:rPr>
              <w:t>100</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Arial" w:cs="Arial" w:eastAsia="Arial" w:hAnsi="Arial"/>
                <w:sz w:val="18"/>
                <w:szCs w:val="18"/>
                <w:color w:val="auto"/>
              </w:rPr>
              <w:t>Netherlands</w:t>
            </w:r>
          </w:p>
        </w:tc>
        <w:tc>
          <w:tcPr>
            <w:tcW w:w="0" w:type="dxa"/>
            <w:vAlign w:val="bottom"/>
          </w:tcPr>
          <w:p>
            <w:pPr>
              <w:spacing w:after="0"/>
              <w:rPr>
                <w:sz w:val="1"/>
                <w:szCs w:val="1"/>
                <w:color w:val="auto"/>
              </w:rPr>
            </w:pPr>
          </w:p>
        </w:tc>
      </w:tr>
      <w:tr>
        <w:trPr>
          <w:trHeight w:val="283"/>
        </w:trPr>
        <w:tc>
          <w:tcPr>
            <w:tcW w:w="6720" w:type="dxa"/>
            <w:vAlign w:val="bottom"/>
          </w:tcPr>
          <w:p>
            <w:pPr>
              <w:spacing w:after="0"/>
              <w:rPr>
                <w:sz w:val="20"/>
                <w:szCs w:val="20"/>
                <w:color w:val="auto"/>
              </w:rPr>
            </w:pPr>
            <w:r>
              <w:rPr>
                <w:rFonts w:ascii="Arial" w:cs="Arial" w:eastAsia="Arial" w:hAnsi="Arial"/>
                <w:sz w:val="18"/>
                <w:szCs w:val="18"/>
                <w:color w:val="auto"/>
              </w:rPr>
              <w:t>ExxonMobil Central Europe Holding GmbH</w:t>
            </w:r>
          </w:p>
        </w:tc>
        <w:tc>
          <w:tcPr>
            <w:tcW w:w="2060" w:type="dxa"/>
            <w:vAlign w:val="bottom"/>
          </w:tcPr>
          <w:p>
            <w:pPr>
              <w:jc w:val="center"/>
              <w:spacing w:after="0"/>
              <w:rPr>
                <w:sz w:val="20"/>
                <w:szCs w:val="20"/>
                <w:color w:val="auto"/>
              </w:rPr>
            </w:pPr>
            <w:r>
              <w:rPr>
                <w:rFonts w:ascii="Arial" w:cs="Arial" w:eastAsia="Arial" w:hAnsi="Arial"/>
                <w:sz w:val="18"/>
                <w:szCs w:val="18"/>
                <w:color w:val="auto"/>
                <w:w w:val="93"/>
              </w:rPr>
              <w:t>100</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83"/>
        </w:trPr>
        <w:tc>
          <w:tcPr>
            <w:tcW w:w="6720" w:type="dxa"/>
            <w:vAlign w:val="bottom"/>
          </w:tcPr>
          <w:p>
            <w:pPr>
              <w:spacing w:after="0"/>
              <w:rPr>
                <w:sz w:val="20"/>
                <w:szCs w:val="20"/>
                <w:color w:val="auto"/>
              </w:rPr>
            </w:pPr>
            <w:r>
              <w:rPr>
                <w:rFonts w:ascii="Arial" w:cs="Arial" w:eastAsia="Arial" w:hAnsi="Arial"/>
                <w:sz w:val="18"/>
                <w:szCs w:val="18"/>
                <w:color w:val="auto"/>
              </w:rPr>
              <w:t>ExxonMobil Chemical France</w:t>
            </w:r>
          </w:p>
        </w:tc>
        <w:tc>
          <w:tcPr>
            <w:tcW w:w="2060" w:type="dxa"/>
            <w:vAlign w:val="bottom"/>
          </w:tcPr>
          <w:p>
            <w:pPr>
              <w:jc w:val="center"/>
              <w:spacing w:after="0"/>
              <w:rPr>
                <w:sz w:val="20"/>
                <w:szCs w:val="20"/>
                <w:color w:val="auto"/>
              </w:rPr>
            </w:pPr>
            <w:r>
              <w:rPr>
                <w:rFonts w:ascii="Arial" w:cs="Arial" w:eastAsia="Arial" w:hAnsi="Arial"/>
                <w:sz w:val="18"/>
                <w:szCs w:val="18"/>
                <w:color w:val="auto"/>
                <w:w w:val="93"/>
              </w:rPr>
              <w:t>100</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Arial" w:cs="Arial" w:eastAsia="Arial" w:hAnsi="Arial"/>
                <w:sz w:val="18"/>
                <w:szCs w:val="18"/>
                <w:color w:val="auto"/>
              </w:rPr>
              <w:t>France</w:t>
            </w:r>
          </w:p>
        </w:tc>
        <w:tc>
          <w:tcPr>
            <w:tcW w:w="0" w:type="dxa"/>
            <w:vAlign w:val="bottom"/>
          </w:tcPr>
          <w:p>
            <w:pPr>
              <w:spacing w:after="0"/>
              <w:rPr>
                <w:sz w:val="1"/>
                <w:szCs w:val="1"/>
                <w:color w:val="auto"/>
              </w:rPr>
            </w:pPr>
          </w:p>
        </w:tc>
      </w:tr>
      <w:tr>
        <w:trPr>
          <w:trHeight w:val="283"/>
        </w:trPr>
        <w:tc>
          <w:tcPr>
            <w:tcW w:w="6720" w:type="dxa"/>
            <w:vAlign w:val="bottom"/>
          </w:tcPr>
          <w:p>
            <w:pPr>
              <w:spacing w:after="0"/>
              <w:rPr>
                <w:sz w:val="20"/>
                <w:szCs w:val="20"/>
                <w:color w:val="auto"/>
              </w:rPr>
            </w:pPr>
            <w:r>
              <w:rPr>
                <w:rFonts w:ascii="Arial" w:cs="Arial" w:eastAsia="Arial" w:hAnsi="Arial"/>
                <w:sz w:val="18"/>
                <w:szCs w:val="18"/>
                <w:color w:val="auto"/>
              </w:rPr>
              <w:t>ExxonMobil Chemical Gulf Coast Investments LLC</w:t>
            </w:r>
          </w:p>
        </w:tc>
        <w:tc>
          <w:tcPr>
            <w:tcW w:w="2060" w:type="dxa"/>
            <w:vAlign w:val="bottom"/>
          </w:tcPr>
          <w:p>
            <w:pPr>
              <w:jc w:val="center"/>
              <w:spacing w:after="0"/>
              <w:rPr>
                <w:sz w:val="20"/>
                <w:szCs w:val="20"/>
                <w:color w:val="auto"/>
              </w:rPr>
            </w:pPr>
            <w:r>
              <w:rPr>
                <w:rFonts w:ascii="Arial" w:cs="Arial" w:eastAsia="Arial" w:hAnsi="Arial"/>
                <w:sz w:val="18"/>
                <w:szCs w:val="18"/>
                <w:color w:val="auto"/>
                <w:w w:val="93"/>
              </w:rPr>
              <w:t>100</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84"/>
        </w:trPr>
        <w:tc>
          <w:tcPr>
            <w:tcW w:w="6720" w:type="dxa"/>
            <w:vAlign w:val="bottom"/>
          </w:tcPr>
          <w:p>
            <w:pPr>
              <w:spacing w:after="0"/>
              <w:rPr>
                <w:sz w:val="20"/>
                <w:szCs w:val="20"/>
                <w:color w:val="auto"/>
              </w:rPr>
            </w:pPr>
            <w:r>
              <w:rPr>
                <w:rFonts w:ascii="Arial" w:cs="Arial" w:eastAsia="Arial" w:hAnsi="Arial"/>
                <w:sz w:val="18"/>
                <w:szCs w:val="18"/>
                <w:color w:val="auto"/>
              </w:rPr>
              <w:t>ExxonMobil China Petroleum &amp; Petrochemical Company Private Limited</w:t>
            </w:r>
          </w:p>
        </w:tc>
        <w:tc>
          <w:tcPr>
            <w:tcW w:w="2060" w:type="dxa"/>
            <w:vAlign w:val="bottom"/>
          </w:tcPr>
          <w:p>
            <w:pPr>
              <w:jc w:val="center"/>
              <w:spacing w:after="0"/>
              <w:rPr>
                <w:sz w:val="20"/>
                <w:szCs w:val="20"/>
                <w:color w:val="auto"/>
              </w:rPr>
            </w:pPr>
            <w:r>
              <w:rPr>
                <w:rFonts w:ascii="Arial" w:cs="Arial" w:eastAsia="Arial" w:hAnsi="Arial"/>
                <w:sz w:val="18"/>
                <w:szCs w:val="18"/>
                <w:color w:val="auto"/>
                <w:w w:val="93"/>
              </w:rPr>
              <w:t>100</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Arial" w:cs="Arial" w:eastAsia="Arial" w:hAnsi="Arial"/>
                <w:sz w:val="18"/>
                <w:szCs w:val="18"/>
                <w:color w:val="auto"/>
              </w:rPr>
              <w:t>Singapore</w:t>
            </w:r>
          </w:p>
        </w:tc>
        <w:tc>
          <w:tcPr>
            <w:tcW w:w="0" w:type="dxa"/>
            <w:vAlign w:val="bottom"/>
          </w:tcPr>
          <w:p>
            <w:pPr>
              <w:spacing w:after="0"/>
              <w:rPr>
                <w:sz w:val="1"/>
                <w:szCs w:val="1"/>
                <w:color w:val="auto"/>
              </w:rPr>
            </w:pPr>
          </w:p>
        </w:tc>
      </w:tr>
      <w:tr>
        <w:trPr>
          <w:trHeight w:val="283"/>
        </w:trPr>
        <w:tc>
          <w:tcPr>
            <w:tcW w:w="6720" w:type="dxa"/>
            <w:vAlign w:val="bottom"/>
          </w:tcPr>
          <w:p>
            <w:pPr>
              <w:spacing w:after="0"/>
              <w:rPr>
                <w:sz w:val="20"/>
                <w:szCs w:val="20"/>
                <w:color w:val="auto"/>
              </w:rPr>
            </w:pPr>
            <w:r>
              <w:rPr>
                <w:rFonts w:ascii="Arial" w:cs="Arial" w:eastAsia="Arial" w:hAnsi="Arial"/>
                <w:sz w:val="18"/>
                <w:szCs w:val="18"/>
                <w:color w:val="auto"/>
              </w:rPr>
              <w:t>ExxonMobil Development Africa B.V.</w:t>
            </w:r>
          </w:p>
        </w:tc>
        <w:tc>
          <w:tcPr>
            <w:tcW w:w="2060" w:type="dxa"/>
            <w:vAlign w:val="bottom"/>
          </w:tcPr>
          <w:p>
            <w:pPr>
              <w:jc w:val="center"/>
              <w:spacing w:after="0"/>
              <w:rPr>
                <w:sz w:val="20"/>
                <w:szCs w:val="20"/>
                <w:color w:val="auto"/>
              </w:rPr>
            </w:pPr>
            <w:r>
              <w:rPr>
                <w:rFonts w:ascii="Arial" w:cs="Arial" w:eastAsia="Arial" w:hAnsi="Arial"/>
                <w:sz w:val="18"/>
                <w:szCs w:val="18"/>
                <w:color w:val="auto"/>
                <w:w w:val="93"/>
              </w:rPr>
              <w:t>100</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Arial" w:cs="Arial" w:eastAsia="Arial" w:hAnsi="Arial"/>
                <w:sz w:val="18"/>
                <w:szCs w:val="18"/>
                <w:color w:val="auto"/>
              </w:rPr>
              <w:t>Netherlands</w:t>
            </w:r>
          </w:p>
        </w:tc>
        <w:tc>
          <w:tcPr>
            <w:tcW w:w="0" w:type="dxa"/>
            <w:vAlign w:val="bottom"/>
          </w:tcPr>
          <w:p>
            <w:pPr>
              <w:spacing w:after="0"/>
              <w:rPr>
                <w:sz w:val="1"/>
                <w:szCs w:val="1"/>
                <w:color w:val="auto"/>
              </w:rPr>
            </w:pPr>
          </w:p>
        </w:tc>
      </w:tr>
      <w:tr>
        <w:trPr>
          <w:trHeight w:val="283"/>
        </w:trPr>
        <w:tc>
          <w:tcPr>
            <w:tcW w:w="6720" w:type="dxa"/>
            <w:vAlign w:val="bottom"/>
          </w:tcPr>
          <w:p>
            <w:pPr>
              <w:spacing w:after="0"/>
              <w:rPr>
                <w:sz w:val="20"/>
                <w:szCs w:val="20"/>
                <w:color w:val="auto"/>
              </w:rPr>
            </w:pPr>
            <w:r>
              <w:rPr>
                <w:rFonts w:ascii="Arial" w:cs="Arial" w:eastAsia="Arial" w:hAnsi="Arial"/>
                <w:sz w:val="18"/>
                <w:szCs w:val="18"/>
                <w:color w:val="auto"/>
              </w:rPr>
              <w:t>ExxonMobil Egypt (S.A.E.)</w:t>
            </w:r>
          </w:p>
        </w:tc>
        <w:tc>
          <w:tcPr>
            <w:tcW w:w="2060" w:type="dxa"/>
            <w:vAlign w:val="bottom"/>
          </w:tcPr>
          <w:p>
            <w:pPr>
              <w:jc w:val="center"/>
              <w:spacing w:after="0"/>
              <w:rPr>
                <w:sz w:val="20"/>
                <w:szCs w:val="20"/>
                <w:color w:val="auto"/>
              </w:rPr>
            </w:pPr>
            <w:r>
              <w:rPr>
                <w:rFonts w:ascii="Arial" w:cs="Arial" w:eastAsia="Arial" w:hAnsi="Arial"/>
                <w:sz w:val="18"/>
                <w:szCs w:val="18"/>
                <w:color w:val="auto"/>
                <w:w w:val="93"/>
              </w:rPr>
              <w:t>100</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Arial" w:cs="Arial" w:eastAsia="Arial" w:hAnsi="Arial"/>
                <w:sz w:val="18"/>
                <w:szCs w:val="18"/>
                <w:color w:val="auto"/>
              </w:rPr>
              <w:t>Egypt</w:t>
            </w:r>
          </w:p>
        </w:tc>
        <w:tc>
          <w:tcPr>
            <w:tcW w:w="0" w:type="dxa"/>
            <w:vAlign w:val="bottom"/>
          </w:tcPr>
          <w:p>
            <w:pPr>
              <w:spacing w:after="0"/>
              <w:rPr>
                <w:sz w:val="1"/>
                <w:szCs w:val="1"/>
                <w:color w:val="auto"/>
              </w:rPr>
            </w:pPr>
          </w:p>
        </w:tc>
      </w:tr>
      <w:tr>
        <w:trPr>
          <w:trHeight w:val="283"/>
        </w:trPr>
        <w:tc>
          <w:tcPr>
            <w:tcW w:w="6720" w:type="dxa"/>
            <w:vAlign w:val="bottom"/>
          </w:tcPr>
          <w:p>
            <w:pPr>
              <w:spacing w:after="0"/>
              <w:rPr>
                <w:sz w:val="20"/>
                <w:szCs w:val="20"/>
                <w:color w:val="auto"/>
              </w:rPr>
            </w:pPr>
            <w:r>
              <w:rPr>
                <w:rFonts w:ascii="Arial" w:cs="Arial" w:eastAsia="Arial" w:hAnsi="Arial"/>
                <w:sz w:val="18"/>
                <w:szCs w:val="18"/>
                <w:color w:val="auto"/>
              </w:rPr>
              <w:t>ExxonMobil Exploracao Brasil Ltda</w:t>
            </w:r>
          </w:p>
        </w:tc>
        <w:tc>
          <w:tcPr>
            <w:tcW w:w="2060" w:type="dxa"/>
            <w:vAlign w:val="bottom"/>
          </w:tcPr>
          <w:p>
            <w:pPr>
              <w:jc w:val="center"/>
              <w:spacing w:after="0"/>
              <w:rPr>
                <w:sz w:val="20"/>
                <w:szCs w:val="20"/>
                <w:color w:val="auto"/>
              </w:rPr>
            </w:pPr>
            <w:r>
              <w:rPr>
                <w:rFonts w:ascii="Arial" w:cs="Arial" w:eastAsia="Arial" w:hAnsi="Arial"/>
                <w:sz w:val="18"/>
                <w:szCs w:val="18"/>
                <w:color w:val="auto"/>
                <w:w w:val="93"/>
              </w:rPr>
              <w:t>100</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283"/>
        </w:trPr>
        <w:tc>
          <w:tcPr>
            <w:tcW w:w="6720" w:type="dxa"/>
            <w:vAlign w:val="bottom"/>
          </w:tcPr>
          <w:p>
            <w:pPr>
              <w:spacing w:after="0"/>
              <w:rPr>
                <w:sz w:val="20"/>
                <w:szCs w:val="20"/>
                <w:color w:val="auto"/>
              </w:rPr>
            </w:pPr>
            <w:r>
              <w:rPr>
                <w:rFonts w:ascii="Arial" w:cs="Arial" w:eastAsia="Arial" w:hAnsi="Arial"/>
                <w:sz w:val="18"/>
                <w:szCs w:val="18"/>
                <w:color w:val="auto"/>
              </w:rPr>
              <w:t>ExxonMobil Exploration and Production Malaysia Inc.</w:t>
            </w:r>
          </w:p>
        </w:tc>
        <w:tc>
          <w:tcPr>
            <w:tcW w:w="2060" w:type="dxa"/>
            <w:vAlign w:val="bottom"/>
          </w:tcPr>
          <w:p>
            <w:pPr>
              <w:jc w:val="center"/>
              <w:spacing w:after="0"/>
              <w:rPr>
                <w:sz w:val="20"/>
                <w:szCs w:val="20"/>
                <w:color w:val="auto"/>
              </w:rPr>
            </w:pPr>
            <w:r>
              <w:rPr>
                <w:rFonts w:ascii="Arial" w:cs="Arial" w:eastAsia="Arial" w:hAnsi="Arial"/>
                <w:sz w:val="18"/>
                <w:szCs w:val="18"/>
                <w:color w:val="auto"/>
                <w:w w:val="93"/>
              </w:rPr>
              <w:t>100</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83"/>
        </w:trPr>
        <w:tc>
          <w:tcPr>
            <w:tcW w:w="6720" w:type="dxa"/>
            <w:vAlign w:val="bottom"/>
          </w:tcPr>
          <w:p>
            <w:pPr>
              <w:spacing w:after="0"/>
              <w:rPr>
                <w:sz w:val="20"/>
                <w:szCs w:val="20"/>
                <w:color w:val="auto"/>
              </w:rPr>
            </w:pPr>
            <w:r>
              <w:rPr>
                <w:rFonts w:ascii="Arial" w:cs="Arial" w:eastAsia="Arial" w:hAnsi="Arial"/>
                <w:sz w:val="18"/>
                <w:szCs w:val="18"/>
                <w:color w:val="auto"/>
              </w:rPr>
              <w:t>ExxonMobil Exploration and Production Romania Limited</w:t>
            </w:r>
          </w:p>
        </w:tc>
        <w:tc>
          <w:tcPr>
            <w:tcW w:w="2060" w:type="dxa"/>
            <w:vAlign w:val="bottom"/>
          </w:tcPr>
          <w:p>
            <w:pPr>
              <w:jc w:val="center"/>
              <w:spacing w:after="0"/>
              <w:rPr>
                <w:sz w:val="20"/>
                <w:szCs w:val="20"/>
                <w:color w:val="auto"/>
              </w:rPr>
            </w:pPr>
            <w:r>
              <w:rPr>
                <w:rFonts w:ascii="Arial" w:cs="Arial" w:eastAsia="Arial" w:hAnsi="Arial"/>
                <w:sz w:val="18"/>
                <w:szCs w:val="18"/>
                <w:color w:val="auto"/>
                <w:w w:val="93"/>
              </w:rPr>
              <w:t>100</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Arial" w:cs="Arial" w:eastAsia="Arial" w:hAnsi="Arial"/>
                <w:sz w:val="18"/>
                <w:szCs w:val="18"/>
                <w:color w:val="auto"/>
              </w:rPr>
              <w:t>Bahamas</w:t>
            </w:r>
          </w:p>
        </w:tc>
        <w:tc>
          <w:tcPr>
            <w:tcW w:w="0" w:type="dxa"/>
            <w:vAlign w:val="bottom"/>
          </w:tcPr>
          <w:p>
            <w:pPr>
              <w:spacing w:after="0"/>
              <w:rPr>
                <w:sz w:val="1"/>
                <w:szCs w:val="1"/>
                <w:color w:val="auto"/>
              </w:rPr>
            </w:pPr>
          </w:p>
        </w:tc>
      </w:tr>
      <w:tr>
        <w:trPr>
          <w:trHeight w:val="284"/>
        </w:trPr>
        <w:tc>
          <w:tcPr>
            <w:tcW w:w="6720" w:type="dxa"/>
            <w:vAlign w:val="bottom"/>
          </w:tcPr>
          <w:p>
            <w:pPr>
              <w:spacing w:after="0"/>
              <w:rPr>
                <w:sz w:val="20"/>
                <w:szCs w:val="20"/>
                <w:color w:val="auto"/>
              </w:rPr>
            </w:pPr>
            <w:r>
              <w:rPr>
                <w:rFonts w:ascii="Arial" w:cs="Arial" w:eastAsia="Arial" w:hAnsi="Arial"/>
                <w:sz w:val="18"/>
                <w:szCs w:val="18"/>
                <w:color w:val="auto"/>
              </w:rPr>
              <w:t>ExxonMobil Exploration and Production Tanzania Limited</w:t>
            </w:r>
          </w:p>
        </w:tc>
        <w:tc>
          <w:tcPr>
            <w:tcW w:w="2060" w:type="dxa"/>
            <w:vAlign w:val="bottom"/>
          </w:tcPr>
          <w:p>
            <w:pPr>
              <w:jc w:val="center"/>
              <w:spacing w:after="0"/>
              <w:rPr>
                <w:sz w:val="20"/>
                <w:szCs w:val="20"/>
                <w:color w:val="auto"/>
              </w:rPr>
            </w:pPr>
            <w:r>
              <w:rPr>
                <w:rFonts w:ascii="Arial" w:cs="Arial" w:eastAsia="Arial" w:hAnsi="Arial"/>
                <w:sz w:val="18"/>
                <w:szCs w:val="18"/>
                <w:color w:val="auto"/>
                <w:w w:val="93"/>
              </w:rPr>
              <w:t>100</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Arial" w:cs="Arial" w:eastAsia="Arial" w:hAnsi="Arial"/>
                <w:sz w:val="18"/>
                <w:szCs w:val="18"/>
                <w:color w:val="auto"/>
              </w:rPr>
              <w:t>Bahamas</w:t>
            </w:r>
          </w:p>
        </w:tc>
        <w:tc>
          <w:tcPr>
            <w:tcW w:w="0" w:type="dxa"/>
            <w:vAlign w:val="bottom"/>
          </w:tcPr>
          <w:p>
            <w:pPr>
              <w:spacing w:after="0"/>
              <w:rPr>
                <w:sz w:val="1"/>
                <w:szCs w:val="1"/>
                <w:color w:val="auto"/>
              </w:rPr>
            </w:pPr>
          </w:p>
        </w:tc>
      </w:tr>
      <w:tr>
        <w:trPr>
          <w:trHeight w:val="283"/>
        </w:trPr>
        <w:tc>
          <w:tcPr>
            <w:tcW w:w="6720" w:type="dxa"/>
            <w:vAlign w:val="bottom"/>
          </w:tcPr>
          <w:p>
            <w:pPr>
              <w:spacing w:after="0"/>
              <w:rPr>
                <w:sz w:val="20"/>
                <w:szCs w:val="20"/>
                <w:color w:val="auto"/>
              </w:rPr>
            </w:pPr>
            <w:r>
              <w:rPr>
                <w:rFonts w:ascii="Arial" w:cs="Arial" w:eastAsia="Arial" w:hAnsi="Arial"/>
                <w:sz w:val="18"/>
                <w:szCs w:val="18"/>
                <w:color w:val="auto"/>
              </w:rPr>
              <w:t>ExxonMobil Exploration Argentina Sociedad de Responsabilidad Limitada</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70</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Arial" w:cs="Arial" w:eastAsia="Arial" w:hAnsi="Arial"/>
                <w:sz w:val="18"/>
                <w:szCs w:val="18"/>
                <w:color w:val="auto"/>
              </w:rPr>
              <w:t>Argentina</w:t>
            </w:r>
          </w:p>
        </w:tc>
        <w:tc>
          <w:tcPr>
            <w:tcW w:w="0" w:type="dxa"/>
            <w:vAlign w:val="bottom"/>
          </w:tcPr>
          <w:p>
            <w:pPr>
              <w:spacing w:after="0"/>
              <w:rPr>
                <w:sz w:val="1"/>
                <w:szCs w:val="1"/>
                <w:color w:val="auto"/>
              </w:rPr>
            </w:pPr>
          </w:p>
        </w:tc>
      </w:tr>
      <w:tr>
        <w:trPr>
          <w:trHeight w:val="283"/>
        </w:trPr>
        <w:tc>
          <w:tcPr>
            <w:tcW w:w="6720" w:type="dxa"/>
            <w:vAlign w:val="bottom"/>
          </w:tcPr>
          <w:p>
            <w:pPr>
              <w:spacing w:after="0"/>
              <w:rPr>
                <w:sz w:val="20"/>
                <w:szCs w:val="20"/>
                <w:color w:val="auto"/>
              </w:rPr>
            </w:pPr>
            <w:r>
              <w:rPr>
                <w:rFonts w:ascii="Arial" w:cs="Arial" w:eastAsia="Arial" w:hAnsi="Arial"/>
                <w:sz w:val="18"/>
                <w:szCs w:val="18"/>
                <w:color w:val="auto"/>
              </w:rPr>
              <w:t>ExxonMobil Finance Company Limited</w:t>
            </w:r>
          </w:p>
        </w:tc>
        <w:tc>
          <w:tcPr>
            <w:tcW w:w="2060" w:type="dxa"/>
            <w:vAlign w:val="bottom"/>
          </w:tcPr>
          <w:p>
            <w:pPr>
              <w:jc w:val="center"/>
              <w:spacing w:after="0"/>
              <w:rPr>
                <w:sz w:val="20"/>
                <w:szCs w:val="20"/>
                <w:color w:val="auto"/>
              </w:rPr>
            </w:pPr>
            <w:r>
              <w:rPr>
                <w:rFonts w:ascii="Arial" w:cs="Arial" w:eastAsia="Arial" w:hAnsi="Arial"/>
                <w:sz w:val="18"/>
                <w:szCs w:val="18"/>
                <w:color w:val="auto"/>
                <w:w w:val="93"/>
              </w:rPr>
              <w:t>100</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83"/>
        </w:trPr>
        <w:tc>
          <w:tcPr>
            <w:tcW w:w="6720" w:type="dxa"/>
            <w:vAlign w:val="bottom"/>
          </w:tcPr>
          <w:p>
            <w:pPr>
              <w:spacing w:after="0"/>
              <w:rPr>
                <w:sz w:val="20"/>
                <w:szCs w:val="20"/>
                <w:color w:val="auto"/>
              </w:rPr>
            </w:pPr>
            <w:r>
              <w:rPr>
                <w:rFonts w:ascii="Arial" w:cs="Arial" w:eastAsia="Arial" w:hAnsi="Arial"/>
                <w:sz w:val="18"/>
                <w:szCs w:val="18"/>
                <w:color w:val="auto"/>
              </w:rPr>
              <w:t>ExxonMobil Financial Investment Company Limited</w:t>
            </w:r>
          </w:p>
        </w:tc>
        <w:tc>
          <w:tcPr>
            <w:tcW w:w="2060" w:type="dxa"/>
            <w:vAlign w:val="bottom"/>
          </w:tcPr>
          <w:p>
            <w:pPr>
              <w:jc w:val="center"/>
              <w:spacing w:after="0"/>
              <w:rPr>
                <w:sz w:val="20"/>
                <w:szCs w:val="20"/>
                <w:color w:val="auto"/>
              </w:rPr>
            </w:pPr>
            <w:r>
              <w:rPr>
                <w:rFonts w:ascii="Arial" w:cs="Arial" w:eastAsia="Arial" w:hAnsi="Arial"/>
                <w:sz w:val="18"/>
                <w:szCs w:val="18"/>
                <w:color w:val="auto"/>
                <w:w w:val="93"/>
              </w:rPr>
              <w:t>100</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84"/>
        </w:trPr>
        <w:tc>
          <w:tcPr>
            <w:tcW w:w="6720" w:type="dxa"/>
            <w:vAlign w:val="bottom"/>
          </w:tcPr>
          <w:p>
            <w:pPr>
              <w:spacing w:after="0"/>
              <w:rPr>
                <w:sz w:val="20"/>
                <w:szCs w:val="20"/>
                <w:color w:val="auto"/>
              </w:rPr>
            </w:pPr>
            <w:r>
              <w:rPr>
                <w:rFonts w:ascii="Arial" w:cs="Arial" w:eastAsia="Arial" w:hAnsi="Arial"/>
                <w:sz w:val="18"/>
                <w:szCs w:val="18"/>
                <w:color w:val="auto"/>
              </w:rPr>
              <w:t>ExxonMobil Financial Services B.V.</w:t>
            </w:r>
          </w:p>
        </w:tc>
        <w:tc>
          <w:tcPr>
            <w:tcW w:w="2060" w:type="dxa"/>
            <w:vAlign w:val="bottom"/>
          </w:tcPr>
          <w:p>
            <w:pPr>
              <w:jc w:val="center"/>
              <w:spacing w:after="0"/>
              <w:rPr>
                <w:sz w:val="20"/>
                <w:szCs w:val="20"/>
                <w:color w:val="auto"/>
              </w:rPr>
            </w:pPr>
            <w:r>
              <w:rPr>
                <w:rFonts w:ascii="Arial" w:cs="Arial" w:eastAsia="Arial" w:hAnsi="Arial"/>
                <w:sz w:val="18"/>
                <w:szCs w:val="18"/>
                <w:color w:val="auto"/>
                <w:w w:val="93"/>
              </w:rPr>
              <w:t>100</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Arial" w:cs="Arial" w:eastAsia="Arial" w:hAnsi="Arial"/>
                <w:sz w:val="18"/>
                <w:szCs w:val="18"/>
                <w:color w:val="auto"/>
              </w:rPr>
              <w:t>Netherlands</w:t>
            </w:r>
          </w:p>
        </w:tc>
        <w:tc>
          <w:tcPr>
            <w:tcW w:w="0" w:type="dxa"/>
            <w:vAlign w:val="bottom"/>
          </w:tcPr>
          <w:p>
            <w:pPr>
              <w:spacing w:after="0"/>
              <w:rPr>
                <w:sz w:val="1"/>
                <w:szCs w:val="1"/>
                <w:color w:val="auto"/>
              </w:rPr>
            </w:pPr>
          </w:p>
        </w:tc>
      </w:tr>
      <w:tr>
        <w:trPr>
          <w:trHeight w:val="283"/>
        </w:trPr>
        <w:tc>
          <w:tcPr>
            <w:tcW w:w="6720" w:type="dxa"/>
            <w:vAlign w:val="bottom"/>
          </w:tcPr>
          <w:p>
            <w:pPr>
              <w:spacing w:after="0"/>
              <w:rPr>
                <w:sz w:val="20"/>
                <w:szCs w:val="20"/>
                <w:color w:val="auto"/>
              </w:rPr>
            </w:pPr>
            <w:r>
              <w:rPr>
                <w:rFonts w:ascii="Arial" w:cs="Arial" w:eastAsia="Arial" w:hAnsi="Arial"/>
                <w:sz w:val="18"/>
                <w:szCs w:val="18"/>
                <w:color w:val="auto"/>
              </w:rPr>
              <w:t>ExxonMobil Gas Marketing Europe Limited</w:t>
            </w:r>
          </w:p>
        </w:tc>
        <w:tc>
          <w:tcPr>
            <w:tcW w:w="2060" w:type="dxa"/>
            <w:vAlign w:val="bottom"/>
          </w:tcPr>
          <w:p>
            <w:pPr>
              <w:jc w:val="center"/>
              <w:spacing w:after="0"/>
              <w:rPr>
                <w:sz w:val="20"/>
                <w:szCs w:val="20"/>
                <w:color w:val="auto"/>
              </w:rPr>
            </w:pPr>
            <w:r>
              <w:rPr>
                <w:rFonts w:ascii="Arial" w:cs="Arial" w:eastAsia="Arial" w:hAnsi="Arial"/>
                <w:sz w:val="18"/>
                <w:szCs w:val="18"/>
                <w:color w:val="auto"/>
                <w:w w:val="93"/>
              </w:rPr>
              <w:t>100</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83"/>
        </w:trPr>
        <w:tc>
          <w:tcPr>
            <w:tcW w:w="6720" w:type="dxa"/>
            <w:vAlign w:val="bottom"/>
          </w:tcPr>
          <w:p>
            <w:pPr>
              <w:spacing w:after="0"/>
              <w:rPr>
                <w:sz w:val="20"/>
                <w:szCs w:val="20"/>
                <w:color w:val="auto"/>
              </w:rPr>
            </w:pPr>
            <w:r>
              <w:rPr>
                <w:rFonts w:ascii="Arial" w:cs="Arial" w:eastAsia="Arial" w:hAnsi="Arial"/>
                <w:sz w:val="18"/>
                <w:szCs w:val="18"/>
                <w:color w:val="auto"/>
              </w:rPr>
              <w:t>ExxonMobil Global Services Company</w:t>
            </w:r>
          </w:p>
        </w:tc>
        <w:tc>
          <w:tcPr>
            <w:tcW w:w="2060" w:type="dxa"/>
            <w:vAlign w:val="bottom"/>
          </w:tcPr>
          <w:p>
            <w:pPr>
              <w:jc w:val="center"/>
              <w:spacing w:after="0"/>
              <w:rPr>
                <w:sz w:val="20"/>
                <w:szCs w:val="20"/>
                <w:color w:val="auto"/>
              </w:rPr>
            </w:pPr>
            <w:r>
              <w:rPr>
                <w:rFonts w:ascii="Arial" w:cs="Arial" w:eastAsia="Arial" w:hAnsi="Arial"/>
                <w:sz w:val="18"/>
                <w:szCs w:val="18"/>
                <w:color w:val="auto"/>
                <w:w w:val="93"/>
              </w:rPr>
              <w:t>100</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84"/>
        </w:trPr>
        <w:tc>
          <w:tcPr>
            <w:tcW w:w="6720" w:type="dxa"/>
            <w:vAlign w:val="bottom"/>
          </w:tcPr>
          <w:p>
            <w:pPr>
              <w:spacing w:after="0"/>
              <w:rPr>
                <w:sz w:val="20"/>
                <w:szCs w:val="20"/>
                <w:color w:val="auto"/>
              </w:rPr>
            </w:pPr>
            <w:r>
              <w:rPr>
                <w:rFonts w:ascii="Arial" w:cs="Arial" w:eastAsia="Arial" w:hAnsi="Arial"/>
                <w:sz w:val="18"/>
                <w:szCs w:val="18"/>
                <w:color w:val="auto"/>
              </w:rPr>
              <w:t>ExxonMobil Holding Company Holland LLC</w:t>
            </w:r>
          </w:p>
        </w:tc>
        <w:tc>
          <w:tcPr>
            <w:tcW w:w="2060" w:type="dxa"/>
            <w:vAlign w:val="bottom"/>
          </w:tcPr>
          <w:p>
            <w:pPr>
              <w:jc w:val="center"/>
              <w:spacing w:after="0"/>
              <w:rPr>
                <w:sz w:val="20"/>
                <w:szCs w:val="20"/>
                <w:color w:val="auto"/>
              </w:rPr>
            </w:pPr>
            <w:r>
              <w:rPr>
                <w:rFonts w:ascii="Arial" w:cs="Arial" w:eastAsia="Arial" w:hAnsi="Arial"/>
                <w:sz w:val="18"/>
                <w:szCs w:val="18"/>
                <w:color w:val="auto"/>
                <w:w w:val="93"/>
              </w:rPr>
              <w:t>100</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83"/>
        </w:trPr>
        <w:tc>
          <w:tcPr>
            <w:tcW w:w="6720" w:type="dxa"/>
            <w:vAlign w:val="bottom"/>
          </w:tcPr>
          <w:p>
            <w:pPr>
              <w:spacing w:after="0"/>
              <w:rPr>
                <w:sz w:val="20"/>
                <w:szCs w:val="20"/>
                <w:color w:val="auto"/>
              </w:rPr>
            </w:pPr>
            <w:r>
              <w:rPr>
                <w:rFonts w:ascii="Arial" w:cs="Arial" w:eastAsia="Arial" w:hAnsi="Arial"/>
                <w:sz w:val="18"/>
                <w:szCs w:val="18"/>
                <w:color w:val="auto"/>
              </w:rPr>
              <w:t>ExxonMobil Hong Kong Limited</w:t>
            </w:r>
          </w:p>
        </w:tc>
        <w:tc>
          <w:tcPr>
            <w:tcW w:w="2060" w:type="dxa"/>
            <w:vAlign w:val="bottom"/>
          </w:tcPr>
          <w:p>
            <w:pPr>
              <w:jc w:val="center"/>
              <w:spacing w:after="0"/>
              <w:rPr>
                <w:sz w:val="20"/>
                <w:szCs w:val="20"/>
                <w:color w:val="auto"/>
              </w:rPr>
            </w:pPr>
            <w:r>
              <w:rPr>
                <w:rFonts w:ascii="Arial" w:cs="Arial" w:eastAsia="Arial" w:hAnsi="Arial"/>
                <w:sz w:val="18"/>
                <w:szCs w:val="18"/>
                <w:color w:val="auto"/>
                <w:w w:val="93"/>
              </w:rPr>
              <w:t>100</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Arial" w:cs="Arial" w:eastAsia="Arial" w:hAnsi="Arial"/>
                <w:sz w:val="18"/>
                <w:szCs w:val="18"/>
                <w:color w:val="auto"/>
              </w:rPr>
              <w:t>Hong Kong</w:t>
            </w:r>
          </w:p>
        </w:tc>
        <w:tc>
          <w:tcPr>
            <w:tcW w:w="0" w:type="dxa"/>
            <w:vAlign w:val="bottom"/>
          </w:tcPr>
          <w:p>
            <w:pPr>
              <w:spacing w:after="0"/>
              <w:rPr>
                <w:sz w:val="1"/>
                <w:szCs w:val="1"/>
                <w:color w:val="auto"/>
              </w:rPr>
            </w:pPr>
          </w:p>
        </w:tc>
      </w:tr>
      <w:tr>
        <w:trPr>
          <w:trHeight w:val="283"/>
        </w:trPr>
        <w:tc>
          <w:tcPr>
            <w:tcW w:w="6720" w:type="dxa"/>
            <w:vAlign w:val="bottom"/>
          </w:tcPr>
          <w:p>
            <w:pPr>
              <w:spacing w:after="0"/>
              <w:rPr>
                <w:sz w:val="20"/>
                <w:szCs w:val="20"/>
                <w:color w:val="auto"/>
              </w:rPr>
            </w:pPr>
            <w:r>
              <w:rPr>
                <w:rFonts w:ascii="Arial" w:cs="Arial" w:eastAsia="Arial" w:hAnsi="Arial"/>
                <w:sz w:val="18"/>
                <w:szCs w:val="18"/>
                <w:color w:val="auto"/>
              </w:rPr>
              <w:t>ExxonMobil Iraq Limited</w:t>
            </w:r>
          </w:p>
        </w:tc>
        <w:tc>
          <w:tcPr>
            <w:tcW w:w="2060" w:type="dxa"/>
            <w:vAlign w:val="bottom"/>
          </w:tcPr>
          <w:p>
            <w:pPr>
              <w:jc w:val="center"/>
              <w:spacing w:after="0"/>
              <w:rPr>
                <w:sz w:val="20"/>
                <w:szCs w:val="20"/>
                <w:color w:val="auto"/>
              </w:rPr>
            </w:pPr>
            <w:r>
              <w:rPr>
                <w:rFonts w:ascii="Arial" w:cs="Arial" w:eastAsia="Arial" w:hAnsi="Arial"/>
                <w:sz w:val="18"/>
                <w:szCs w:val="18"/>
                <w:color w:val="auto"/>
                <w:w w:val="93"/>
              </w:rPr>
              <w:t>100</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Arial" w:cs="Arial" w:eastAsia="Arial" w:hAnsi="Arial"/>
                <w:sz w:val="18"/>
                <w:szCs w:val="18"/>
                <w:color w:val="auto"/>
              </w:rPr>
              <w:t>Bahamas</w:t>
            </w:r>
          </w:p>
        </w:tc>
        <w:tc>
          <w:tcPr>
            <w:tcW w:w="0" w:type="dxa"/>
            <w:vAlign w:val="bottom"/>
          </w:tcPr>
          <w:p>
            <w:pPr>
              <w:spacing w:after="0"/>
              <w:rPr>
                <w:sz w:val="1"/>
                <w:szCs w:val="1"/>
                <w:color w:val="auto"/>
              </w:rPr>
            </w:pPr>
          </w:p>
        </w:tc>
      </w:tr>
      <w:tr>
        <w:trPr>
          <w:trHeight w:val="284"/>
        </w:trPr>
        <w:tc>
          <w:tcPr>
            <w:tcW w:w="6720" w:type="dxa"/>
            <w:vAlign w:val="bottom"/>
          </w:tcPr>
          <w:p>
            <w:pPr>
              <w:spacing w:after="0"/>
              <w:rPr>
                <w:sz w:val="20"/>
                <w:szCs w:val="20"/>
                <w:color w:val="auto"/>
              </w:rPr>
            </w:pPr>
            <w:r>
              <w:rPr>
                <w:rFonts w:ascii="Arial" w:cs="Arial" w:eastAsia="Arial" w:hAnsi="Arial"/>
                <w:sz w:val="18"/>
                <w:szCs w:val="18"/>
                <w:color w:val="auto"/>
              </w:rPr>
              <w:t>ExxonMobil Italiana Gas S.r.l.</w:t>
            </w:r>
          </w:p>
        </w:tc>
        <w:tc>
          <w:tcPr>
            <w:tcW w:w="2060" w:type="dxa"/>
            <w:vAlign w:val="bottom"/>
          </w:tcPr>
          <w:p>
            <w:pPr>
              <w:jc w:val="center"/>
              <w:spacing w:after="0"/>
              <w:rPr>
                <w:sz w:val="20"/>
                <w:szCs w:val="20"/>
                <w:color w:val="auto"/>
              </w:rPr>
            </w:pPr>
            <w:r>
              <w:rPr>
                <w:rFonts w:ascii="Arial" w:cs="Arial" w:eastAsia="Arial" w:hAnsi="Arial"/>
                <w:sz w:val="18"/>
                <w:szCs w:val="18"/>
                <w:color w:val="auto"/>
                <w:w w:val="93"/>
              </w:rPr>
              <w:t>100</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Arial" w:cs="Arial" w:eastAsia="Arial" w:hAnsi="Arial"/>
                <w:sz w:val="18"/>
                <w:szCs w:val="18"/>
                <w:color w:val="auto"/>
              </w:rPr>
              <w:t>Italy</w:t>
            </w:r>
          </w:p>
        </w:tc>
        <w:tc>
          <w:tcPr>
            <w:tcW w:w="0" w:type="dxa"/>
            <w:vAlign w:val="bottom"/>
          </w:tcPr>
          <w:p>
            <w:pPr>
              <w:spacing w:after="0"/>
              <w:rPr>
                <w:sz w:val="1"/>
                <w:szCs w:val="1"/>
                <w:color w:val="auto"/>
              </w:rPr>
            </w:pPr>
          </w:p>
        </w:tc>
      </w:tr>
      <w:tr>
        <w:trPr>
          <w:trHeight w:val="283"/>
        </w:trPr>
        <w:tc>
          <w:tcPr>
            <w:tcW w:w="6720" w:type="dxa"/>
            <w:vAlign w:val="bottom"/>
          </w:tcPr>
          <w:p>
            <w:pPr>
              <w:spacing w:after="0"/>
              <w:rPr>
                <w:sz w:val="20"/>
                <w:szCs w:val="20"/>
                <w:color w:val="auto"/>
              </w:rPr>
            </w:pPr>
            <w:r>
              <w:rPr>
                <w:rFonts w:ascii="Arial" w:cs="Arial" w:eastAsia="Arial" w:hAnsi="Arial"/>
                <w:sz w:val="18"/>
                <w:szCs w:val="18"/>
                <w:color w:val="auto"/>
              </w:rPr>
              <w:t>ExxonMobil Kazakhstan Inc.</w:t>
            </w:r>
          </w:p>
        </w:tc>
        <w:tc>
          <w:tcPr>
            <w:tcW w:w="2060" w:type="dxa"/>
            <w:vAlign w:val="bottom"/>
          </w:tcPr>
          <w:p>
            <w:pPr>
              <w:jc w:val="center"/>
              <w:spacing w:after="0"/>
              <w:rPr>
                <w:sz w:val="20"/>
                <w:szCs w:val="20"/>
                <w:color w:val="auto"/>
              </w:rPr>
            </w:pPr>
            <w:r>
              <w:rPr>
                <w:rFonts w:ascii="Arial" w:cs="Arial" w:eastAsia="Arial" w:hAnsi="Arial"/>
                <w:sz w:val="18"/>
                <w:szCs w:val="18"/>
                <w:color w:val="auto"/>
                <w:w w:val="93"/>
              </w:rPr>
              <w:t>100</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Arial" w:cs="Arial" w:eastAsia="Arial" w:hAnsi="Arial"/>
                <w:sz w:val="18"/>
                <w:szCs w:val="18"/>
                <w:color w:val="auto"/>
              </w:rPr>
              <w:t>Bahamas</w:t>
            </w:r>
          </w:p>
        </w:tc>
        <w:tc>
          <w:tcPr>
            <w:tcW w:w="0" w:type="dxa"/>
            <w:vAlign w:val="bottom"/>
          </w:tcPr>
          <w:p>
            <w:pPr>
              <w:spacing w:after="0"/>
              <w:rPr>
                <w:sz w:val="1"/>
                <w:szCs w:val="1"/>
                <w:color w:val="auto"/>
              </w:rPr>
            </w:pPr>
          </w:p>
        </w:tc>
      </w:tr>
      <w:tr>
        <w:trPr>
          <w:trHeight w:val="283"/>
        </w:trPr>
        <w:tc>
          <w:tcPr>
            <w:tcW w:w="6720" w:type="dxa"/>
            <w:vAlign w:val="bottom"/>
          </w:tcPr>
          <w:p>
            <w:pPr>
              <w:spacing w:after="0"/>
              <w:rPr>
                <w:sz w:val="20"/>
                <w:szCs w:val="20"/>
                <w:color w:val="auto"/>
              </w:rPr>
            </w:pPr>
            <w:r>
              <w:rPr>
                <w:rFonts w:ascii="Arial" w:cs="Arial" w:eastAsia="Arial" w:hAnsi="Arial"/>
                <w:sz w:val="18"/>
                <w:szCs w:val="18"/>
                <w:color w:val="auto"/>
              </w:rPr>
              <w:t>ExxonMobil Kazakhstan Ventures Inc.</w:t>
            </w:r>
          </w:p>
        </w:tc>
        <w:tc>
          <w:tcPr>
            <w:tcW w:w="2060" w:type="dxa"/>
            <w:vAlign w:val="bottom"/>
          </w:tcPr>
          <w:p>
            <w:pPr>
              <w:jc w:val="center"/>
              <w:spacing w:after="0"/>
              <w:rPr>
                <w:sz w:val="20"/>
                <w:szCs w:val="20"/>
                <w:color w:val="auto"/>
              </w:rPr>
            </w:pPr>
            <w:r>
              <w:rPr>
                <w:rFonts w:ascii="Arial" w:cs="Arial" w:eastAsia="Arial" w:hAnsi="Arial"/>
                <w:sz w:val="18"/>
                <w:szCs w:val="18"/>
                <w:color w:val="auto"/>
                <w:w w:val="93"/>
              </w:rPr>
              <w:t>100</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84"/>
        </w:trPr>
        <w:tc>
          <w:tcPr>
            <w:tcW w:w="6720" w:type="dxa"/>
            <w:vAlign w:val="bottom"/>
          </w:tcPr>
          <w:p>
            <w:pPr>
              <w:spacing w:after="0"/>
              <w:rPr>
                <w:sz w:val="20"/>
                <w:szCs w:val="20"/>
                <w:color w:val="auto"/>
              </w:rPr>
            </w:pPr>
            <w:r>
              <w:rPr>
                <w:rFonts w:ascii="Arial" w:cs="Arial" w:eastAsia="Arial" w:hAnsi="Arial"/>
                <w:sz w:val="18"/>
                <w:szCs w:val="18"/>
                <w:color w:val="auto"/>
              </w:rPr>
              <w:t>ExxonMobil Marine Limited</w:t>
            </w:r>
          </w:p>
        </w:tc>
        <w:tc>
          <w:tcPr>
            <w:tcW w:w="2060" w:type="dxa"/>
            <w:vAlign w:val="bottom"/>
          </w:tcPr>
          <w:p>
            <w:pPr>
              <w:jc w:val="center"/>
              <w:spacing w:after="0"/>
              <w:rPr>
                <w:sz w:val="20"/>
                <w:szCs w:val="20"/>
                <w:color w:val="auto"/>
              </w:rPr>
            </w:pPr>
            <w:r>
              <w:rPr>
                <w:rFonts w:ascii="Arial" w:cs="Arial" w:eastAsia="Arial" w:hAnsi="Arial"/>
                <w:sz w:val="18"/>
                <w:szCs w:val="18"/>
                <w:color w:val="auto"/>
                <w:w w:val="93"/>
              </w:rPr>
              <w:t>100</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83"/>
        </w:trPr>
        <w:tc>
          <w:tcPr>
            <w:tcW w:w="6720" w:type="dxa"/>
            <w:vAlign w:val="bottom"/>
          </w:tcPr>
          <w:p>
            <w:pPr>
              <w:spacing w:after="0"/>
              <w:rPr>
                <w:sz w:val="20"/>
                <w:szCs w:val="20"/>
                <w:color w:val="auto"/>
              </w:rPr>
            </w:pPr>
            <w:r>
              <w:rPr>
                <w:rFonts w:ascii="Arial" w:cs="Arial" w:eastAsia="Arial" w:hAnsi="Arial"/>
                <w:sz w:val="18"/>
                <w:szCs w:val="18"/>
                <w:color w:val="auto"/>
              </w:rPr>
              <w:t>ExxonMobil Mexico, S.A. de C.V.</w:t>
            </w:r>
          </w:p>
        </w:tc>
        <w:tc>
          <w:tcPr>
            <w:tcW w:w="2060" w:type="dxa"/>
            <w:vAlign w:val="bottom"/>
          </w:tcPr>
          <w:p>
            <w:pPr>
              <w:jc w:val="center"/>
              <w:spacing w:after="0"/>
              <w:rPr>
                <w:sz w:val="20"/>
                <w:szCs w:val="20"/>
                <w:color w:val="auto"/>
              </w:rPr>
            </w:pPr>
            <w:r>
              <w:rPr>
                <w:rFonts w:ascii="Arial" w:cs="Arial" w:eastAsia="Arial" w:hAnsi="Arial"/>
                <w:sz w:val="18"/>
                <w:szCs w:val="18"/>
                <w:color w:val="auto"/>
                <w:w w:val="93"/>
              </w:rPr>
              <w:t>100</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283"/>
        </w:trPr>
        <w:tc>
          <w:tcPr>
            <w:tcW w:w="6720" w:type="dxa"/>
            <w:vAlign w:val="bottom"/>
          </w:tcPr>
          <w:p>
            <w:pPr>
              <w:spacing w:after="0"/>
              <w:rPr>
                <w:sz w:val="20"/>
                <w:szCs w:val="20"/>
                <w:color w:val="auto"/>
              </w:rPr>
            </w:pPr>
            <w:r>
              <w:rPr>
                <w:rFonts w:ascii="Arial" w:cs="Arial" w:eastAsia="Arial" w:hAnsi="Arial"/>
                <w:sz w:val="18"/>
                <w:szCs w:val="18"/>
                <w:color w:val="auto"/>
              </w:rPr>
              <w:t>ExxonMobil Oil Corporation</w:t>
            </w:r>
          </w:p>
        </w:tc>
        <w:tc>
          <w:tcPr>
            <w:tcW w:w="2060" w:type="dxa"/>
            <w:vAlign w:val="bottom"/>
          </w:tcPr>
          <w:p>
            <w:pPr>
              <w:jc w:val="center"/>
              <w:spacing w:after="0"/>
              <w:rPr>
                <w:sz w:val="20"/>
                <w:szCs w:val="20"/>
                <w:color w:val="auto"/>
              </w:rPr>
            </w:pPr>
            <w:r>
              <w:rPr>
                <w:rFonts w:ascii="Arial" w:cs="Arial" w:eastAsia="Arial" w:hAnsi="Arial"/>
                <w:sz w:val="18"/>
                <w:szCs w:val="18"/>
                <w:color w:val="auto"/>
                <w:w w:val="93"/>
              </w:rPr>
              <w:t>100</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Arial" w:cs="Arial" w:eastAsia="Arial" w:hAnsi="Arial"/>
                <w:sz w:val="18"/>
                <w:szCs w:val="18"/>
                <w:color w:val="auto"/>
              </w:rPr>
              <w:t>New York</w:t>
            </w:r>
          </w:p>
        </w:tc>
        <w:tc>
          <w:tcPr>
            <w:tcW w:w="0" w:type="dxa"/>
            <w:vAlign w:val="bottom"/>
          </w:tcPr>
          <w:p>
            <w:pPr>
              <w:spacing w:after="0"/>
              <w:rPr>
                <w:sz w:val="1"/>
                <w:szCs w:val="1"/>
                <w:color w:val="auto"/>
              </w:rPr>
            </w:pPr>
          </w:p>
        </w:tc>
      </w:tr>
      <w:tr>
        <w:trPr>
          <w:trHeight w:val="284"/>
        </w:trPr>
        <w:tc>
          <w:tcPr>
            <w:tcW w:w="6720" w:type="dxa"/>
            <w:vAlign w:val="bottom"/>
          </w:tcPr>
          <w:p>
            <w:pPr>
              <w:spacing w:after="0"/>
              <w:rPr>
                <w:sz w:val="20"/>
                <w:szCs w:val="20"/>
                <w:color w:val="auto"/>
              </w:rPr>
            </w:pPr>
            <w:r>
              <w:rPr>
                <w:rFonts w:ascii="Arial" w:cs="Arial" w:eastAsia="Arial" w:hAnsi="Arial"/>
                <w:sz w:val="18"/>
                <w:szCs w:val="18"/>
                <w:color w:val="auto"/>
              </w:rPr>
              <w:t>ExxonMobil Permian Highway Pipeline LLC</w:t>
            </w:r>
          </w:p>
        </w:tc>
        <w:tc>
          <w:tcPr>
            <w:tcW w:w="2060" w:type="dxa"/>
            <w:vAlign w:val="bottom"/>
          </w:tcPr>
          <w:p>
            <w:pPr>
              <w:jc w:val="center"/>
              <w:spacing w:after="0"/>
              <w:rPr>
                <w:sz w:val="20"/>
                <w:szCs w:val="20"/>
                <w:color w:val="auto"/>
              </w:rPr>
            </w:pPr>
            <w:r>
              <w:rPr>
                <w:rFonts w:ascii="Arial" w:cs="Arial" w:eastAsia="Arial" w:hAnsi="Arial"/>
                <w:sz w:val="18"/>
                <w:szCs w:val="18"/>
                <w:color w:val="auto"/>
                <w:w w:val="93"/>
              </w:rPr>
              <w:t>100</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83"/>
        </w:trPr>
        <w:tc>
          <w:tcPr>
            <w:tcW w:w="6720" w:type="dxa"/>
            <w:vAlign w:val="bottom"/>
          </w:tcPr>
          <w:p>
            <w:pPr>
              <w:spacing w:after="0"/>
              <w:rPr>
                <w:sz w:val="20"/>
                <w:szCs w:val="20"/>
                <w:color w:val="auto"/>
              </w:rPr>
            </w:pPr>
            <w:r>
              <w:rPr>
                <w:rFonts w:ascii="Arial" w:cs="Arial" w:eastAsia="Arial" w:hAnsi="Arial"/>
                <w:sz w:val="18"/>
                <w:szCs w:val="18"/>
                <w:color w:val="auto"/>
              </w:rPr>
              <w:t>ExxonMobil Petroleum &amp; Chemical BV</w:t>
            </w:r>
          </w:p>
        </w:tc>
        <w:tc>
          <w:tcPr>
            <w:tcW w:w="2060" w:type="dxa"/>
            <w:vAlign w:val="bottom"/>
          </w:tcPr>
          <w:p>
            <w:pPr>
              <w:jc w:val="center"/>
              <w:spacing w:after="0"/>
              <w:rPr>
                <w:sz w:val="20"/>
                <w:szCs w:val="20"/>
                <w:color w:val="auto"/>
              </w:rPr>
            </w:pPr>
            <w:r>
              <w:rPr>
                <w:rFonts w:ascii="Arial" w:cs="Arial" w:eastAsia="Arial" w:hAnsi="Arial"/>
                <w:sz w:val="18"/>
                <w:szCs w:val="18"/>
                <w:color w:val="auto"/>
                <w:w w:val="93"/>
              </w:rPr>
              <w:t>100</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Arial" w:cs="Arial" w:eastAsia="Arial" w:hAnsi="Arial"/>
                <w:sz w:val="18"/>
                <w:szCs w:val="18"/>
                <w:color w:val="auto"/>
              </w:rPr>
              <w:t>Belgium</w:t>
            </w:r>
          </w:p>
        </w:tc>
        <w:tc>
          <w:tcPr>
            <w:tcW w:w="0" w:type="dxa"/>
            <w:vAlign w:val="bottom"/>
          </w:tcPr>
          <w:p>
            <w:pPr>
              <w:spacing w:after="0"/>
              <w:rPr>
                <w:sz w:val="1"/>
                <w:szCs w:val="1"/>
                <w:color w:val="auto"/>
              </w:rPr>
            </w:pPr>
          </w:p>
        </w:tc>
      </w:tr>
      <w:tr>
        <w:trPr>
          <w:trHeight w:val="284"/>
        </w:trPr>
        <w:tc>
          <w:tcPr>
            <w:tcW w:w="6720" w:type="dxa"/>
            <w:vAlign w:val="bottom"/>
          </w:tcPr>
          <w:p>
            <w:pPr>
              <w:spacing w:after="0"/>
              <w:rPr>
                <w:sz w:val="20"/>
                <w:szCs w:val="20"/>
                <w:color w:val="auto"/>
              </w:rPr>
            </w:pPr>
            <w:r>
              <w:rPr>
                <w:rFonts w:ascii="Arial" w:cs="Arial" w:eastAsia="Arial" w:hAnsi="Arial"/>
                <w:sz w:val="18"/>
                <w:szCs w:val="18"/>
                <w:color w:val="auto"/>
              </w:rPr>
              <w:t>ExxonMobil Pipeline Company</w:t>
            </w:r>
          </w:p>
        </w:tc>
        <w:tc>
          <w:tcPr>
            <w:tcW w:w="2060" w:type="dxa"/>
            <w:vAlign w:val="bottom"/>
          </w:tcPr>
          <w:p>
            <w:pPr>
              <w:jc w:val="center"/>
              <w:spacing w:after="0"/>
              <w:rPr>
                <w:sz w:val="20"/>
                <w:szCs w:val="20"/>
                <w:color w:val="auto"/>
              </w:rPr>
            </w:pPr>
            <w:r>
              <w:rPr>
                <w:rFonts w:ascii="Arial" w:cs="Arial" w:eastAsia="Arial" w:hAnsi="Arial"/>
                <w:sz w:val="18"/>
                <w:szCs w:val="18"/>
                <w:color w:val="auto"/>
                <w:w w:val="93"/>
              </w:rPr>
              <w:t>100</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83"/>
        </w:trPr>
        <w:tc>
          <w:tcPr>
            <w:tcW w:w="6720" w:type="dxa"/>
            <w:vAlign w:val="bottom"/>
          </w:tcPr>
          <w:p>
            <w:pPr>
              <w:spacing w:after="0"/>
              <w:rPr>
                <w:sz w:val="20"/>
                <w:szCs w:val="20"/>
                <w:color w:val="auto"/>
              </w:rPr>
            </w:pPr>
            <w:r>
              <w:rPr>
                <w:rFonts w:ascii="Arial" w:cs="Arial" w:eastAsia="Arial" w:hAnsi="Arial"/>
                <w:sz w:val="18"/>
                <w:szCs w:val="18"/>
                <w:color w:val="auto"/>
              </w:rPr>
              <w:t>ExxonMobil PNG Antelope Limited</w:t>
            </w:r>
          </w:p>
        </w:tc>
        <w:tc>
          <w:tcPr>
            <w:tcW w:w="2060" w:type="dxa"/>
            <w:vAlign w:val="bottom"/>
          </w:tcPr>
          <w:p>
            <w:pPr>
              <w:jc w:val="center"/>
              <w:spacing w:after="0"/>
              <w:rPr>
                <w:sz w:val="20"/>
                <w:szCs w:val="20"/>
                <w:color w:val="auto"/>
              </w:rPr>
            </w:pPr>
            <w:r>
              <w:rPr>
                <w:rFonts w:ascii="Arial" w:cs="Arial" w:eastAsia="Arial" w:hAnsi="Arial"/>
                <w:sz w:val="18"/>
                <w:szCs w:val="18"/>
                <w:color w:val="auto"/>
                <w:w w:val="93"/>
              </w:rPr>
              <w:t>100</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Arial" w:cs="Arial" w:eastAsia="Arial" w:hAnsi="Arial"/>
                <w:sz w:val="18"/>
                <w:szCs w:val="18"/>
                <w:color w:val="auto"/>
              </w:rPr>
              <w:t>Papua New Guinea</w:t>
            </w:r>
          </w:p>
        </w:tc>
        <w:tc>
          <w:tcPr>
            <w:tcW w:w="0" w:type="dxa"/>
            <w:vAlign w:val="bottom"/>
          </w:tcPr>
          <w:p>
            <w:pPr>
              <w:spacing w:after="0"/>
              <w:rPr>
                <w:sz w:val="1"/>
                <w:szCs w:val="1"/>
                <w:color w:val="auto"/>
              </w:rPr>
            </w:pPr>
          </w:p>
        </w:tc>
      </w:tr>
      <w:tr>
        <w:trPr>
          <w:trHeight w:val="283"/>
        </w:trPr>
        <w:tc>
          <w:tcPr>
            <w:tcW w:w="6720" w:type="dxa"/>
            <w:vAlign w:val="bottom"/>
          </w:tcPr>
          <w:p>
            <w:pPr>
              <w:spacing w:after="0"/>
              <w:rPr>
                <w:sz w:val="20"/>
                <w:szCs w:val="20"/>
                <w:color w:val="auto"/>
              </w:rPr>
            </w:pPr>
            <w:r>
              <w:rPr>
                <w:rFonts w:ascii="Arial" w:cs="Arial" w:eastAsia="Arial" w:hAnsi="Arial"/>
                <w:sz w:val="18"/>
                <w:szCs w:val="18"/>
                <w:color w:val="auto"/>
              </w:rPr>
              <w:t>ExxonMobil PNG Limited</w:t>
            </w:r>
          </w:p>
        </w:tc>
        <w:tc>
          <w:tcPr>
            <w:tcW w:w="2060" w:type="dxa"/>
            <w:vAlign w:val="bottom"/>
          </w:tcPr>
          <w:p>
            <w:pPr>
              <w:jc w:val="center"/>
              <w:spacing w:after="0"/>
              <w:rPr>
                <w:sz w:val="20"/>
                <w:szCs w:val="20"/>
                <w:color w:val="auto"/>
              </w:rPr>
            </w:pPr>
            <w:r>
              <w:rPr>
                <w:rFonts w:ascii="Arial" w:cs="Arial" w:eastAsia="Arial" w:hAnsi="Arial"/>
                <w:sz w:val="18"/>
                <w:szCs w:val="18"/>
                <w:color w:val="auto"/>
                <w:w w:val="93"/>
              </w:rPr>
              <w:t>100</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Arial" w:cs="Arial" w:eastAsia="Arial" w:hAnsi="Arial"/>
                <w:sz w:val="18"/>
                <w:szCs w:val="18"/>
                <w:color w:val="auto"/>
              </w:rPr>
              <w:t>Papua New Guinea</w:t>
            </w:r>
          </w:p>
        </w:tc>
        <w:tc>
          <w:tcPr>
            <w:tcW w:w="0" w:type="dxa"/>
            <w:vAlign w:val="bottom"/>
          </w:tcPr>
          <w:p>
            <w:pPr>
              <w:spacing w:after="0"/>
              <w:rPr>
                <w:sz w:val="1"/>
                <w:szCs w:val="1"/>
                <w:color w:val="auto"/>
              </w:rPr>
            </w:pPr>
          </w:p>
        </w:tc>
      </w:tr>
      <w:tr>
        <w:trPr>
          <w:trHeight w:val="284"/>
        </w:trPr>
        <w:tc>
          <w:tcPr>
            <w:tcW w:w="6720" w:type="dxa"/>
            <w:vAlign w:val="bottom"/>
          </w:tcPr>
          <w:p>
            <w:pPr>
              <w:spacing w:after="0"/>
              <w:rPr>
                <w:sz w:val="20"/>
                <w:szCs w:val="20"/>
                <w:color w:val="auto"/>
              </w:rPr>
            </w:pPr>
            <w:r>
              <w:rPr>
                <w:rFonts w:ascii="Arial" w:cs="Arial" w:eastAsia="Arial" w:hAnsi="Arial"/>
                <w:sz w:val="18"/>
                <w:szCs w:val="18"/>
                <w:color w:val="auto"/>
              </w:rPr>
              <w:t>ExxonMobil Qatargas (II) Limited</w:t>
            </w:r>
          </w:p>
        </w:tc>
        <w:tc>
          <w:tcPr>
            <w:tcW w:w="2060" w:type="dxa"/>
            <w:vAlign w:val="bottom"/>
          </w:tcPr>
          <w:p>
            <w:pPr>
              <w:jc w:val="center"/>
              <w:spacing w:after="0"/>
              <w:rPr>
                <w:sz w:val="20"/>
                <w:szCs w:val="20"/>
                <w:color w:val="auto"/>
              </w:rPr>
            </w:pPr>
            <w:r>
              <w:rPr>
                <w:rFonts w:ascii="Arial" w:cs="Arial" w:eastAsia="Arial" w:hAnsi="Arial"/>
                <w:sz w:val="18"/>
                <w:szCs w:val="18"/>
                <w:color w:val="auto"/>
                <w:w w:val="93"/>
              </w:rPr>
              <w:t>100</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Arial" w:cs="Arial" w:eastAsia="Arial" w:hAnsi="Arial"/>
                <w:sz w:val="18"/>
                <w:szCs w:val="18"/>
                <w:color w:val="auto"/>
              </w:rPr>
              <w:t>Bahamas</w:t>
            </w:r>
          </w:p>
        </w:tc>
        <w:tc>
          <w:tcPr>
            <w:tcW w:w="0" w:type="dxa"/>
            <w:vAlign w:val="bottom"/>
          </w:tcPr>
          <w:p>
            <w:pPr>
              <w:spacing w:after="0"/>
              <w:rPr>
                <w:sz w:val="1"/>
                <w:szCs w:val="1"/>
                <w:color w:val="auto"/>
              </w:rPr>
            </w:pPr>
          </w:p>
        </w:tc>
      </w:tr>
      <w:tr>
        <w:trPr>
          <w:trHeight w:val="284"/>
        </w:trPr>
        <w:tc>
          <w:tcPr>
            <w:tcW w:w="6720" w:type="dxa"/>
            <w:vAlign w:val="bottom"/>
          </w:tcPr>
          <w:p>
            <w:pPr>
              <w:spacing w:after="0"/>
              <w:rPr>
                <w:sz w:val="20"/>
                <w:szCs w:val="20"/>
                <w:color w:val="auto"/>
              </w:rPr>
            </w:pPr>
            <w:r>
              <w:rPr>
                <w:rFonts w:ascii="Arial" w:cs="Arial" w:eastAsia="Arial" w:hAnsi="Arial"/>
                <w:sz w:val="18"/>
                <w:szCs w:val="18"/>
                <w:color w:val="auto"/>
              </w:rPr>
              <w:t>ExxonMobil Qatargas Inc.</w:t>
            </w:r>
          </w:p>
        </w:tc>
        <w:tc>
          <w:tcPr>
            <w:tcW w:w="2060" w:type="dxa"/>
            <w:vAlign w:val="bottom"/>
          </w:tcPr>
          <w:p>
            <w:pPr>
              <w:jc w:val="center"/>
              <w:spacing w:after="0"/>
              <w:rPr>
                <w:sz w:val="20"/>
                <w:szCs w:val="20"/>
                <w:color w:val="auto"/>
              </w:rPr>
            </w:pPr>
            <w:r>
              <w:rPr>
                <w:rFonts w:ascii="Arial" w:cs="Arial" w:eastAsia="Arial" w:hAnsi="Arial"/>
                <w:sz w:val="18"/>
                <w:szCs w:val="18"/>
                <w:color w:val="auto"/>
                <w:w w:val="93"/>
              </w:rPr>
              <w:t>100</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84"/>
        </w:trPr>
        <w:tc>
          <w:tcPr>
            <w:tcW w:w="6720" w:type="dxa"/>
            <w:vAlign w:val="bottom"/>
          </w:tcPr>
          <w:p>
            <w:pPr>
              <w:spacing w:after="0"/>
              <w:rPr>
                <w:sz w:val="20"/>
                <w:szCs w:val="20"/>
                <w:color w:val="auto"/>
              </w:rPr>
            </w:pPr>
            <w:r>
              <w:rPr>
                <w:rFonts w:ascii="Arial" w:cs="Arial" w:eastAsia="Arial" w:hAnsi="Arial"/>
                <w:sz w:val="18"/>
                <w:szCs w:val="18"/>
                <w:color w:val="auto"/>
              </w:rPr>
              <w:t>ExxonMobil Ras Laffan (III) Limited</w:t>
            </w:r>
          </w:p>
        </w:tc>
        <w:tc>
          <w:tcPr>
            <w:tcW w:w="2060" w:type="dxa"/>
            <w:vAlign w:val="bottom"/>
          </w:tcPr>
          <w:p>
            <w:pPr>
              <w:jc w:val="center"/>
              <w:spacing w:after="0"/>
              <w:rPr>
                <w:sz w:val="20"/>
                <w:szCs w:val="20"/>
                <w:color w:val="auto"/>
              </w:rPr>
            </w:pPr>
            <w:r>
              <w:rPr>
                <w:rFonts w:ascii="Arial" w:cs="Arial" w:eastAsia="Arial" w:hAnsi="Arial"/>
                <w:sz w:val="18"/>
                <w:szCs w:val="18"/>
                <w:color w:val="auto"/>
                <w:w w:val="93"/>
              </w:rPr>
              <w:t>100</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Arial" w:cs="Arial" w:eastAsia="Arial" w:hAnsi="Arial"/>
                <w:sz w:val="18"/>
                <w:szCs w:val="18"/>
                <w:color w:val="auto"/>
              </w:rPr>
              <w:t>Bahamas</w:t>
            </w:r>
          </w:p>
        </w:tc>
        <w:tc>
          <w:tcPr>
            <w:tcW w:w="0" w:type="dxa"/>
            <w:vAlign w:val="bottom"/>
          </w:tcPr>
          <w:p>
            <w:pPr>
              <w:spacing w:after="0"/>
              <w:rPr>
                <w:sz w:val="1"/>
                <w:szCs w:val="1"/>
                <w:color w:val="auto"/>
              </w:rPr>
            </w:pPr>
          </w:p>
        </w:tc>
      </w:tr>
      <w:tr>
        <w:trPr>
          <w:trHeight w:val="283"/>
        </w:trPr>
        <w:tc>
          <w:tcPr>
            <w:tcW w:w="6720" w:type="dxa"/>
            <w:vAlign w:val="bottom"/>
          </w:tcPr>
          <w:p>
            <w:pPr>
              <w:spacing w:after="0"/>
              <w:rPr>
                <w:sz w:val="20"/>
                <w:szCs w:val="20"/>
                <w:color w:val="auto"/>
              </w:rPr>
            </w:pPr>
            <w:r>
              <w:rPr>
                <w:rFonts w:ascii="Arial" w:cs="Arial" w:eastAsia="Arial" w:hAnsi="Arial"/>
                <w:sz w:val="18"/>
                <w:szCs w:val="18"/>
                <w:color w:val="auto"/>
              </w:rPr>
              <w:t>ExxonMobil Rasgas Inc.</w:t>
            </w:r>
          </w:p>
        </w:tc>
        <w:tc>
          <w:tcPr>
            <w:tcW w:w="2060" w:type="dxa"/>
            <w:vAlign w:val="bottom"/>
          </w:tcPr>
          <w:p>
            <w:pPr>
              <w:jc w:val="center"/>
              <w:spacing w:after="0"/>
              <w:rPr>
                <w:sz w:val="20"/>
                <w:szCs w:val="20"/>
                <w:color w:val="auto"/>
              </w:rPr>
            </w:pPr>
            <w:r>
              <w:rPr>
                <w:rFonts w:ascii="Arial" w:cs="Arial" w:eastAsia="Arial" w:hAnsi="Arial"/>
                <w:sz w:val="18"/>
                <w:szCs w:val="18"/>
                <w:color w:val="auto"/>
                <w:w w:val="93"/>
              </w:rPr>
              <w:t>100</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84"/>
        </w:trPr>
        <w:tc>
          <w:tcPr>
            <w:tcW w:w="6720" w:type="dxa"/>
            <w:vAlign w:val="bottom"/>
          </w:tcPr>
          <w:p>
            <w:pPr>
              <w:spacing w:after="0"/>
              <w:rPr>
                <w:sz w:val="20"/>
                <w:szCs w:val="20"/>
                <w:color w:val="auto"/>
              </w:rPr>
            </w:pPr>
            <w:r>
              <w:rPr>
                <w:rFonts w:ascii="Arial" w:cs="Arial" w:eastAsia="Arial" w:hAnsi="Arial"/>
                <w:sz w:val="18"/>
                <w:szCs w:val="18"/>
                <w:color w:val="auto"/>
              </w:rPr>
              <w:t>ExxonMobil Research and Engineering Company</w:t>
            </w:r>
          </w:p>
        </w:tc>
        <w:tc>
          <w:tcPr>
            <w:tcW w:w="2060" w:type="dxa"/>
            <w:vAlign w:val="bottom"/>
          </w:tcPr>
          <w:p>
            <w:pPr>
              <w:jc w:val="center"/>
              <w:spacing w:after="0"/>
              <w:rPr>
                <w:sz w:val="20"/>
                <w:szCs w:val="20"/>
                <w:color w:val="auto"/>
              </w:rPr>
            </w:pPr>
            <w:r>
              <w:rPr>
                <w:rFonts w:ascii="Arial" w:cs="Arial" w:eastAsia="Arial" w:hAnsi="Arial"/>
                <w:sz w:val="18"/>
                <w:szCs w:val="18"/>
                <w:color w:val="auto"/>
                <w:w w:val="93"/>
              </w:rPr>
              <w:t>100</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84"/>
        </w:trPr>
        <w:tc>
          <w:tcPr>
            <w:tcW w:w="6720" w:type="dxa"/>
            <w:vAlign w:val="bottom"/>
          </w:tcPr>
          <w:p>
            <w:pPr>
              <w:spacing w:after="0"/>
              <w:rPr>
                <w:sz w:val="20"/>
                <w:szCs w:val="20"/>
                <w:color w:val="auto"/>
              </w:rPr>
            </w:pPr>
            <w:r>
              <w:rPr>
                <w:rFonts w:ascii="Arial" w:cs="Arial" w:eastAsia="Arial" w:hAnsi="Arial"/>
                <w:sz w:val="18"/>
                <w:szCs w:val="18"/>
                <w:color w:val="auto"/>
              </w:rPr>
              <w:t>ExxonMobil Upstream Integrated Solutions Company</w:t>
            </w:r>
          </w:p>
        </w:tc>
        <w:tc>
          <w:tcPr>
            <w:tcW w:w="2060" w:type="dxa"/>
            <w:vAlign w:val="bottom"/>
          </w:tcPr>
          <w:p>
            <w:pPr>
              <w:jc w:val="center"/>
              <w:spacing w:after="0"/>
              <w:rPr>
                <w:sz w:val="20"/>
                <w:szCs w:val="20"/>
                <w:color w:val="auto"/>
              </w:rPr>
            </w:pPr>
            <w:r>
              <w:rPr>
                <w:rFonts w:ascii="Arial" w:cs="Arial" w:eastAsia="Arial" w:hAnsi="Arial"/>
                <w:sz w:val="18"/>
                <w:szCs w:val="18"/>
                <w:color w:val="auto"/>
                <w:w w:val="93"/>
              </w:rPr>
              <w:t>100</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83"/>
        </w:trPr>
        <w:tc>
          <w:tcPr>
            <w:tcW w:w="6720" w:type="dxa"/>
            <w:vAlign w:val="bottom"/>
          </w:tcPr>
          <w:p>
            <w:pPr>
              <w:spacing w:after="0"/>
              <w:rPr>
                <w:sz w:val="20"/>
                <w:szCs w:val="20"/>
                <w:color w:val="auto"/>
              </w:rPr>
            </w:pPr>
            <w:r>
              <w:rPr>
                <w:rFonts w:ascii="Arial" w:cs="Arial" w:eastAsia="Arial" w:hAnsi="Arial"/>
                <w:sz w:val="18"/>
                <w:szCs w:val="18"/>
                <w:color w:val="auto"/>
              </w:rPr>
              <w:t xml:space="preserve">Fujian Refining &amp; Petrochemical Co. Ltd. </w:t>
            </w:r>
            <w:r>
              <w:rPr>
                <w:rFonts w:ascii="Arial" w:cs="Arial" w:eastAsia="Arial" w:hAnsi="Arial"/>
                <w:sz w:val="18"/>
                <w:szCs w:val="18"/>
                <w:i w:val="1"/>
                <w:iCs w:val="1"/>
                <w:color w:val="auto"/>
              </w:rPr>
              <w:t>(5)</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25</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84"/>
        </w:trPr>
        <w:tc>
          <w:tcPr>
            <w:tcW w:w="6720" w:type="dxa"/>
            <w:vAlign w:val="bottom"/>
          </w:tcPr>
          <w:p>
            <w:pPr>
              <w:spacing w:after="0"/>
              <w:rPr>
                <w:sz w:val="20"/>
                <w:szCs w:val="20"/>
                <w:color w:val="auto"/>
              </w:rPr>
            </w:pPr>
            <w:r>
              <w:rPr>
                <w:rFonts w:ascii="Arial" w:cs="Arial" w:eastAsia="Arial" w:hAnsi="Arial"/>
                <w:sz w:val="18"/>
                <w:szCs w:val="18"/>
                <w:color w:val="auto"/>
              </w:rPr>
              <w:t>Golden Pass LNG Terminal Investments LLC</w:t>
            </w:r>
          </w:p>
        </w:tc>
        <w:tc>
          <w:tcPr>
            <w:tcW w:w="2060" w:type="dxa"/>
            <w:vAlign w:val="bottom"/>
          </w:tcPr>
          <w:p>
            <w:pPr>
              <w:jc w:val="center"/>
              <w:spacing w:after="0"/>
              <w:rPr>
                <w:sz w:val="20"/>
                <w:szCs w:val="20"/>
                <w:color w:val="auto"/>
              </w:rPr>
            </w:pPr>
            <w:r>
              <w:rPr>
                <w:rFonts w:ascii="Arial" w:cs="Arial" w:eastAsia="Arial" w:hAnsi="Arial"/>
                <w:sz w:val="18"/>
                <w:szCs w:val="18"/>
                <w:color w:val="auto"/>
                <w:w w:val="93"/>
              </w:rPr>
              <w:t>100</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83"/>
        </w:trPr>
        <w:tc>
          <w:tcPr>
            <w:tcW w:w="6720" w:type="dxa"/>
            <w:vAlign w:val="bottom"/>
          </w:tcPr>
          <w:p>
            <w:pPr>
              <w:spacing w:after="0"/>
              <w:rPr>
                <w:sz w:val="20"/>
                <w:szCs w:val="20"/>
                <w:color w:val="auto"/>
              </w:rPr>
            </w:pPr>
            <w:r>
              <w:rPr>
                <w:rFonts w:ascii="Arial" w:cs="Arial" w:eastAsia="Arial" w:hAnsi="Arial"/>
                <w:sz w:val="18"/>
                <w:szCs w:val="18"/>
                <w:color w:val="auto"/>
              </w:rPr>
              <w:t xml:space="preserve">Golden Pass LNG Terminal LLC </w:t>
            </w:r>
            <w:r>
              <w:rPr>
                <w:rFonts w:ascii="Arial" w:cs="Arial" w:eastAsia="Arial" w:hAnsi="Arial"/>
                <w:sz w:val="18"/>
                <w:szCs w:val="18"/>
                <w:i w:val="1"/>
                <w:iCs w:val="1"/>
                <w:color w:val="auto"/>
              </w:rPr>
              <w:t>(5)</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30</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40" w:top="827" w:right="339" w:bottom="1440" w:gutter="0" w:footer="0" w:header="0"/>
        </w:sectPr>
      </w:pPr>
    </w:p>
    <w:p>
      <w:pPr>
        <w:spacing w:after="0" w:line="312"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1220"/>
          </w:cols>
          <w:pgMar w:left="340" w:top="827" w:right="339" w:bottom="1440" w:gutter="0" w:footer="0" w:header="0"/>
          <w:type w:val="continuous"/>
        </w:sectPr>
      </w:pPr>
    </w:p>
    <w:bookmarkStart w:id="135" w:name="page136"/>
    <w:bookmarkEnd w:id="135"/>
    <w:tbl>
      <w:tblPr>
        <w:tblLayout w:type="fixed"/>
        <w:tblInd w:w="0" w:type="dxa"/>
        <w:tblCellMar>
          <w:top w:w="0" w:type="dxa"/>
          <w:left w:w="0" w:type="dxa"/>
          <w:bottom w:w="0" w:type="dxa"/>
          <w:right w:w="0" w:type="dxa"/>
        </w:tblCellMar>
      </w:tblPr>
      <w:tr>
        <w:trPr>
          <w:trHeight w:val="216"/>
        </w:trPr>
        <w:tc>
          <w:tcPr>
            <w:tcW w:w="6720" w:type="dxa"/>
            <w:vAlign w:val="bottom"/>
          </w:tcPr>
          <w:p>
            <w:pPr>
              <w:spacing w:after="0"/>
              <w:rPr>
                <w:sz w:val="18"/>
                <w:szCs w:val="18"/>
                <w:color w:val="auto"/>
              </w:rPr>
            </w:pPr>
          </w:p>
        </w:tc>
        <w:tc>
          <w:tcPr>
            <w:tcW w:w="2440" w:type="dxa"/>
            <w:vAlign w:val="bottom"/>
            <w:gridSpan w:val="2"/>
          </w:tcPr>
          <w:p>
            <w:pPr>
              <w:jc w:val="center"/>
              <w:ind w:right="380"/>
              <w:spacing w:after="0"/>
              <w:rPr>
                <w:sz w:val="20"/>
                <w:szCs w:val="20"/>
                <w:color w:val="auto"/>
              </w:rPr>
            </w:pPr>
            <w:r>
              <w:rPr>
                <w:rFonts w:ascii="Arial" w:cs="Arial" w:eastAsia="Arial" w:hAnsi="Arial"/>
                <w:sz w:val="18"/>
                <w:szCs w:val="18"/>
                <w:color w:val="auto"/>
                <w:w w:val="87"/>
              </w:rPr>
              <w:t>Percentage of</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spacing w:after="0"/>
              <w:rPr>
                <w:sz w:val="18"/>
                <w:szCs w:val="18"/>
                <w:color w:val="auto"/>
              </w:rPr>
            </w:pPr>
          </w:p>
        </w:tc>
        <w:tc>
          <w:tcPr>
            <w:tcW w:w="244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Voting Securities</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spacing w:after="0"/>
              <w:rPr>
                <w:sz w:val="18"/>
                <w:szCs w:val="18"/>
                <w:color w:val="auto"/>
              </w:rPr>
            </w:pPr>
          </w:p>
        </w:tc>
        <w:tc>
          <w:tcPr>
            <w:tcW w:w="2440" w:type="dxa"/>
            <w:vAlign w:val="bottom"/>
            <w:gridSpan w:val="2"/>
          </w:tcPr>
          <w:p>
            <w:pPr>
              <w:jc w:val="center"/>
              <w:ind w:right="360"/>
              <w:spacing w:after="0"/>
              <w:rPr>
                <w:sz w:val="20"/>
                <w:szCs w:val="20"/>
                <w:color w:val="auto"/>
              </w:rPr>
            </w:pPr>
            <w:r>
              <w:rPr>
                <w:rFonts w:ascii="Arial" w:cs="Arial" w:eastAsia="Arial" w:hAnsi="Arial"/>
                <w:sz w:val="18"/>
                <w:szCs w:val="18"/>
                <w:color w:val="auto"/>
                <w:w w:val="95"/>
              </w:rPr>
              <w:t>Owned Directly</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spacing w:after="0"/>
              <w:rPr>
                <w:sz w:val="18"/>
                <w:szCs w:val="18"/>
                <w:color w:val="auto"/>
              </w:rPr>
            </w:pPr>
          </w:p>
        </w:tc>
        <w:tc>
          <w:tcPr>
            <w:tcW w:w="2440" w:type="dxa"/>
            <w:vAlign w:val="bottom"/>
            <w:gridSpan w:val="2"/>
          </w:tcPr>
          <w:p>
            <w:pPr>
              <w:jc w:val="center"/>
              <w:ind w:right="360"/>
              <w:spacing w:after="0"/>
              <w:rPr>
                <w:sz w:val="20"/>
                <w:szCs w:val="20"/>
                <w:color w:val="auto"/>
              </w:rPr>
            </w:pPr>
            <w:r>
              <w:rPr>
                <w:rFonts w:ascii="Arial" w:cs="Arial" w:eastAsia="Arial" w:hAnsi="Arial"/>
                <w:sz w:val="18"/>
                <w:szCs w:val="18"/>
                <w:color w:val="auto"/>
                <w:w w:val="95"/>
              </w:rPr>
              <w:t>or Indirectly by</w:t>
            </w:r>
          </w:p>
        </w:tc>
        <w:tc>
          <w:tcPr>
            <w:tcW w:w="2060" w:type="dxa"/>
            <w:vAlign w:val="bottom"/>
          </w:tcPr>
          <w:p>
            <w:pPr>
              <w:ind w:left="740"/>
              <w:spacing w:after="0"/>
              <w:rPr>
                <w:sz w:val="20"/>
                <w:szCs w:val="20"/>
                <w:color w:val="auto"/>
              </w:rPr>
            </w:pPr>
            <w:r>
              <w:rPr>
                <w:rFonts w:ascii="Arial" w:cs="Arial" w:eastAsia="Arial" w:hAnsi="Arial"/>
                <w:sz w:val="18"/>
                <w:szCs w:val="18"/>
                <w:color w:val="auto"/>
              </w:rPr>
              <w:t>State or</w:t>
            </w:r>
          </w:p>
        </w:tc>
        <w:tc>
          <w:tcPr>
            <w:tcW w:w="0" w:type="dxa"/>
            <w:vAlign w:val="bottom"/>
          </w:tcPr>
          <w:p>
            <w:pPr>
              <w:spacing w:after="0"/>
              <w:rPr>
                <w:sz w:val="1"/>
                <w:szCs w:val="1"/>
                <w:color w:val="auto"/>
              </w:rPr>
            </w:pPr>
          </w:p>
        </w:tc>
      </w:tr>
      <w:tr>
        <w:trPr>
          <w:trHeight w:val="230"/>
        </w:trPr>
        <w:tc>
          <w:tcPr>
            <w:tcW w:w="6720" w:type="dxa"/>
            <w:vAlign w:val="bottom"/>
          </w:tcPr>
          <w:p>
            <w:pPr>
              <w:spacing w:after="0"/>
              <w:rPr>
                <w:sz w:val="20"/>
                <w:szCs w:val="20"/>
                <w:color w:val="auto"/>
              </w:rPr>
            </w:pPr>
          </w:p>
        </w:tc>
        <w:tc>
          <w:tcPr>
            <w:tcW w:w="2440" w:type="dxa"/>
            <w:vAlign w:val="bottom"/>
            <w:gridSpan w:val="2"/>
          </w:tcPr>
          <w:p>
            <w:pPr>
              <w:jc w:val="center"/>
              <w:ind w:right="380"/>
              <w:spacing w:after="0"/>
              <w:rPr>
                <w:sz w:val="20"/>
                <w:szCs w:val="20"/>
                <w:color w:val="auto"/>
              </w:rPr>
            </w:pPr>
            <w:r>
              <w:rPr>
                <w:rFonts w:ascii="Arial" w:cs="Arial" w:eastAsia="Arial" w:hAnsi="Arial"/>
                <w:sz w:val="18"/>
                <w:szCs w:val="18"/>
                <w:color w:val="auto"/>
                <w:w w:val="90"/>
              </w:rPr>
              <w:t>Registrant</w:t>
            </w:r>
          </w:p>
        </w:tc>
        <w:tc>
          <w:tcPr>
            <w:tcW w:w="2060" w:type="dxa"/>
            <w:vAlign w:val="bottom"/>
          </w:tcPr>
          <w:p>
            <w:pPr>
              <w:ind w:left="140"/>
              <w:spacing w:after="0"/>
              <w:rPr>
                <w:sz w:val="20"/>
                <w:szCs w:val="20"/>
                <w:color w:val="auto"/>
              </w:rPr>
            </w:pPr>
            <w:r>
              <w:rPr>
                <w:rFonts w:ascii="Arial" w:cs="Arial" w:eastAsia="Arial" w:hAnsi="Arial"/>
                <w:sz w:val="18"/>
                <w:szCs w:val="18"/>
                <w:color w:val="auto"/>
                <w:w w:val="99"/>
              </w:rPr>
              <w:t>Country of Organization</w:t>
            </w:r>
          </w:p>
        </w:tc>
        <w:tc>
          <w:tcPr>
            <w:tcW w:w="0" w:type="dxa"/>
            <w:vAlign w:val="bottom"/>
          </w:tcPr>
          <w:p>
            <w:pPr>
              <w:spacing w:after="0"/>
              <w:rPr>
                <w:sz w:val="1"/>
                <w:szCs w:val="1"/>
                <w:color w:val="auto"/>
              </w:rPr>
            </w:pPr>
          </w:p>
        </w:tc>
      </w:tr>
      <w:tr>
        <w:trPr>
          <w:trHeight w:val="27"/>
        </w:trPr>
        <w:tc>
          <w:tcPr>
            <w:tcW w:w="6720" w:type="dxa"/>
            <w:vAlign w:val="bottom"/>
            <w:vMerge w:val="restart"/>
          </w:tcPr>
          <w:p>
            <w:pPr>
              <w:spacing w:after="0"/>
              <w:rPr>
                <w:sz w:val="20"/>
                <w:szCs w:val="20"/>
                <w:color w:val="auto"/>
              </w:rPr>
            </w:pPr>
            <w:r>
              <w:rPr>
                <w:rFonts w:ascii="Arial" w:cs="Arial" w:eastAsia="Arial" w:hAnsi="Arial"/>
                <w:sz w:val="18"/>
                <w:szCs w:val="18"/>
                <w:color w:val="auto"/>
              </w:rPr>
              <w:t xml:space="preserve">Golden Pass Pipeline LLC </w:t>
            </w:r>
            <w:r>
              <w:rPr>
                <w:rFonts w:ascii="Arial" w:cs="Arial" w:eastAsia="Arial" w:hAnsi="Arial"/>
                <w:sz w:val="18"/>
                <w:szCs w:val="18"/>
                <w:i w:val="1"/>
                <w:iCs w:val="1"/>
                <w:color w:val="auto"/>
              </w:rPr>
              <w:t>(5)</w:t>
            </w:r>
          </w:p>
        </w:tc>
        <w:tc>
          <w:tcPr>
            <w:tcW w:w="206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720" w:type="dxa"/>
            <w:vAlign w:val="bottom"/>
            <w:vMerge w:val="continue"/>
          </w:tcPr>
          <w:p>
            <w:pPr>
              <w:spacing w:after="0"/>
              <w:rPr>
                <w:sz w:val="21"/>
                <w:szCs w:val="21"/>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30</w:t>
            </w:r>
          </w:p>
        </w:tc>
        <w:tc>
          <w:tcPr>
            <w:tcW w:w="380" w:type="dxa"/>
            <w:vAlign w:val="bottom"/>
          </w:tcPr>
          <w:p>
            <w:pPr>
              <w:spacing w:after="0"/>
              <w:rPr>
                <w:sz w:val="21"/>
                <w:szCs w:val="21"/>
                <w:color w:val="auto"/>
              </w:rPr>
            </w:pPr>
          </w:p>
        </w:tc>
        <w:tc>
          <w:tcPr>
            <w:tcW w:w="206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83"/>
        </w:trPr>
        <w:tc>
          <w:tcPr>
            <w:tcW w:w="6720" w:type="dxa"/>
            <w:vAlign w:val="bottom"/>
          </w:tcPr>
          <w:p>
            <w:pPr>
              <w:spacing w:after="0"/>
              <w:rPr>
                <w:sz w:val="20"/>
                <w:szCs w:val="20"/>
                <w:color w:val="auto"/>
              </w:rPr>
            </w:pPr>
            <w:r>
              <w:rPr>
                <w:rFonts w:ascii="Arial" w:cs="Arial" w:eastAsia="Arial" w:hAnsi="Arial"/>
                <w:sz w:val="18"/>
                <w:szCs w:val="18"/>
                <w:color w:val="auto"/>
              </w:rPr>
              <w:t xml:space="preserve">Gulf Coast Growth Ventures LLC </w:t>
            </w:r>
            <w:r>
              <w:rPr>
                <w:rFonts w:ascii="Arial" w:cs="Arial" w:eastAsia="Arial" w:hAnsi="Arial"/>
                <w:sz w:val="18"/>
                <w:szCs w:val="18"/>
                <w:i w:val="1"/>
                <w:iCs w:val="1"/>
                <w:color w:val="auto"/>
              </w:rPr>
              <w:t>(4) (5)</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84"/>
        </w:trPr>
        <w:tc>
          <w:tcPr>
            <w:tcW w:w="6720" w:type="dxa"/>
            <w:vAlign w:val="bottom"/>
          </w:tcPr>
          <w:p>
            <w:pPr>
              <w:spacing w:after="0"/>
              <w:rPr>
                <w:sz w:val="20"/>
                <w:szCs w:val="20"/>
                <w:color w:val="auto"/>
              </w:rPr>
            </w:pPr>
            <w:r>
              <w:rPr>
                <w:rFonts w:ascii="Arial" w:cs="Arial" w:eastAsia="Arial" w:hAnsi="Arial"/>
                <w:sz w:val="18"/>
                <w:szCs w:val="18"/>
                <w:color w:val="auto"/>
              </w:rPr>
              <w:t>Imperial Oil Limited</w:t>
            </w:r>
          </w:p>
        </w:tc>
        <w:tc>
          <w:tcPr>
            <w:tcW w:w="2060" w:type="dxa"/>
            <w:vAlign w:val="bottom"/>
          </w:tcPr>
          <w:p>
            <w:pPr>
              <w:jc w:val="center"/>
              <w:spacing w:after="0"/>
              <w:rPr>
                <w:sz w:val="20"/>
                <w:szCs w:val="20"/>
                <w:color w:val="auto"/>
              </w:rPr>
            </w:pPr>
            <w:r>
              <w:rPr>
                <w:rFonts w:ascii="Arial" w:cs="Arial" w:eastAsia="Arial" w:hAnsi="Arial"/>
                <w:sz w:val="18"/>
                <w:szCs w:val="18"/>
                <w:color w:val="auto"/>
                <w:w w:val="91"/>
              </w:rPr>
              <w:t>69.6</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83"/>
        </w:trPr>
        <w:tc>
          <w:tcPr>
            <w:tcW w:w="6720" w:type="dxa"/>
            <w:vAlign w:val="bottom"/>
          </w:tcPr>
          <w:p>
            <w:pPr>
              <w:spacing w:after="0"/>
              <w:rPr>
                <w:sz w:val="20"/>
                <w:szCs w:val="20"/>
                <w:color w:val="auto"/>
              </w:rPr>
            </w:pPr>
            <w:r>
              <w:rPr>
                <w:rFonts w:ascii="Arial" w:cs="Arial" w:eastAsia="Arial" w:hAnsi="Arial"/>
                <w:sz w:val="18"/>
                <w:szCs w:val="18"/>
                <w:color w:val="auto"/>
              </w:rPr>
              <w:t>Imperial Oil Resources Limited</w:t>
            </w:r>
          </w:p>
        </w:tc>
        <w:tc>
          <w:tcPr>
            <w:tcW w:w="2060" w:type="dxa"/>
            <w:vAlign w:val="bottom"/>
          </w:tcPr>
          <w:p>
            <w:pPr>
              <w:jc w:val="center"/>
              <w:spacing w:after="0"/>
              <w:rPr>
                <w:sz w:val="20"/>
                <w:szCs w:val="20"/>
                <w:color w:val="auto"/>
              </w:rPr>
            </w:pPr>
            <w:r>
              <w:rPr>
                <w:rFonts w:ascii="Arial" w:cs="Arial" w:eastAsia="Arial" w:hAnsi="Arial"/>
                <w:sz w:val="18"/>
                <w:szCs w:val="18"/>
                <w:color w:val="auto"/>
                <w:w w:val="91"/>
              </w:rPr>
              <w:t>69.6</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83"/>
        </w:trPr>
        <w:tc>
          <w:tcPr>
            <w:tcW w:w="6720" w:type="dxa"/>
            <w:vAlign w:val="bottom"/>
          </w:tcPr>
          <w:p>
            <w:pPr>
              <w:spacing w:after="0"/>
              <w:rPr>
                <w:sz w:val="20"/>
                <w:szCs w:val="20"/>
                <w:color w:val="auto"/>
              </w:rPr>
            </w:pPr>
            <w:r>
              <w:rPr>
                <w:rFonts w:ascii="Arial" w:cs="Arial" w:eastAsia="Arial" w:hAnsi="Arial"/>
                <w:sz w:val="18"/>
                <w:szCs w:val="18"/>
                <w:color w:val="auto"/>
              </w:rPr>
              <w:t>Imperial Oil Resources N.W.T. Limited</w:t>
            </w:r>
          </w:p>
        </w:tc>
        <w:tc>
          <w:tcPr>
            <w:tcW w:w="2060" w:type="dxa"/>
            <w:vAlign w:val="bottom"/>
          </w:tcPr>
          <w:p>
            <w:pPr>
              <w:jc w:val="center"/>
              <w:spacing w:after="0"/>
              <w:rPr>
                <w:sz w:val="20"/>
                <w:szCs w:val="20"/>
                <w:color w:val="auto"/>
              </w:rPr>
            </w:pPr>
            <w:r>
              <w:rPr>
                <w:rFonts w:ascii="Arial" w:cs="Arial" w:eastAsia="Arial" w:hAnsi="Arial"/>
                <w:sz w:val="18"/>
                <w:szCs w:val="18"/>
                <w:color w:val="auto"/>
                <w:w w:val="91"/>
              </w:rPr>
              <w:t>69.6</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83"/>
        </w:trPr>
        <w:tc>
          <w:tcPr>
            <w:tcW w:w="6720" w:type="dxa"/>
            <w:vAlign w:val="bottom"/>
          </w:tcPr>
          <w:p>
            <w:pPr>
              <w:spacing w:after="0"/>
              <w:rPr>
                <w:sz w:val="20"/>
                <w:szCs w:val="20"/>
                <w:color w:val="auto"/>
              </w:rPr>
            </w:pPr>
            <w:r>
              <w:rPr>
                <w:rFonts w:ascii="Arial" w:cs="Arial" w:eastAsia="Arial" w:hAnsi="Arial"/>
                <w:sz w:val="18"/>
                <w:szCs w:val="18"/>
                <w:color w:val="auto"/>
              </w:rPr>
              <w:t>Imperial Oil/Petroliere Imperiale</w:t>
            </w:r>
          </w:p>
        </w:tc>
        <w:tc>
          <w:tcPr>
            <w:tcW w:w="2060" w:type="dxa"/>
            <w:vAlign w:val="bottom"/>
          </w:tcPr>
          <w:p>
            <w:pPr>
              <w:jc w:val="center"/>
              <w:spacing w:after="0"/>
              <w:rPr>
                <w:sz w:val="20"/>
                <w:szCs w:val="20"/>
                <w:color w:val="auto"/>
              </w:rPr>
            </w:pPr>
            <w:r>
              <w:rPr>
                <w:rFonts w:ascii="Arial" w:cs="Arial" w:eastAsia="Arial" w:hAnsi="Arial"/>
                <w:sz w:val="18"/>
                <w:szCs w:val="18"/>
                <w:color w:val="auto"/>
                <w:w w:val="91"/>
              </w:rPr>
              <w:t>69.6</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83"/>
        </w:trPr>
        <w:tc>
          <w:tcPr>
            <w:tcW w:w="6720" w:type="dxa"/>
            <w:vAlign w:val="bottom"/>
          </w:tcPr>
          <w:p>
            <w:pPr>
              <w:spacing w:after="0"/>
              <w:rPr>
                <w:sz w:val="20"/>
                <w:szCs w:val="20"/>
                <w:color w:val="auto"/>
              </w:rPr>
            </w:pPr>
            <w:r>
              <w:rPr>
                <w:rFonts w:ascii="Arial" w:cs="Arial" w:eastAsia="Arial" w:hAnsi="Arial"/>
                <w:sz w:val="18"/>
                <w:szCs w:val="18"/>
                <w:color w:val="auto"/>
              </w:rPr>
              <w:t xml:space="preserve">Marine Well Containment Company LLC </w:t>
            </w:r>
            <w:r>
              <w:rPr>
                <w:rFonts w:ascii="Arial" w:cs="Arial" w:eastAsia="Arial" w:hAnsi="Arial"/>
                <w:sz w:val="18"/>
                <w:szCs w:val="18"/>
                <w:i w:val="1"/>
                <w:iCs w:val="1"/>
                <w:color w:val="auto"/>
              </w:rPr>
              <w:t>(5)</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83"/>
        </w:trPr>
        <w:tc>
          <w:tcPr>
            <w:tcW w:w="6720" w:type="dxa"/>
            <w:vAlign w:val="bottom"/>
          </w:tcPr>
          <w:p>
            <w:pPr>
              <w:spacing w:after="0"/>
              <w:rPr>
                <w:sz w:val="20"/>
                <w:szCs w:val="20"/>
                <w:color w:val="auto"/>
              </w:rPr>
            </w:pPr>
            <w:r>
              <w:rPr>
                <w:rFonts w:ascii="Arial" w:cs="Arial" w:eastAsia="Arial" w:hAnsi="Arial"/>
                <w:sz w:val="18"/>
                <w:szCs w:val="18"/>
                <w:color w:val="auto"/>
              </w:rPr>
              <w:t>Mobil Australia Resources Company Pty Limited</w:t>
            </w:r>
          </w:p>
        </w:tc>
        <w:tc>
          <w:tcPr>
            <w:tcW w:w="2060" w:type="dxa"/>
            <w:vAlign w:val="bottom"/>
          </w:tcPr>
          <w:p>
            <w:pPr>
              <w:jc w:val="center"/>
              <w:spacing w:after="0"/>
              <w:rPr>
                <w:sz w:val="20"/>
                <w:szCs w:val="20"/>
                <w:color w:val="auto"/>
              </w:rPr>
            </w:pPr>
            <w:r>
              <w:rPr>
                <w:rFonts w:ascii="Arial" w:cs="Arial" w:eastAsia="Arial" w:hAnsi="Arial"/>
                <w:sz w:val="18"/>
                <w:szCs w:val="18"/>
                <w:color w:val="auto"/>
                <w:w w:val="93"/>
              </w:rPr>
              <w:t>100</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Arial" w:cs="Arial" w:eastAsia="Arial" w:hAnsi="Arial"/>
                <w:sz w:val="18"/>
                <w:szCs w:val="18"/>
                <w:color w:val="auto"/>
              </w:rPr>
              <w:t>Australia</w:t>
            </w:r>
          </w:p>
        </w:tc>
        <w:tc>
          <w:tcPr>
            <w:tcW w:w="0" w:type="dxa"/>
            <w:vAlign w:val="bottom"/>
          </w:tcPr>
          <w:p>
            <w:pPr>
              <w:spacing w:after="0"/>
              <w:rPr>
                <w:sz w:val="1"/>
                <w:szCs w:val="1"/>
                <w:color w:val="auto"/>
              </w:rPr>
            </w:pPr>
          </w:p>
        </w:tc>
      </w:tr>
      <w:tr>
        <w:trPr>
          <w:trHeight w:val="284"/>
        </w:trPr>
        <w:tc>
          <w:tcPr>
            <w:tcW w:w="6720" w:type="dxa"/>
            <w:vAlign w:val="bottom"/>
          </w:tcPr>
          <w:p>
            <w:pPr>
              <w:spacing w:after="0"/>
              <w:rPr>
                <w:sz w:val="20"/>
                <w:szCs w:val="20"/>
                <w:color w:val="auto"/>
              </w:rPr>
            </w:pPr>
            <w:r>
              <w:rPr>
                <w:rFonts w:ascii="Arial" w:cs="Arial" w:eastAsia="Arial" w:hAnsi="Arial"/>
                <w:sz w:val="18"/>
                <w:szCs w:val="18"/>
                <w:color w:val="auto"/>
              </w:rPr>
              <w:t>Mobil California Exploration &amp; Producing Asset Company</w:t>
            </w:r>
          </w:p>
        </w:tc>
        <w:tc>
          <w:tcPr>
            <w:tcW w:w="2060" w:type="dxa"/>
            <w:vAlign w:val="bottom"/>
          </w:tcPr>
          <w:p>
            <w:pPr>
              <w:jc w:val="center"/>
              <w:spacing w:after="0"/>
              <w:rPr>
                <w:sz w:val="20"/>
                <w:szCs w:val="20"/>
                <w:color w:val="auto"/>
              </w:rPr>
            </w:pPr>
            <w:r>
              <w:rPr>
                <w:rFonts w:ascii="Arial" w:cs="Arial" w:eastAsia="Arial" w:hAnsi="Arial"/>
                <w:sz w:val="18"/>
                <w:szCs w:val="18"/>
                <w:color w:val="auto"/>
                <w:w w:val="93"/>
              </w:rPr>
              <w:t>100</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83"/>
        </w:trPr>
        <w:tc>
          <w:tcPr>
            <w:tcW w:w="6720" w:type="dxa"/>
            <w:vAlign w:val="bottom"/>
          </w:tcPr>
          <w:p>
            <w:pPr>
              <w:spacing w:after="0"/>
              <w:rPr>
                <w:sz w:val="20"/>
                <w:szCs w:val="20"/>
                <w:color w:val="auto"/>
              </w:rPr>
            </w:pPr>
            <w:r>
              <w:rPr>
                <w:rFonts w:ascii="Arial" w:cs="Arial" w:eastAsia="Arial" w:hAnsi="Arial"/>
                <w:sz w:val="18"/>
                <w:szCs w:val="18"/>
                <w:color w:val="auto"/>
              </w:rPr>
              <w:t>Mobil Equatorial Guinea Inc.</w:t>
            </w:r>
          </w:p>
        </w:tc>
        <w:tc>
          <w:tcPr>
            <w:tcW w:w="2060" w:type="dxa"/>
            <w:vAlign w:val="bottom"/>
          </w:tcPr>
          <w:p>
            <w:pPr>
              <w:jc w:val="center"/>
              <w:spacing w:after="0"/>
              <w:rPr>
                <w:sz w:val="20"/>
                <w:szCs w:val="20"/>
                <w:color w:val="auto"/>
              </w:rPr>
            </w:pPr>
            <w:r>
              <w:rPr>
                <w:rFonts w:ascii="Arial" w:cs="Arial" w:eastAsia="Arial" w:hAnsi="Arial"/>
                <w:sz w:val="18"/>
                <w:szCs w:val="18"/>
                <w:color w:val="auto"/>
                <w:w w:val="93"/>
              </w:rPr>
              <w:t>100</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83"/>
        </w:trPr>
        <w:tc>
          <w:tcPr>
            <w:tcW w:w="6720" w:type="dxa"/>
            <w:vAlign w:val="bottom"/>
          </w:tcPr>
          <w:p>
            <w:pPr>
              <w:spacing w:after="0"/>
              <w:rPr>
                <w:sz w:val="20"/>
                <w:szCs w:val="20"/>
                <w:color w:val="auto"/>
              </w:rPr>
            </w:pPr>
            <w:r>
              <w:rPr>
                <w:rFonts w:ascii="Arial" w:cs="Arial" w:eastAsia="Arial" w:hAnsi="Arial"/>
                <w:sz w:val="18"/>
                <w:szCs w:val="18"/>
                <w:color w:val="auto"/>
              </w:rPr>
              <w:t>Mobil Oil Australia Pty Ltd</w:t>
            </w:r>
          </w:p>
        </w:tc>
        <w:tc>
          <w:tcPr>
            <w:tcW w:w="2060" w:type="dxa"/>
            <w:vAlign w:val="bottom"/>
          </w:tcPr>
          <w:p>
            <w:pPr>
              <w:jc w:val="center"/>
              <w:spacing w:after="0"/>
              <w:rPr>
                <w:sz w:val="20"/>
                <w:szCs w:val="20"/>
                <w:color w:val="auto"/>
              </w:rPr>
            </w:pPr>
            <w:r>
              <w:rPr>
                <w:rFonts w:ascii="Arial" w:cs="Arial" w:eastAsia="Arial" w:hAnsi="Arial"/>
                <w:sz w:val="18"/>
                <w:szCs w:val="18"/>
                <w:color w:val="auto"/>
                <w:w w:val="93"/>
              </w:rPr>
              <w:t>100</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Arial" w:cs="Arial" w:eastAsia="Arial" w:hAnsi="Arial"/>
                <w:sz w:val="18"/>
                <w:szCs w:val="18"/>
                <w:color w:val="auto"/>
              </w:rPr>
              <w:t>Australia</w:t>
            </w:r>
          </w:p>
        </w:tc>
        <w:tc>
          <w:tcPr>
            <w:tcW w:w="0" w:type="dxa"/>
            <w:vAlign w:val="bottom"/>
          </w:tcPr>
          <w:p>
            <w:pPr>
              <w:spacing w:after="0"/>
              <w:rPr>
                <w:sz w:val="1"/>
                <w:szCs w:val="1"/>
                <w:color w:val="auto"/>
              </w:rPr>
            </w:pPr>
          </w:p>
        </w:tc>
      </w:tr>
      <w:tr>
        <w:trPr>
          <w:trHeight w:val="283"/>
        </w:trPr>
        <w:tc>
          <w:tcPr>
            <w:tcW w:w="6720" w:type="dxa"/>
            <w:vAlign w:val="bottom"/>
          </w:tcPr>
          <w:p>
            <w:pPr>
              <w:spacing w:after="0"/>
              <w:rPr>
                <w:sz w:val="20"/>
                <w:szCs w:val="20"/>
                <w:color w:val="auto"/>
              </w:rPr>
            </w:pPr>
            <w:r>
              <w:rPr>
                <w:rFonts w:ascii="Arial" w:cs="Arial" w:eastAsia="Arial" w:hAnsi="Arial"/>
                <w:sz w:val="18"/>
                <w:szCs w:val="18"/>
                <w:color w:val="auto"/>
              </w:rPr>
              <w:t>Mobil Oil Exploration &amp; Producing Southeast Inc.</w:t>
            </w:r>
          </w:p>
        </w:tc>
        <w:tc>
          <w:tcPr>
            <w:tcW w:w="2060" w:type="dxa"/>
            <w:vAlign w:val="bottom"/>
          </w:tcPr>
          <w:p>
            <w:pPr>
              <w:jc w:val="center"/>
              <w:spacing w:after="0"/>
              <w:rPr>
                <w:sz w:val="20"/>
                <w:szCs w:val="20"/>
                <w:color w:val="auto"/>
              </w:rPr>
            </w:pPr>
            <w:r>
              <w:rPr>
                <w:rFonts w:ascii="Arial" w:cs="Arial" w:eastAsia="Arial" w:hAnsi="Arial"/>
                <w:sz w:val="18"/>
                <w:szCs w:val="18"/>
                <w:color w:val="auto"/>
                <w:w w:val="93"/>
              </w:rPr>
              <w:t>100</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83"/>
        </w:trPr>
        <w:tc>
          <w:tcPr>
            <w:tcW w:w="6720" w:type="dxa"/>
            <w:vAlign w:val="bottom"/>
          </w:tcPr>
          <w:p>
            <w:pPr>
              <w:spacing w:after="0"/>
              <w:rPr>
                <w:sz w:val="20"/>
                <w:szCs w:val="20"/>
                <w:color w:val="auto"/>
              </w:rPr>
            </w:pPr>
            <w:r>
              <w:rPr>
                <w:rFonts w:ascii="Arial" w:cs="Arial" w:eastAsia="Arial" w:hAnsi="Arial"/>
                <w:sz w:val="18"/>
                <w:szCs w:val="18"/>
                <w:color w:val="auto"/>
              </w:rPr>
              <w:t>Mobil Oil New Zealand Limited</w:t>
            </w:r>
          </w:p>
        </w:tc>
        <w:tc>
          <w:tcPr>
            <w:tcW w:w="2060" w:type="dxa"/>
            <w:vAlign w:val="bottom"/>
          </w:tcPr>
          <w:p>
            <w:pPr>
              <w:jc w:val="center"/>
              <w:spacing w:after="0"/>
              <w:rPr>
                <w:sz w:val="20"/>
                <w:szCs w:val="20"/>
                <w:color w:val="auto"/>
              </w:rPr>
            </w:pPr>
            <w:r>
              <w:rPr>
                <w:rFonts w:ascii="Arial" w:cs="Arial" w:eastAsia="Arial" w:hAnsi="Arial"/>
                <w:sz w:val="18"/>
                <w:szCs w:val="18"/>
                <w:color w:val="auto"/>
                <w:w w:val="93"/>
              </w:rPr>
              <w:t>100</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Arial" w:cs="Arial" w:eastAsia="Arial" w:hAnsi="Arial"/>
                <w:sz w:val="18"/>
                <w:szCs w:val="18"/>
                <w:color w:val="auto"/>
              </w:rPr>
              <w:t>New Zealand</w:t>
            </w:r>
          </w:p>
        </w:tc>
        <w:tc>
          <w:tcPr>
            <w:tcW w:w="0" w:type="dxa"/>
            <w:vAlign w:val="bottom"/>
          </w:tcPr>
          <w:p>
            <w:pPr>
              <w:spacing w:after="0"/>
              <w:rPr>
                <w:sz w:val="1"/>
                <w:szCs w:val="1"/>
                <w:color w:val="auto"/>
              </w:rPr>
            </w:pPr>
          </w:p>
        </w:tc>
      </w:tr>
      <w:tr>
        <w:trPr>
          <w:trHeight w:val="283"/>
        </w:trPr>
        <w:tc>
          <w:tcPr>
            <w:tcW w:w="6720" w:type="dxa"/>
            <w:vAlign w:val="bottom"/>
          </w:tcPr>
          <w:p>
            <w:pPr>
              <w:spacing w:after="0"/>
              <w:rPr>
                <w:sz w:val="20"/>
                <w:szCs w:val="20"/>
                <w:color w:val="auto"/>
              </w:rPr>
            </w:pPr>
            <w:r>
              <w:rPr>
                <w:rFonts w:ascii="Arial" w:cs="Arial" w:eastAsia="Arial" w:hAnsi="Arial"/>
                <w:sz w:val="18"/>
                <w:szCs w:val="18"/>
                <w:color w:val="auto"/>
              </w:rPr>
              <w:t>Mobil Producing Nigeria Unlimited</w:t>
            </w:r>
          </w:p>
        </w:tc>
        <w:tc>
          <w:tcPr>
            <w:tcW w:w="2060" w:type="dxa"/>
            <w:vAlign w:val="bottom"/>
          </w:tcPr>
          <w:p>
            <w:pPr>
              <w:jc w:val="center"/>
              <w:spacing w:after="0"/>
              <w:rPr>
                <w:sz w:val="20"/>
                <w:szCs w:val="20"/>
                <w:color w:val="auto"/>
              </w:rPr>
            </w:pPr>
            <w:r>
              <w:rPr>
                <w:rFonts w:ascii="Arial" w:cs="Arial" w:eastAsia="Arial" w:hAnsi="Arial"/>
                <w:sz w:val="18"/>
                <w:szCs w:val="18"/>
                <w:color w:val="auto"/>
                <w:w w:val="93"/>
              </w:rPr>
              <w:t>100</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Arial" w:cs="Arial" w:eastAsia="Arial" w:hAnsi="Arial"/>
                <w:sz w:val="18"/>
                <w:szCs w:val="18"/>
                <w:color w:val="auto"/>
              </w:rPr>
              <w:t>Nigeria</w:t>
            </w:r>
          </w:p>
        </w:tc>
        <w:tc>
          <w:tcPr>
            <w:tcW w:w="0" w:type="dxa"/>
            <w:vAlign w:val="bottom"/>
          </w:tcPr>
          <w:p>
            <w:pPr>
              <w:spacing w:after="0"/>
              <w:rPr>
                <w:sz w:val="1"/>
                <w:szCs w:val="1"/>
                <w:color w:val="auto"/>
              </w:rPr>
            </w:pPr>
          </w:p>
        </w:tc>
      </w:tr>
      <w:tr>
        <w:trPr>
          <w:trHeight w:val="284"/>
        </w:trPr>
        <w:tc>
          <w:tcPr>
            <w:tcW w:w="6720" w:type="dxa"/>
            <w:vAlign w:val="bottom"/>
          </w:tcPr>
          <w:p>
            <w:pPr>
              <w:spacing w:after="0"/>
              <w:rPr>
                <w:sz w:val="20"/>
                <w:szCs w:val="20"/>
                <w:color w:val="auto"/>
              </w:rPr>
            </w:pPr>
            <w:r>
              <w:rPr>
                <w:rFonts w:ascii="Arial" w:cs="Arial" w:eastAsia="Arial" w:hAnsi="Arial"/>
                <w:sz w:val="18"/>
                <w:szCs w:val="18"/>
                <w:color w:val="auto"/>
              </w:rPr>
              <w:t>Mobil Yanbu Petrochemical Company Inc.</w:t>
            </w:r>
          </w:p>
        </w:tc>
        <w:tc>
          <w:tcPr>
            <w:tcW w:w="2060" w:type="dxa"/>
            <w:vAlign w:val="bottom"/>
          </w:tcPr>
          <w:p>
            <w:pPr>
              <w:jc w:val="center"/>
              <w:spacing w:after="0"/>
              <w:rPr>
                <w:sz w:val="20"/>
                <w:szCs w:val="20"/>
                <w:color w:val="auto"/>
              </w:rPr>
            </w:pPr>
            <w:r>
              <w:rPr>
                <w:rFonts w:ascii="Arial" w:cs="Arial" w:eastAsia="Arial" w:hAnsi="Arial"/>
                <w:sz w:val="18"/>
                <w:szCs w:val="18"/>
                <w:color w:val="auto"/>
                <w:w w:val="93"/>
              </w:rPr>
              <w:t>100</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83"/>
        </w:trPr>
        <w:tc>
          <w:tcPr>
            <w:tcW w:w="6720" w:type="dxa"/>
            <w:vAlign w:val="bottom"/>
          </w:tcPr>
          <w:p>
            <w:pPr>
              <w:spacing w:after="0"/>
              <w:rPr>
                <w:sz w:val="20"/>
                <w:szCs w:val="20"/>
                <w:color w:val="auto"/>
              </w:rPr>
            </w:pPr>
            <w:r>
              <w:rPr>
                <w:rFonts w:ascii="Arial" w:cs="Arial" w:eastAsia="Arial" w:hAnsi="Arial"/>
                <w:sz w:val="18"/>
                <w:szCs w:val="18"/>
                <w:color w:val="auto"/>
              </w:rPr>
              <w:t>Mobil Yanbu Refining Company Inc.</w:t>
            </w:r>
          </w:p>
        </w:tc>
        <w:tc>
          <w:tcPr>
            <w:tcW w:w="2060" w:type="dxa"/>
            <w:vAlign w:val="bottom"/>
          </w:tcPr>
          <w:p>
            <w:pPr>
              <w:jc w:val="center"/>
              <w:spacing w:after="0"/>
              <w:rPr>
                <w:sz w:val="20"/>
                <w:szCs w:val="20"/>
                <w:color w:val="auto"/>
              </w:rPr>
            </w:pPr>
            <w:r>
              <w:rPr>
                <w:rFonts w:ascii="Arial" w:cs="Arial" w:eastAsia="Arial" w:hAnsi="Arial"/>
                <w:sz w:val="18"/>
                <w:szCs w:val="18"/>
                <w:color w:val="auto"/>
                <w:w w:val="93"/>
              </w:rPr>
              <w:t>100</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83"/>
        </w:trPr>
        <w:tc>
          <w:tcPr>
            <w:tcW w:w="6720" w:type="dxa"/>
            <w:vAlign w:val="bottom"/>
          </w:tcPr>
          <w:p>
            <w:pPr>
              <w:spacing w:after="0"/>
              <w:rPr>
                <w:sz w:val="20"/>
                <w:szCs w:val="20"/>
                <w:color w:val="auto"/>
              </w:rPr>
            </w:pPr>
            <w:r>
              <w:rPr>
                <w:rFonts w:ascii="Arial" w:cs="Arial" w:eastAsia="Arial" w:hAnsi="Arial"/>
                <w:sz w:val="18"/>
                <w:szCs w:val="18"/>
                <w:color w:val="auto"/>
              </w:rPr>
              <w:t xml:space="preserve">Mozambique Rovuma Venture, S.p.A. </w:t>
            </w:r>
            <w:r>
              <w:rPr>
                <w:rFonts w:ascii="Arial" w:cs="Arial" w:eastAsia="Arial" w:hAnsi="Arial"/>
                <w:sz w:val="18"/>
                <w:szCs w:val="18"/>
                <w:i w:val="1"/>
                <w:iCs w:val="1"/>
                <w:color w:val="auto"/>
              </w:rPr>
              <w:t>(5)</w:t>
            </w:r>
          </w:p>
        </w:tc>
        <w:tc>
          <w:tcPr>
            <w:tcW w:w="2060" w:type="dxa"/>
            <w:vAlign w:val="bottom"/>
          </w:tcPr>
          <w:p>
            <w:pPr>
              <w:jc w:val="center"/>
              <w:spacing w:after="0"/>
              <w:rPr>
                <w:sz w:val="20"/>
                <w:szCs w:val="20"/>
                <w:color w:val="auto"/>
              </w:rPr>
            </w:pPr>
            <w:r>
              <w:rPr>
                <w:rFonts w:ascii="Arial" w:cs="Arial" w:eastAsia="Arial" w:hAnsi="Arial"/>
                <w:sz w:val="18"/>
                <w:szCs w:val="18"/>
                <w:color w:val="auto"/>
                <w:w w:val="90"/>
              </w:rPr>
              <w:t>35.714</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Arial" w:cs="Arial" w:eastAsia="Arial" w:hAnsi="Arial"/>
                <w:sz w:val="18"/>
                <w:szCs w:val="18"/>
                <w:color w:val="auto"/>
              </w:rPr>
              <w:t>Italy</w:t>
            </w:r>
          </w:p>
        </w:tc>
        <w:tc>
          <w:tcPr>
            <w:tcW w:w="0" w:type="dxa"/>
            <w:vAlign w:val="bottom"/>
          </w:tcPr>
          <w:p>
            <w:pPr>
              <w:spacing w:after="0"/>
              <w:rPr>
                <w:sz w:val="1"/>
                <w:szCs w:val="1"/>
                <w:color w:val="auto"/>
              </w:rPr>
            </w:pPr>
          </w:p>
        </w:tc>
      </w:tr>
      <w:tr>
        <w:trPr>
          <w:trHeight w:val="283"/>
        </w:trPr>
        <w:tc>
          <w:tcPr>
            <w:tcW w:w="6720" w:type="dxa"/>
            <w:vAlign w:val="bottom"/>
          </w:tcPr>
          <w:p>
            <w:pPr>
              <w:spacing w:after="0"/>
              <w:rPr>
                <w:sz w:val="20"/>
                <w:szCs w:val="20"/>
                <w:color w:val="auto"/>
              </w:rPr>
            </w:pPr>
            <w:r>
              <w:rPr>
                <w:rFonts w:ascii="Arial" w:cs="Arial" w:eastAsia="Arial" w:hAnsi="Arial"/>
                <w:sz w:val="18"/>
                <w:szCs w:val="18"/>
                <w:color w:val="auto"/>
              </w:rPr>
              <w:t xml:space="preserve">Nederlandse Aardolie Maatschappij B.V. </w:t>
            </w:r>
            <w:r>
              <w:rPr>
                <w:rFonts w:ascii="Arial" w:cs="Arial" w:eastAsia="Arial" w:hAnsi="Arial"/>
                <w:sz w:val="18"/>
                <w:szCs w:val="18"/>
                <w:i w:val="1"/>
                <w:iCs w:val="1"/>
                <w:color w:val="auto"/>
              </w:rPr>
              <w:t>(4) (5)</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Arial" w:cs="Arial" w:eastAsia="Arial" w:hAnsi="Arial"/>
                <w:sz w:val="18"/>
                <w:szCs w:val="18"/>
                <w:color w:val="auto"/>
              </w:rPr>
              <w:t>Netherlands</w:t>
            </w:r>
          </w:p>
        </w:tc>
        <w:tc>
          <w:tcPr>
            <w:tcW w:w="0" w:type="dxa"/>
            <w:vAlign w:val="bottom"/>
          </w:tcPr>
          <w:p>
            <w:pPr>
              <w:spacing w:after="0"/>
              <w:rPr>
                <w:sz w:val="1"/>
                <w:szCs w:val="1"/>
                <w:color w:val="auto"/>
              </w:rPr>
            </w:pPr>
          </w:p>
        </w:tc>
      </w:tr>
      <w:tr>
        <w:trPr>
          <w:trHeight w:val="284"/>
        </w:trPr>
        <w:tc>
          <w:tcPr>
            <w:tcW w:w="6720" w:type="dxa"/>
            <w:vAlign w:val="bottom"/>
          </w:tcPr>
          <w:p>
            <w:pPr>
              <w:spacing w:after="0"/>
              <w:rPr>
                <w:sz w:val="20"/>
                <w:szCs w:val="20"/>
                <w:color w:val="auto"/>
              </w:rPr>
            </w:pPr>
            <w:r>
              <w:rPr>
                <w:rFonts w:ascii="Arial" w:cs="Arial" w:eastAsia="Arial" w:hAnsi="Arial"/>
                <w:sz w:val="18"/>
                <w:szCs w:val="18"/>
                <w:color w:val="auto"/>
              </w:rPr>
              <w:t>Palmetto Transoceanic LLC</w:t>
            </w:r>
          </w:p>
        </w:tc>
        <w:tc>
          <w:tcPr>
            <w:tcW w:w="2060" w:type="dxa"/>
            <w:vAlign w:val="bottom"/>
          </w:tcPr>
          <w:p>
            <w:pPr>
              <w:jc w:val="center"/>
              <w:spacing w:after="0"/>
              <w:rPr>
                <w:sz w:val="20"/>
                <w:szCs w:val="20"/>
                <w:color w:val="auto"/>
              </w:rPr>
            </w:pPr>
            <w:r>
              <w:rPr>
                <w:rFonts w:ascii="Arial" w:cs="Arial" w:eastAsia="Arial" w:hAnsi="Arial"/>
                <w:sz w:val="18"/>
                <w:szCs w:val="18"/>
                <w:color w:val="auto"/>
                <w:w w:val="93"/>
              </w:rPr>
              <w:t>100</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83"/>
        </w:trPr>
        <w:tc>
          <w:tcPr>
            <w:tcW w:w="6720" w:type="dxa"/>
            <w:vAlign w:val="bottom"/>
          </w:tcPr>
          <w:p>
            <w:pPr>
              <w:spacing w:after="0"/>
              <w:rPr>
                <w:sz w:val="20"/>
                <w:szCs w:val="20"/>
                <w:color w:val="auto"/>
              </w:rPr>
            </w:pPr>
            <w:r>
              <w:rPr>
                <w:rFonts w:ascii="Arial" w:cs="Arial" w:eastAsia="Arial" w:hAnsi="Arial"/>
                <w:sz w:val="18"/>
                <w:szCs w:val="18"/>
                <w:color w:val="auto"/>
              </w:rPr>
              <w:t xml:space="preserve">Papua New Guinea Liquefied Natural Gas Global Company LDC </w:t>
            </w:r>
            <w:r>
              <w:rPr>
                <w:rFonts w:ascii="Arial" w:cs="Arial" w:eastAsia="Arial" w:hAnsi="Arial"/>
                <w:sz w:val="18"/>
                <w:szCs w:val="18"/>
                <w:i w:val="1"/>
                <w:iCs w:val="1"/>
                <w:color w:val="auto"/>
              </w:rPr>
              <w:t>(5)</w:t>
            </w:r>
          </w:p>
        </w:tc>
        <w:tc>
          <w:tcPr>
            <w:tcW w:w="2060" w:type="dxa"/>
            <w:vAlign w:val="bottom"/>
          </w:tcPr>
          <w:p>
            <w:pPr>
              <w:jc w:val="center"/>
              <w:spacing w:after="0"/>
              <w:rPr>
                <w:sz w:val="20"/>
                <w:szCs w:val="20"/>
                <w:color w:val="auto"/>
              </w:rPr>
            </w:pPr>
            <w:r>
              <w:rPr>
                <w:rFonts w:ascii="Arial" w:cs="Arial" w:eastAsia="Arial" w:hAnsi="Arial"/>
                <w:sz w:val="18"/>
                <w:szCs w:val="18"/>
                <w:color w:val="auto"/>
                <w:w w:val="91"/>
              </w:rPr>
              <w:t>33.2</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Arial" w:cs="Arial" w:eastAsia="Arial" w:hAnsi="Arial"/>
                <w:sz w:val="18"/>
                <w:szCs w:val="18"/>
                <w:color w:val="auto"/>
              </w:rPr>
              <w:t>Bahamas</w:t>
            </w:r>
          </w:p>
        </w:tc>
        <w:tc>
          <w:tcPr>
            <w:tcW w:w="0" w:type="dxa"/>
            <w:vAlign w:val="bottom"/>
          </w:tcPr>
          <w:p>
            <w:pPr>
              <w:spacing w:after="0"/>
              <w:rPr>
                <w:sz w:val="1"/>
                <w:szCs w:val="1"/>
                <w:color w:val="auto"/>
              </w:rPr>
            </w:pPr>
          </w:p>
        </w:tc>
      </w:tr>
      <w:tr>
        <w:trPr>
          <w:trHeight w:val="283"/>
        </w:trPr>
        <w:tc>
          <w:tcPr>
            <w:tcW w:w="6720" w:type="dxa"/>
            <w:vAlign w:val="bottom"/>
          </w:tcPr>
          <w:p>
            <w:pPr>
              <w:spacing w:after="0"/>
              <w:rPr>
                <w:sz w:val="20"/>
                <w:szCs w:val="20"/>
                <w:color w:val="auto"/>
              </w:rPr>
            </w:pPr>
            <w:r>
              <w:rPr>
                <w:rFonts w:ascii="Arial" w:cs="Arial" w:eastAsia="Arial" w:hAnsi="Arial"/>
                <w:sz w:val="18"/>
                <w:szCs w:val="18"/>
                <w:color w:val="auto"/>
              </w:rPr>
              <w:t xml:space="preserve">Permian Express Partners LLC </w:t>
            </w:r>
            <w:r>
              <w:rPr>
                <w:rFonts w:ascii="Arial" w:cs="Arial" w:eastAsia="Arial" w:hAnsi="Arial"/>
                <w:sz w:val="18"/>
                <w:szCs w:val="18"/>
                <w:i w:val="1"/>
                <w:iCs w:val="1"/>
                <w:color w:val="auto"/>
              </w:rPr>
              <w:t>(5)</w:t>
            </w:r>
          </w:p>
        </w:tc>
        <w:tc>
          <w:tcPr>
            <w:tcW w:w="2060" w:type="dxa"/>
            <w:vAlign w:val="bottom"/>
          </w:tcPr>
          <w:p>
            <w:pPr>
              <w:jc w:val="center"/>
              <w:spacing w:after="0"/>
              <w:rPr>
                <w:sz w:val="20"/>
                <w:szCs w:val="20"/>
                <w:color w:val="auto"/>
              </w:rPr>
            </w:pPr>
            <w:r>
              <w:rPr>
                <w:rFonts w:ascii="Arial" w:cs="Arial" w:eastAsia="Arial" w:hAnsi="Arial"/>
                <w:sz w:val="18"/>
                <w:szCs w:val="18"/>
                <w:color w:val="auto"/>
                <w:w w:val="91"/>
              </w:rPr>
              <w:t>12.3</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84"/>
        </w:trPr>
        <w:tc>
          <w:tcPr>
            <w:tcW w:w="6720" w:type="dxa"/>
            <w:vAlign w:val="bottom"/>
          </w:tcPr>
          <w:p>
            <w:pPr>
              <w:spacing w:after="0"/>
              <w:rPr>
                <w:sz w:val="20"/>
                <w:szCs w:val="20"/>
                <w:color w:val="auto"/>
              </w:rPr>
            </w:pPr>
            <w:r>
              <w:rPr>
                <w:rFonts w:ascii="Arial" w:cs="Arial" w:eastAsia="Arial" w:hAnsi="Arial"/>
                <w:sz w:val="18"/>
                <w:szCs w:val="18"/>
                <w:color w:val="auto"/>
              </w:rPr>
              <w:t xml:space="preserve">Permian Highway Pipeline LLC </w:t>
            </w:r>
            <w:r>
              <w:rPr>
                <w:rFonts w:ascii="Arial" w:cs="Arial" w:eastAsia="Arial" w:hAnsi="Arial"/>
                <w:sz w:val="18"/>
                <w:szCs w:val="18"/>
                <w:i w:val="1"/>
                <w:iCs w:val="1"/>
                <w:color w:val="auto"/>
              </w:rPr>
              <w:t>(5)</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20</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83"/>
        </w:trPr>
        <w:tc>
          <w:tcPr>
            <w:tcW w:w="6720" w:type="dxa"/>
            <w:vAlign w:val="bottom"/>
          </w:tcPr>
          <w:p>
            <w:pPr>
              <w:spacing w:after="0"/>
              <w:rPr>
                <w:sz w:val="20"/>
                <w:szCs w:val="20"/>
                <w:color w:val="auto"/>
              </w:rPr>
            </w:pPr>
            <w:r>
              <w:rPr>
                <w:rFonts w:ascii="Arial" w:cs="Arial" w:eastAsia="Arial" w:hAnsi="Arial"/>
                <w:sz w:val="18"/>
                <w:szCs w:val="18"/>
                <w:color w:val="auto"/>
              </w:rPr>
              <w:t>Phillips Exploration, LLC</w:t>
            </w:r>
          </w:p>
        </w:tc>
        <w:tc>
          <w:tcPr>
            <w:tcW w:w="2060" w:type="dxa"/>
            <w:vAlign w:val="bottom"/>
          </w:tcPr>
          <w:p>
            <w:pPr>
              <w:jc w:val="center"/>
              <w:spacing w:after="0"/>
              <w:rPr>
                <w:sz w:val="20"/>
                <w:szCs w:val="20"/>
                <w:color w:val="auto"/>
              </w:rPr>
            </w:pPr>
            <w:r>
              <w:rPr>
                <w:rFonts w:ascii="Arial" w:cs="Arial" w:eastAsia="Arial" w:hAnsi="Arial"/>
                <w:sz w:val="18"/>
                <w:szCs w:val="18"/>
                <w:color w:val="auto"/>
                <w:w w:val="93"/>
              </w:rPr>
              <w:t>100</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83"/>
        </w:trPr>
        <w:tc>
          <w:tcPr>
            <w:tcW w:w="6720" w:type="dxa"/>
            <w:vAlign w:val="bottom"/>
          </w:tcPr>
          <w:p>
            <w:pPr>
              <w:spacing w:after="0"/>
              <w:rPr>
                <w:sz w:val="20"/>
                <w:szCs w:val="20"/>
                <w:color w:val="auto"/>
              </w:rPr>
            </w:pPr>
            <w:r>
              <w:rPr>
                <w:rFonts w:ascii="Arial" w:cs="Arial" w:eastAsia="Arial" w:hAnsi="Arial"/>
                <w:sz w:val="18"/>
                <w:szCs w:val="18"/>
                <w:color w:val="auto"/>
              </w:rPr>
              <w:t xml:space="preserve">Qatar Liquefied Gas Company Limited </w:t>
            </w:r>
            <w:r>
              <w:rPr>
                <w:rFonts w:ascii="Arial" w:cs="Arial" w:eastAsia="Arial" w:hAnsi="Arial"/>
                <w:sz w:val="18"/>
                <w:szCs w:val="18"/>
                <w:i w:val="1"/>
                <w:iCs w:val="1"/>
                <w:color w:val="auto"/>
              </w:rPr>
              <w:t>(5)</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Arial" w:cs="Arial" w:eastAsia="Arial" w:hAnsi="Arial"/>
                <w:sz w:val="18"/>
                <w:szCs w:val="18"/>
                <w:color w:val="auto"/>
              </w:rPr>
              <w:t>Qatar</w:t>
            </w:r>
          </w:p>
        </w:tc>
        <w:tc>
          <w:tcPr>
            <w:tcW w:w="0" w:type="dxa"/>
            <w:vAlign w:val="bottom"/>
          </w:tcPr>
          <w:p>
            <w:pPr>
              <w:spacing w:after="0"/>
              <w:rPr>
                <w:sz w:val="1"/>
                <w:szCs w:val="1"/>
                <w:color w:val="auto"/>
              </w:rPr>
            </w:pPr>
          </w:p>
        </w:tc>
      </w:tr>
      <w:tr>
        <w:trPr>
          <w:trHeight w:val="284"/>
        </w:trPr>
        <w:tc>
          <w:tcPr>
            <w:tcW w:w="6720" w:type="dxa"/>
            <w:vAlign w:val="bottom"/>
          </w:tcPr>
          <w:p>
            <w:pPr>
              <w:spacing w:after="0"/>
              <w:rPr>
                <w:sz w:val="20"/>
                <w:szCs w:val="20"/>
                <w:color w:val="auto"/>
              </w:rPr>
            </w:pPr>
            <w:r>
              <w:rPr>
                <w:rFonts w:ascii="Arial" w:cs="Arial" w:eastAsia="Arial" w:hAnsi="Arial"/>
                <w:sz w:val="18"/>
                <w:szCs w:val="18"/>
                <w:color w:val="auto"/>
              </w:rPr>
              <w:t xml:space="preserve">Qatar Liquefied Gas Company Limited (2) </w:t>
            </w:r>
            <w:r>
              <w:rPr>
                <w:rFonts w:ascii="Arial" w:cs="Arial" w:eastAsia="Arial" w:hAnsi="Arial"/>
                <w:sz w:val="18"/>
                <w:szCs w:val="18"/>
                <w:i w:val="1"/>
                <w:iCs w:val="1"/>
                <w:color w:val="auto"/>
              </w:rPr>
              <w:t>(5)</w:t>
            </w:r>
          </w:p>
        </w:tc>
        <w:tc>
          <w:tcPr>
            <w:tcW w:w="2060" w:type="dxa"/>
            <w:vAlign w:val="bottom"/>
          </w:tcPr>
          <w:p>
            <w:pPr>
              <w:jc w:val="center"/>
              <w:spacing w:after="0"/>
              <w:rPr>
                <w:sz w:val="20"/>
                <w:szCs w:val="20"/>
                <w:color w:val="auto"/>
              </w:rPr>
            </w:pPr>
            <w:r>
              <w:rPr>
                <w:rFonts w:ascii="Arial" w:cs="Arial" w:eastAsia="Arial" w:hAnsi="Arial"/>
                <w:sz w:val="18"/>
                <w:szCs w:val="18"/>
                <w:color w:val="auto"/>
                <w:w w:val="88"/>
              </w:rPr>
              <w:t>24.15</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Arial" w:cs="Arial" w:eastAsia="Arial" w:hAnsi="Arial"/>
                <w:sz w:val="18"/>
                <w:szCs w:val="18"/>
                <w:color w:val="auto"/>
              </w:rPr>
              <w:t>Qatar</w:t>
            </w:r>
          </w:p>
        </w:tc>
        <w:tc>
          <w:tcPr>
            <w:tcW w:w="0" w:type="dxa"/>
            <w:vAlign w:val="bottom"/>
          </w:tcPr>
          <w:p>
            <w:pPr>
              <w:spacing w:after="0"/>
              <w:rPr>
                <w:sz w:val="1"/>
                <w:szCs w:val="1"/>
                <w:color w:val="auto"/>
              </w:rPr>
            </w:pPr>
          </w:p>
        </w:tc>
      </w:tr>
      <w:tr>
        <w:trPr>
          <w:trHeight w:val="283"/>
        </w:trPr>
        <w:tc>
          <w:tcPr>
            <w:tcW w:w="6720" w:type="dxa"/>
            <w:vAlign w:val="bottom"/>
          </w:tcPr>
          <w:p>
            <w:pPr>
              <w:spacing w:after="0"/>
              <w:rPr>
                <w:sz w:val="20"/>
                <w:szCs w:val="20"/>
                <w:color w:val="auto"/>
              </w:rPr>
            </w:pPr>
            <w:r>
              <w:rPr>
                <w:rFonts w:ascii="Arial" w:cs="Arial" w:eastAsia="Arial" w:hAnsi="Arial"/>
                <w:sz w:val="18"/>
                <w:szCs w:val="18"/>
                <w:color w:val="auto"/>
              </w:rPr>
              <w:t xml:space="preserve">Ras Laffan Liquefied Natural Gas Company Limited </w:t>
            </w:r>
            <w:r>
              <w:rPr>
                <w:rFonts w:ascii="Arial" w:cs="Arial" w:eastAsia="Arial" w:hAnsi="Arial"/>
                <w:sz w:val="18"/>
                <w:szCs w:val="18"/>
                <w:i w:val="1"/>
                <w:iCs w:val="1"/>
                <w:color w:val="auto"/>
              </w:rPr>
              <w:t>(5)</w:t>
            </w:r>
          </w:p>
        </w:tc>
        <w:tc>
          <w:tcPr>
            <w:tcW w:w="2060" w:type="dxa"/>
            <w:vAlign w:val="bottom"/>
          </w:tcPr>
          <w:p>
            <w:pPr>
              <w:jc w:val="center"/>
              <w:spacing w:after="0"/>
              <w:rPr>
                <w:sz w:val="20"/>
                <w:szCs w:val="20"/>
                <w:color w:val="auto"/>
              </w:rPr>
            </w:pPr>
            <w:r>
              <w:rPr>
                <w:rFonts w:ascii="Arial" w:cs="Arial" w:eastAsia="Arial" w:hAnsi="Arial"/>
                <w:sz w:val="18"/>
                <w:szCs w:val="18"/>
                <w:color w:val="auto"/>
                <w:w w:val="90"/>
              </w:rPr>
              <w:t>24.999</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Arial" w:cs="Arial" w:eastAsia="Arial" w:hAnsi="Arial"/>
                <w:sz w:val="18"/>
                <w:szCs w:val="18"/>
                <w:color w:val="auto"/>
              </w:rPr>
              <w:t>Qatar</w:t>
            </w:r>
          </w:p>
        </w:tc>
        <w:tc>
          <w:tcPr>
            <w:tcW w:w="0" w:type="dxa"/>
            <w:vAlign w:val="bottom"/>
          </w:tcPr>
          <w:p>
            <w:pPr>
              <w:spacing w:after="0"/>
              <w:rPr>
                <w:sz w:val="1"/>
                <w:szCs w:val="1"/>
                <w:color w:val="auto"/>
              </w:rPr>
            </w:pPr>
          </w:p>
        </w:tc>
      </w:tr>
      <w:tr>
        <w:trPr>
          <w:trHeight w:val="284"/>
        </w:trPr>
        <w:tc>
          <w:tcPr>
            <w:tcW w:w="6720" w:type="dxa"/>
            <w:vAlign w:val="bottom"/>
          </w:tcPr>
          <w:p>
            <w:pPr>
              <w:spacing w:after="0"/>
              <w:rPr>
                <w:sz w:val="20"/>
                <w:szCs w:val="20"/>
                <w:color w:val="auto"/>
              </w:rPr>
            </w:pPr>
            <w:r>
              <w:rPr>
                <w:rFonts w:ascii="Arial" w:cs="Arial" w:eastAsia="Arial" w:hAnsi="Arial"/>
                <w:sz w:val="18"/>
                <w:szCs w:val="18"/>
                <w:color w:val="auto"/>
              </w:rPr>
              <w:t xml:space="preserve">Ras Laffan Liquefied Natural Gas Company Limited (II) </w:t>
            </w:r>
            <w:r>
              <w:rPr>
                <w:rFonts w:ascii="Arial" w:cs="Arial" w:eastAsia="Arial" w:hAnsi="Arial"/>
                <w:sz w:val="18"/>
                <w:szCs w:val="18"/>
                <w:i w:val="1"/>
                <w:iCs w:val="1"/>
                <w:color w:val="auto"/>
              </w:rPr>
              <w:t>(5)</w:t>
            </w:r>
          </w:p>
        </w:tc>
        <w:tc>
          <w:tcPr>
            <w:tcW w:w="2060" w:type="dxa"/>
            <w:vAlign w:val="bottom"/>
          </w:tcPr>
          <w:p>
            <w:pPr>
              <w:jc w:val="center"/>
              <w:spacing w:after="0"/>
              <w:rPr>
                <w:sz w:val="20"/>
                <w:szCs w:val="20"/>
                <w:color w:val="auto"/>
              </w:rPr>
            </w:pPr>
            <w:r>
              <w:rPr>
                <w:rFonts w:ascii="Arial" w:cs="Arial" w:eastAsia="Arial" w:hAnsi="Arial"/>
                <w:sz w:val="18"/>
                <w:szCs w:val="18"/>
                <w:color w:val="auto"/>
                <w:w w:val="90"/>
              </w:rPr>
              <w:t>30.517</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Arial" w:cs="Arial" w:eastAsia="Arial" w:hAnsi="Arial"/>
                <w:sz w:val="18"/>
                <w:szCs w:val="18"/>
                <w:color w:val="auto"/>
              </w:rPr>
              <w:t>Qatar</w:t>
            </w:r>
          </w:p>
        </w:tc>
        <w:tc>
          <w:tcPr>
            <w:tcW w:w="0" w:type="dxa"/>
            <w:vAlign w:val="bottom"/>
          </w:tcPr>
          <w:p>
            <w:pPr>
              <w:spacing w:after="0"/>
              <w:rPr>
                <w:sz w:val="1"/>
                <w:szCs w:val="1"/>
                <w:color w:val="auto"/>
              </w:rPr>
            </w:pPr>
          </w:p>
        </w:tc>
      </w:tr>
      <w:tr>
        <w:trPr>
          <w:trHeight w:val="283"/>
        </w:trPr>
        <w:tc>
          <w:tcPr>
            <w:tcW w:w="6720" w:type="dxa"/>
            <w:vAlign w:val="bottom"/>
          </w:tcPr>
          <w:p>
            <w:pPr>
              <w:spacing w:after="0"/>
              <w:rPr>
                <w:sz w:val="20"/>
                <w:szCs w:val="20"/>
                <w:color w:val="auto"/>
              </w:rPr>
            </w:pPr>
            <w:r>
              <w:rPr>
                <w:rFonts w:ascii="Arial" w:cs="Arial" w:eastAsia="Arial" w:hAnsi="Arial"/>
                <w:sz w:val="18"/>
                <w:szCs w:val="18"/>
                <w:color w:val="auto"/>
              </w:rPr>
              <w:t xml:space="preserve">Ras Laffan Liquefied Natural Gas Company Limited (3) </w:t>
            </w:r>
            <w:r>
              <w:rPr>
                <w:rFonts w:ascii="Arial" w:cs="Arial" w:eastAsia="Arial" w:hAnsi="Arial"/>
                <w:sz w:val="18"/>
                <w:szCs w:val="18"/>
                <w:i w:val="1"/>
                <w:iCs w:val="1"/>
                <w:color w:val="auto"/>
              </w:rPr>
              <w:t>(5)</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30</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Arial" w:cs="Arial" w:eastAsia="Arial" w:hAnsi="Arial"/>
                <w:sz w:val="18"/>
                <w:szCs w:val="18"/>
                <w:color w:val="auto"/>
              </w:rPr>
              <w:t>Qatar</w:t>
            </w:r>
          </w:p>
        </w:tc>
        <w:tc>
          <w:tcPr>
            <w:tcW w:w="0" w:type="dxa"/>
            <w:vAlign w:val="bottom"/>
          </w:tcPr>
          <w:p>
            <w:pPr>
              <w:spacing w:after="0"/>
              <w:rPr>
                <w:sz w:val="1"/>
                <w:szCs w:val="1"/>
                <w:color w:val="auto"/>
              </w:rPr>
            </w:pPr>
          </w:p>
        </w:tc>
      </w:tr>
      <w:tr>
        <w:trPr>
          <w:trHeight w:val="283"/>
        </w:trPr>
        <w:tc>
          <w:tcPr>
            <w:tcW w:w="6720" w:type="dxa"/>
            <w:vAlign w:val="bottom"/>
          </w:tcPr>
          <w:p>
            <w:pPr>
              <w:spacing w:after="0"/>
              <w:rPr>
                <w:sz w:val="20"/>
                <w:szCs w:val="20"/>
                <w:color w:val="auto"/>
              </w:rPr>
            </w:pPr>
            <w:r>
              <w:rPr>
                <w:rFonts w:ascii="Arial" w:cs="Arial" w:eastAsia="Arial" w:hAnsi="Arial"/>
                <w:sz w:val="18"/>
                <w:szCs w:val="18"/>
                <w:color w:val="auto"/>
              </w:rPr>
              <w:t xml:space="preserve">Saudi Aramco Mobil Refinery Company Ltd. </w:t>
            </w:r>
            <w:r>
              <w:rPr>
                <w:rFonts w:ascii="Arial" w:cs="Arial" w:eastAsia="Arial" w:hAnsi="Arial"/>
                <w:sz w:val="18"/>
                <w:szCs w:val="18"/>
                <w:i w:val="1"/>
                <w:iCs w:val="1"/>
                <w:color w:val="auto"/>
              </w:rPr>
              <w:t>(4) (5)</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Arial" w:cs="Arial" w:eastAsia="Arial" w:hAnsi="Arial"/>
                <w:sz w:val="18"/>
                <w:szCs w:val="18"/>
                <w:color w:val="auto"/>
              </w:rPr>
              <w:t>Saudi Arabia</w:t>
            </w:r>
          </w:p>
        </w:tc>
        <w:tc>
          <w:tcPr>
            <w:tcW w:w="0" w:type="dxa"/>
            <w:vAlign w:val="bottom"/>
          </w:tcPr>
          <w:p>
            <w:pPr>
              <w:spacing w:after="0"/>
              <w:rPr>
                <w:sz w:val="1"/>
                <w:szCs w:val="1"/>
                <w:color w:val="auto"/>
              </w:rPr>
            </w:pPr>
          </w:p>
        </w:tc>
      </w:tr>
      <w:tr>
        <w:trPr>
          <w:trHeight w:val="284"/>
        </w:trPr>
        <w:tc>
          <w:tcPr>
            <w:tcW w:w="6720" w:type="dxa"/>
            <w:vAlign w:val="bottom"/>
          </w:tcPr>
          <w:p>
            <w:pPr>
              <w:spacing w:after="0"/>
              <w:rPr>
                <w:sz w:val="20"/>
                <w:szCs w:val="20"/>
                <w:color w:val="auto"/>
              </w:rPr>
            </w:pPr>
            <w:r>
              <w:rPr>
                <w:rFonts w:ascii="Arial" w:cs="Arial" w:eastAsia="Arial" w:hAnsi="Arial"/>
                <w:sz w:val="18"/>
                <w:szCs w:val="18"/>
                <w:color w:val="auto"/>
              </w:rPr>
              <w:t xml:space="preserve">Saudi Yanbu Petrochemical Co. </w:t>
            </w:r>
            <w:r>
              <w:rPr>
                <w:rFonts w:ascii="Arial" w:cs="Arial" w:eastAsia="Arial" w:hAnsi="Arial"/>
                <w:sz w:val="18"/>
                <w:szCs w:val="18"/>
                <w:i w:val="1"/>
                <w:iCs w:val="1"/>
                <w:color w:val="auto"/>
              </w:rPr>
              <w:t>(4) (5)</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Arial" w:cs="Arial" w:eastAsia="Arial" w:hAnsi="Arial"/>
                <w:sz w:val="18"/>
                <w:szCs w:val="18"/>
                <w:color w:val="auto"/>
              </w:rPr>
              <w:t>Saudi Arabia</w:t>
            </w:r>
          </w:p>
        </w:tc>
        <w:tc>
          <w:tcPr>
            <w:tcW w:w="0" w:type="dxa"/>
            <w:vAlign w:val="bottom"/>
          </w:tcPr>
          <w:p>
            <w:pPr>
              <w:spacing w:after="0"/>
              <w:rPr>
                <w:sz w:val="1"/>
                <w:szCs w:val="1"/>
                <w:color w:val="auto"/>
              </w:rPr>
            </w:pPr>
          </w:p>
        </w:tc>
      </w:tr>
      <w:tr>
        <w:trPr>
          <w:trHeight w:val="283"/>
        </w:trPr>
        <w:tc>
          <w:tcPr>
            <w:tcW w:w="6720" w:type="dxa"/>
            <w:vAlign w:val="bottom"/>
          </w:tcPr>
          <w:p>
            <w:pPr>
              <w:spacing w:after="0"/>
              <w:rPr>
                <w:sz w:val="20"/>
                <w:szCs w:val="20"/>
                <w:color w:val="auto"/>
              </w:rPr>
            </w:pPr>
            <w:r>
              <w:rPr>
                <w:rFonts w:ascii="Arial" w:cs="Arial" w:eastAsia="Arial" w:hAnsi="Arial"/>
                <w:sz w:val="18"/>
                <w:szCs w:val="18"/>
                <w:color w:val="auto"/>
              </w:rPr>
              <w:t>SeaRiver Maritime, Inc.</w:t>
            </w:r>
          </w:p>
        </w:tc>
        <w:tc>
          <w:tcPr>
            <w:tcW w:w="2060" w:type="dxa"/>
            <w:vAlign w:val="bottom"/>
          </w:tcPr>
          <w:p>
            <w:pPr>
              <w:jc w:val="center"/>
              <w:spacing w:after="0"/>
              <w:rPr>
                <w:sz w:val="20"/>
                <w:szCs w:val="20"/>
                <w:color w:val="auto"/>
              </w:rPr>
            </w:pPr>
            <w:r>
              <w:rPr>
                <w:rFonts w:ascii="Arial" w:cs="Arial" w:eastAsia="Arial" w:hAnsi="Arial"/>
                <w:sz w:val="18"/>
                <w:szCs w:val="18"/>
                <w:color w:val="auto"/>
                <w:w w:val="93"/>
              </w:rPr>
              <w:t>100</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83"/>
        </w:trPr>
        <w:tc>
          <w:tcPr>
            <w:tcW w:w="6720" w:type="dxa"/>
            <w:vAlign w:val="bottom"/>
          </w:tcPr>
          <w:p>
            <w:pPr>
              <w:spacing w:after="0"/>
              <w:rPr>
                <w:sz w:val="20"/>
                <w:szCs w:val="20"/>
                <w:color w:val="auto"/>
              </w:rPr>
            </w:pPr>
            <w:r>
              <w:rPr>
                <w:rFonts w:ascii="Arial" w:cs="Arial" w:eastAsia="Arial" w:hAnsi="Arial"/>
                <w:sz w:val="18"/>
                <w:szCs w:val="18"/>
                <w:color w:val="auto"/>
              </w:rPr>
              <w:t>SeaRiver Maritime LLC</w:t>
            </w:r>
          </w:p>
        </w:tc>
        <w:tc>
          <w:tcPr>
            <w:tcW w:w="2060" w:type="dxa"/>
            <w:vAlign w:val="bottom"/>
          </w:tcPr>
          <w:p>
            <w:pPr>
              <w:jc w:val="center"/>
              <w:spacing w:after="0"/>
              <w:rPr>
                <w:sz w:val="20"/>
                <w:szCs w:val="20"/>
                <w:color w:val="auto"/>
              </w:rPr>
            </w:pPr>
            <w:r>
              <w:rPr>
                <w:rFonts w:ascii="Arial" w:cs="Arial" w:eastAsia="Arial" w:hAnsi="Arial"/>
                <w:sz w:val="18"/>
                <w:szCs w:val="18"/>
                <w:color w:val="auto"/>
                <w:w w:val="93"/>
              </w:rPr>
              <w:t>100</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84"/>
        </w:trPr>
        <w:tc>
          <w:tcPr>
            <w:tcW w:w="6720" w:type="dxa"/>
            <w:vAlign w:val="bottom"/>
          </w:tcPr>
          <w:p>
            <w:pPr>
              <w:spacing w:after="0"/>
              <w:rPr>
                <w:sz w:val="20"/>
                <w:szCs w:val="20"/>
                <w:color w:val="auto"/>
              </w:rPr>
            </w:pPr>
            <w:r>
              <w:rPr>
                <w:rFonts w:ascii="Arial" w:cs="Arial" w:eastAsia="Arial" w:hAnsi="Arial"/>
                <w:sz w:val="18"/>
                <w:szCs w:val="18"/>
                <w:color w:val="auto"/>
              </w:rPr>
              <w:t xml:space="preserve">South Hook LNG Terminal Company Limited </w:t>
            </w:r>
            <w:r>
              <w:rPr>
                <w:rFonts w:ascii="Arial" w:cs="Arial" w:eastAsia="Arial" w:hAnsi="Arial"/>
                <w:sz w:val="18"/>
                <w:szCs w:val="18"/>
                <w:i w:val="1"/>
                <w:iCs w:val="1"/>
                <w:color w:val="auto"/>
              </w:rPr>
              <w:t>(5)</w:t>
            </w:r>
          </w:p>
        </w:tc>
        <w:tc>
          <w:tcPr>
            <w:tcW w:w="2060" w:type="dxa"/>
            <w:vAlign w:val="bottom"/>
          </w:tcPr>
          <w:p>
            <w:pPr>
              <w:jc w:val="center"/>
              <w:spacing w:after="0"/>
              <w:rPr>
                <w:sz w:val="20"/>
                <w:szCs w:val="20"/>
                <w:color w:val="auto"/>
              </w:rPr>
            </w:pPr>
            <w:r>
              <w:rPr>
                <w:rFonts w:ascii="Arial" w:cs="Arial" w:eastAsia="Arial" w:hAnsi="Arial"/>
                <w:sz w:val="18"/>
                <w:szCs w:val="18"/>
                <w:color w:val="auto"/>
                <w:w w:val="88"/>
              </w:rPr>
              <w:t>24.15</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83"/>
        </w:trPr>
        <w:tc>
          <w:tcPr>
            <w:tcW w:w="6720" w:type="dxa"/>
            <w:vAlign w:val="bottom"/>
          </w:tcPr>
          <w:p>
            <w:pPr>
              <w:spacing w:after="0"/>
              <w:rPr>
                <w:sz w:val="20"/>
                <w:szCs w:val="20"/>
                <w:color w:val="auto"/>
              </w:rPr>
            </w:pPr>
            <w:r>
              <w:rPr>
                <w:rFonts w:ascii="Arial" w:cs="Arial" w:eastAsia="Arial" w:hAnsi="Arial"/>
                <w:sz w:val="18"/>
                <w:szCs w:val="18"/>
                <w:color w:val="auto"/>
              </w:rPr>
              <w:t xml:space="preserve">Tengizchevroil, LLP </w:t>
            </w:r>
            <w:r>
              <w:rPr>
                <w:rFonts w:ascii="Arial" w:cs="Arial" w:eastAsia="Arial" w:hAnsi="Arial"/>
                <w:sz w:val="18"/>
                <w:szCs w:val="18"/>
                <w:i w:val="1"/>
                <w:iCs w:val="1"/>
                <w:color w:val="auto"/>
              </w:rPr>
              <w:t>(5)</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25</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Arial" w:cs="Arial" w:eastAsia="Arial" w:hAnsi="Arial"/>
                <w:sz w:val="18"/>
                <w:szCs w:val="18"/>
                <w:color w:val="auto"/>
              </w:rPr>
              <w:t>Kazakhstan</w:t>
            </w:r>
          </w:p>
        </w:tc>
        <w:tc>
          <w:tcPr>
            <w:tcW w:w="0" w:type="dxa"/>
            <w:vAlign w:val="bottom"/>
          </w:tcPr>
          <w:p>
            <w:pPr>
              <w:spacing w:after="0"/>
              <w:rPr>
                <w:sz w:val="1"/>
                <w:szCs w:val="1"/>
                <w:color w:val="auto"/>
              </w:rPr>
            </w:pPr>
          </w:p>
        </w:tc>
      </w:tr>
      <w:tr>
        <w:trPr>
          <w:trHeight w:val="283"/>
        </w:trPr>
        <w:tc>
          <w:tcPr>
            <w:tcW w:w="6720" w:type="dxa"/>
            <w:vAlign w:val="bottom"/>
          </w:tcPr>
          <w:p>
            <w:pPr>
              <w:spacing w:after="0"/>
              <w:rPr>
                <w:sz w:val="20"/>
                <w:szCs w:val="20"/>
                <w:color w:val="auto"/>
              </w:rPr>
            </w:pPr>
            <w:r>
              <w:rPr>
                <w:rFonts w:ascii="Arial" w:cs="Arial" w:eastAsia="Arial" w:hAnsi="Arial"/>
                <w:sz w:val="18"/>
                <w:szCs w:val="18"/>
                <w:color w:val="auto"/>
              </w:rPr>
              <w:t xml:space="preserve">Terminale GNL Adriatico S.r.l. </w:t>
            </w:r>
            <w:r>
              <w:rPr>
                <w:rFonts w:ascii="Arial" w:cs="Arial" w:eastAsia="Arial" w:hAnsi="Arial"/>
                <w:sz w:val="18"/>
                <w:szCs w:val="18"/>
                <w:i w:val="1"/>
                <w:iCs w:val="1"/>
                <w:color w:val="auto"/>
              </w:rPr>
              <w:t>(5)</w:t>
            </w:r>
          </w:p>
        </w:tc>
        <w:tc>
          <w:tcPr>
            <w:tcW w:w="2060" w:type="dxa"/>
            <w:vAlign w:val="bottom"/>
          </w:tcPr>
          <w:p>
            <w:pPr>
              <w:jc w:val="center"/>
              <w:spacing w:after="0"/>
              <w:rPr>
                <w:sz w:val="20"/>
                <w:szCs w:val="20"/>
                <w:color w:val="auto"/>
              </w:rPr>
            </w:pPr>
            <w:r>
              <w:rPr>
                <w:rFonts w:ascii="Arial" w:cs="Arial" w:eastAsia="Arial" w:hAnsi="Arial"/>
                <w:sz w:val="18"/>
                <w:szCs w:val="18"/>
                <w:color w:val="auto"/>
                <w:w w:val="90"/>
              </w:rPr>
              <w:t>70.678</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Arial" w:cs="Arial" w:eastAsia="Arial" w:hAnsi="Arial"/>
                <w:sz w:val="18"/>
                <w:szCs w:val="18"/>
                <w:color w:val="auto"/>
              </w:rPr>
              <w:t>Italy</w:t>
            </w:r>
          </w:p>
        </w:tc>
        <w:tc>
          <w:tcPr>
            <w:tcW w:w="0" w:type="dxa"/>
            <w:vAlign w:val="bottom"/>
          </w:tcPr>
          <w:p>
            <w:pPr>
              <w:spacing w:after="0"/>
              <w:rPr>
                <w:sz w:val="1"/>
                <w:szCs w:val="1"/>
                <w:color w:val="auto"/>
              </w:rPr>
            </w:pPr>
          </w:p>
        </w:tc>
      </w:tr>
      <w:tr>
        <w:trPr>
          <w:trHeight w:val="283"/>
        </w:trPr>
        <w:tc>
          <w:tcPr>
            <w:tcW w:w="6720" w:type="dxa"/>
            <w:vAlign w:val="bottom"/>
          </w:tcPr>
          <w:p>
            <w:pPr>
              <w:spacing w:after="0"/>
              <w:rPr>
                <w:sz w:val="20"/>
                <w:szCs w:val="20"/>
                <w:color w:val="auto"/>
              </w:rPr>
            </w:pPr>
            <w:r>
              <w:rPr>
                <w:rFonts w:ascii="Arial" w:cs="Arial" w:eastAsia="Arial" w:hAnsi="Arial"/>
                <w:sz w:val="18"/>
                <w:szCs w:val="18"/>
                <w:color w:val="auto"/>
              </w:rPr>
              <w:t>Wink to Webster Pipeline LLC</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45</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84"/>
        </w:trPr>
        <w:tc>
          <w:tcPr>
            <w:tcW w:w="6720" w:type="dxa"/>
            <w:vAlign w:val="bottom"/>
          </w:tcPr>
          <w:p>
            <w:pPr>
              <w:spacing w:after="0"/>
              <w:rPr>
                <w:sz w:val="20"/>
                <w:szCs w:val="20"/>
                <w:color w:val="auto"/>
              </w:rPr>
            </w:pPr>
            <w:r>
              <w:rPr>
                <w:rFonts w:ascii="Arial" w:cs="Arial" w:eastAsia="Arial" w:hAnsi="Arial"/>
                <w:sz w:val="18"/>
                <w:szCs w:val="18"/>
                <w:color w:val="auto"/>
              </w:rPr>
              <w:t>Worex S.N.C.</w:t>
            </w:r>
          </w:p>
        </w:tc>
        <w:tc>
          <w:tcPr>
            <w:tcW w:w="2060" w:type="dxa"/>
            <w:vAlign w:val="bottom"/>
          </w:tcPr>
          <w:p>
            <w:pPr>
              <w:jc w:val="center"/>
              <w:spacing w:after="0"/>
              <w:rPr>
                <w:sz w:val="20"/>
                <w:szCs w:val="20"/>
                <w:color w:val="auto"/>
              </w:rPr>
            </w:pPr>
            <w:r>
              <w:rPr>
                <w:rFonts w:ascii="Arial" w:cs="Arial" w:eastAsia="Arial" w:hAnsi="Arial"/>
                <w:sz w:val="18"/>
                <w:szCs w:val="18"/>
                <w:color w:val="auto"/>
                <w:w w:val="88"/>
              </w:rPr>
              <w:t>82.89</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Arial" w:cs="Arial" w:eastAsia="Arial" w:hAnsi="Arial"/>
                <w:sz w:val="18"/>
                <w:szCs w:val="18"/>
                <w:color w:val="auto"/>
              </w:rPr>
              <w:t>France</w:t>
            </w:r>
          </w:p>
        </w:tc>
        <w:tc>
          <w:tcPr>
            <w:tcW w:w="0" w:type="dxa"/>
            <w:vAlign w:val="bottom"/>
          </w:tcPr>
          <w:p>
            <w:pPr>
              <w:spacing w:after="0"/>
              <w:rPr>
                <w:sz w:val="1"/>
                <w:szCs w:val="1"/>
                <w:color w:val="auto"/>
              </w:rPr>
            </w:pPr>
          </w:p>
        </w:tc>
      </w:tr>
      <w:tr>
        <w:trPr>
          <w:trHeight w:val="284"/>
        </w:trPr>
        <w:tc>
          <w:tcPr>
            <w:tcW w:w="6720" w:type="dxa"/>
            <w:vAlign w:val="bottom"/>
          </w:tcPr>
          <w:p>
            <w:pPr>
              <w:spacing w:after="0"/>
              <w:rPr>
                <w:sz w:val="20"/>
                <w:szCs w:val="20"/>
                <w:color w:val="auto"/>
              </w:rPr>
            </w:pPr>
            <w:r>
              <w:rPr>
                <w:rFonts w:ascii="Arial" w:cs="Arial" w:eastAsia="Arial" w:hAnsi="Arial"/>
                <w:sz w:val="18"/>
                <w:szCs w:val="18"/>
                <w:color w:val="auto"/>
              </w:rPr>
              <w:t>XH, LLC</w:t>
            </w:r>
          </w:p>
        </w:tc>
        <w:tc>
          <w:tcPr>
            <w:tcW w:w="2060" w:type="dxa"/>
            <w:vAlign w:val="bottom"/>
          </w:tcPr>
          <w:p>
            <w:pPr>
              <w:jc w:val="center"/>
              <w:spacing w:after="0"/>
              <w:rPr>
                <w:sz w:val="20"/>
                <w:szCs w:val="20"/>
                <w:color w:val="auto"/>
              </w:rPr>
            </w:pPr>
            <w:r>
              <w:rPr>
                <w:rFonts w:ascii="Arial" w:cs="Arial" w:eastAsia="Arial" w:hAnsi="Arial"/>
                <w:sz w:val="18"/>
                <w:szCs w:val="18"/>
                <w:color w:val="auto"/>
                <w:w w:val="93"/>
              </w:rPr>
              <w:t>100</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83"/>
        </w:trPr>
        <w:tc>
          <w:tcPr>
            <w:tcW w:w="6720" w:type="dxa"/>
            <w:vAlign w:val="bottom"/>
          </w:tcPr>
          <w:p>
            <w:pPr>
              <w:spacing w:after="0"/>
              <w:rPr>
                <w:sz w:val="20"/>
                <w:szCs w:val="20"/>
                <w:color w:val="auto"/>
              </w:rPr>
            </w:pPr>
            <w:r>
              <w:rPr>
                <w:rFonts w:ascii="Arial" w:cs="Arial" w:eastAsia="Arial" w:hAnsi="Arial"/>
                <w:sz w:val="18"/>
                <w:szCs w:val="18"/>
                <w:color w:val="auto"/>
              </w:rPr>
              <w:t>XTO Delaware Basin, LLC</w:t>
            </w:r>
          </w:p>
        </w:tc>
        <w:tc>
          <w:tcPr>
            <w:tcW w:w="2060" w:type="dxa"/>
            <w:vAlign w:val="bottom"/>
          </w:tcPr>
          <w:p>
            <w:pPr>
              <w:jc w:val="center"/>
              <w:spacing w:after="0"/>
              <w:rPr>
                <w:sz w:val="20"/>
                <w:szCs w:val="20"/>
                <w:color w:val="auto"/>
              </w:rPr>
            </w:pPr>
            <w:r>
              <w:rPr>
                <w:rFonts w:ascii="Arial" w:cs="Arial" w:eastAsia="Arial" w:hAnsi="Arial"/>
                <w:sz w:val="18"/>
                <w:szCs w:val="18"/>
                <w:color w:val="auto"/>
                <w:w w:val="93"/>
              </w:rPr>
              <w:t>100</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Arial" w:cs="Arial" w:eastAsia="Arial" w:hAnsi="Arial"/>
                <w:sz w:val="18"/>
                <w:szCs w:val="18"/>
                <w:color w:val="auto"/>
              </w:rPr>
              <w:t>Texas</w:t>
            </w:r>
          </w:p>
        </w:tc>
        <w:tc>
          <w:tcPr>
            <w:tcW w:w="0" w:type="dxa"/>
            <w:vAlign w:val="bottom"/>
          </w:tcPr>
          <w:p>
            <w:pPr>
              <w:spacing w:after="0"/>
              <w:rPr>
                <w:sz w:val="1"/>
                <w:szCs w:val="1"/>
                <w:color w:val="auto"/>
              </w:rPr>
            </w:pPr>
          </w:p>
        </w:tc>
      </w:tr>
      <w:tr>
        <w:trPr>
          <w:trHeight w:val="284"/>
        </w:trPr>
        <w:tc>
          <w:tcPr>
            <w:tcW w:w="6720" w:type="dxa"/>
            <w:vAlign w:val="bottom"/>
          </w:tcPr>
          <w:p>
            <w:pPr>
              <w:spacing w:after="0"/>
              <w:rPr>
                <w:sz w:val="20"/>
                <w:szCs w:val="20"/>
                <w:color w:val="auto"/>
              </w:rPr>
            </w:pPr>
            <w:r>
              <w:rPr>
                <w:rFonts w:ascii="Arial" w:cs="Arial" w:eastAsia="Arial" w:hAnsi="Arial"/>
                <w:sz w:val="18"/>
                <w:szCs w:val="18"/>
                <w:color w:val="auto"/>
              </w:rPr>
              <w:t>XTO Energy Canada</w:t>
            </w:r>
          </w:p>
        </w:tc>
        <w:tc>
          <w:tcPr>
            <w:tcW w:w="2060" w:type="dxa"/>
            <w:vAlign w:val="bottom"/>
          </w:tcPr>
          <w:p>
            <w:pPr>
              <w:jc w:val="center"/>
              <w:spacing w:after="0"/>
              <w:rPr>
                <w:sz w:val="20"/>
                <w:szCs w:val="20"/>
                <w:color w:val="auto"/>
              </w:rPr>
            </w:pPr>
            <w:r>
              <w:rPr>
                <w:rFonts w:ascii="Arial" w:cs="Arial" w:eastAsia="Arial" w:hAnsi="Arial"/>
                <w:sz w:val="18"/>
                <w:szCs w:val="18"/>
                <w:color w:val="auto"/>
                <w:w w:val="91"/>
              </w:rPr>
              <w:t>84.8</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84"/>
        </w:trPr>
        <w:tc>
          <w:tcPr>
            <w:tcW w:w="6720" w:type="dxa"/>
            <w:vAlign w:val="bottom"/>
          </w:tcPr>
          <w:p>
            <w:pPr>
              <w:spacing w:after="0"/>
              <w:rPr>
                <w:sz w:val="20"/>
                <w:szCs w:val="20"/>
                <w:color w:val="auto"/>
              </w:rPr>
            </w:pPr>
            <w:r>
              <w:rPr>
                <w:rFonts w:ascii="Arial" w:cs="Arial" w:eastAsia="Arial" w:hAnsi="Arial"/>
                <w:sz w:val="18"/>
                <w:szCs w:val="18"/>
                <w:color w:val="auto"/>
              </w:rPr>
              <w:t>XTO Energy Inc.</w:t>
            </w:r>
          </w:p>
        </w:tc>
        <w:tc>
          <w:tcPr>
            <w:tcW w:w="2060" w:type="dxa"/>
            <w:vAlign w:val="bottom"/>
          </w:tcPr>
          <w:p>
            <w:pPr>
              <w:jc w:val="center"/>
              <w:spacing w:after="0"/>
              <w:rPr>
                <w:sz w:val="20"/>
                <w:szCs w:val="20"/>
                <w:color w:val="auto"/>
              </w:rPr>
            </w:pPr>
            <w:r>
              <w:rPr>
                <w:rFonts w:ascii="Arial" w:cs="Arial" w:eastAsia="Arial" w:hAnsi="Arial"/>
                <w:sz w:val="18"/>
                <w:szCs w:val="18"/>
                <w:color w:val="auto"/>
                <w:w w:val="93"/>
              </w:rPr>
              <w:t>100</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83"/>
        </w:trPr>
        <w:tc>
          <w:tcPr>
            <w:tcW w:w="6720" w:type="dxa"/>
            <w:vAlign w:val="bottom"/>
          </w:tcPr>
          <w:p>
            <w:pPr>
              <w:spacing w:after="0"/>
              <w:rPr>
                <w:sz w:val="20"/>
                <w:szCs w:val="20"/>
                <w:color w:val="auto"/>
              </w:rPr>
            </w:pPr>
            <w:r>
              <w:rPr>
                <w:rFonts w:ascii="Arial" w:cs="Arial" w:eastAsia="Arial" w:hAnsi="Arial"/>
                <w:sz w:val="18"/>
                <w:szCs w:val="18"/>
                <w:color w:val="auto"/>
              </w:rPr>
              <w:t>XTO Holdings, LLC</w:t>
            </w:r>
          </w:p>
        </w:tc>
        <w:tc>
          <w:tcPr>
            <w:tcW w:w="2060" w:type="dxa"/>
            <w:vAlign w:val="bottom"/>
          </w:tcPr>
          <w:p>
            <w:pPr>
              <w:jc w:val="center"/>
              <w:spacing w:after="0"/>
              <w:rPr>
                <w:sz w:val="20"/>
                <w:szCs w:val="20"/>
                <w:color w:val="auto"/>
              </w:rPr>
            </w:pPr>
            <w:r>
              <w:rPr>
                <w:rFonts w:ascii="Arial" w:cs="Arial" w:eastAsia="Arial" w:hAnsi="Arial"/>
                <w:sz w:val="18"/>
                <w:szCs w:val="18"/>
                <w:color w:val="auto"/>
                <w:w w:val="93"/>
              </w:rPr>
              <w:t>100</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84"/>
        </w:trPr>
        <w:tc>
          <w:tcPr>
            <w:tcW w:w="6720" w:type="dxa"/>
            <w:vAlign w:val="bottom"/>
          </w:tcPr>
          <w:p>
            <w:pPr>
              <w:spacing w:after="0"/>
              <w:rPr>
                <w:sz w:val="20"/>
                <w:szCs w:val="20"/>
                <w:color w:val="auto"/>
              </w:rPr>
            </w:pPr>
            <w:r>
              <w:rPr>
                <w:rFonts w:ascii="Arial" w:cs="Arial" w:eastAsia="Arial" w:hAnsi="Arial"/>
                <w:sz w:val="18"/>
                <w:szCs w:val="18"/>
                <w:color w:val="auto"/>
              </w:rPr>
              <w:t>XTO Permian Midstream, LLC</w:t>
            </w:r>
          </w:p>
        </w:tc>
        <w:tc>
          <w:tcPr>
            <w:tcW w:w="2060" w:type="dxa"/>
            <w:vAlign w:val="bottom"/>
          </w:tcPr>
          <w:p>
            <w:pPr>
              <w:jc w:val="center"/>
              <w:spacing w:after="0"/>
              <w:rPr>
                <w:sz w:val="20"/>
                <w:szCs w:val="20"/>
                <w:color w:val="auto"/>
              </w:rPr>
            </w:pPr>
            <w:r>
              <w:rPr>
                <w:rFonts w:ascii="Arial" w:cs="Arial" w:eastAsia="Arial" w:hAnsi="Arial"/>
                <w:sz w:val="18"/>
                <w:szCs w:val="18"/>
                <w:color w:val="auto"/>
                <w:w w:val="93"/>
              </w:rPr>
              <w:t>100</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84"/>
        </w:trPr>
        <w:tc>
          <w:tcPr>
            <w:tcW w:w="6720" w:type="dxa"/>
            <w:vAlign w:val="bottom"/>
          </w:tcPr>
          <w:p>
            <w:pPr>
              <w:spacing w:after="0"/>
              <w:rPr>
                <w:sz w:val="20"/>
                <w:szCs w:val="20"/>
                <w:color w:val="auto"/>
              </w:rPr>
            </w:pPr>
            <w:r>
              <w:rPr>
                <w:rFonts w:ascii="Arial" w:cs="Arial" w:eastAsia="Arial" w:hAnsi="Arial"/>
                <w:sz w:val="18"/>
                <w:szCs w:val="18"/>
                <w:color w:val="auto"/>
              </w:rPr>
              <w:t>XTO Permian Operating, LLC</w:t>
            </w:r>
          </w:p>
        </w:tc>
        <w:tc>
          <w:tcPr>
            <w:tcW w:w="2060" w:type="dxa"/>
            <w:vAlign w:val="bottom"/>
          </w:tcPr>
          <w:p>
            <w:pPr>
              <w:jc w:val="center"/>
              <w:spacing w:after="0"/>
              <w:rPr>
                <w:sz w:val="20"/>
                <w:szCs w:val="20"/>
                <w:color w:val="auto"/>
              </w:rPr>
            </w:pPr>
            <w:r>
              <w:rPr>
                <w:rFonts w:ascii="Arial" w:cs="Arial" w:eastAsia="Arial" w:hAnsi="Arial"/>
                <w:sz w:val="18"/>
                <w:szCs w:val="18"/>
                <w:color w:val="auto"/>
                <w:w w:val="93"/>
              </w:rPr>
              <w:t>100</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Arial" w:cs="Arial" w:eastAsia="Arial" w:hAnsi="Arial"/>
                <w:sz w:val="18"/>
                <w:szCs w:val="18"/>
                <w:color w:val="auto"/>
              </w:rPr>
              <w:t>Texas</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40" w:top="827" w:right="339" w:bottom="1440" w:gutter="0" w:footer="0" w:header="0"/>
        </w:sectPr>
      </w:pPr>
    </w:p>
    <w:p>
      <w:pPr>
        <w:spacing w:after="0" w:line="312"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220"/>
          </w:cols>
          <w:pgMar w:left="340" w:top="827" w:right="339" w:bottom="1440" w:gutter="0" w:footer="0" w:header="0"/>
          <w:type w:val="continuous"/>
        </w:sectPr>
      </w:pPr>
    </w:p>
    <w:bookmarkStart w:id="136" w:name="page137"/>
    <w:bookmarkEnd w:id="136"/>
    <w:p>
      <w:pPr>
        <w:spacing w:after="0"/>
        <w:rPr>
          <w:sz w:val="20"/>
          <w:szCs w:val="20"/>
          <w:color w:val="auto"/>
        </w:rPr>
      </w:pPr>
      <w:r>
        <w:rPr>
          <w:rFonts w:ascii="Arial" w:cs="Arial" w:eastAsia="Arial" w:hAnsi="Arial"/>
          <w:sz w:val="18"/>
          <w:szCs w:val="18"/>
          <w:u w:val="single" w:color="auto"/>
          <w:color w:val="auto"/>
        </w:rPr>
        <w:t>NOTES:</w:t>
      </w:r>
    </w:p>
    <w:p>
      <w:pPr>
        <w:spacing w:after="0" w:line="122" w:lineRule="exact"/>
        <w:rPr>
          <w:sz w:val="20"/>
          <w:szCs w:val="20"/>
          <w:color w:val="auto"/>
        </w:rPr>
      </w:pPr>
    </w:p>
    <w:p>
      <w:pPr>
        <w:jc w:val="both"/>
        <w:ind w:left="340" w:hanging="332"/>
        <w:spacing w:after="0" w:line="261" w:lineRule="auto"/>
        <w:tabs>
          <w:tab w:leader="none" w:pos="340" w:val="left"/>
        </w:tabs>
        <w:numPr>
          <w:ilvl w:val="0"/>
          <w:numId w:val="45"/>
        </w:numPr>
        <w:rPr>
          <w:rFonts w:ascii="Arial" w:cs="Arial" w:eastAsia="Arial" w:hAnsi="Arial"/>
          <w:sz w:val="16"/>
          <w:szCs w:val="16"/>
          <w:i w:val="1"/>
          <w:iCs w:val="1"/>
          <w:color w:val="auto"/>
        </w:rPr>
      </w:pPr>
      <w:r>
        <w:rPr>
          <w:rFonts w:ascii="Arial" w:cs="Arial" w:eastAsia="Arial" w:hAnsi="Arial"/>
          <w:sz w:val="16"/>
          <w:szCs w:val="16"/>
          <w:i w:val="1"/>
          <w:iCs w:val="1"/>
          <w:color w:val="auto"/>
        </w:rPr>
        <w:t>For the purposes of this list, if the registrant owns directly or indirectly approximately 50 percent of the voting securities of any person and approximately 50 percent of the voting securities of such person is owned directly or indirectly by another interest, or if the registrant includes its share of net income of any other unconsolidated person in consolidated net income, such person is deemed to be a subsidiary.</w:t>
      </w:r>
    </w:p>
    <w:p>
      <w:pPr>
        <w:spacing w:after="0" w:line="20" w:lineRule="exact"/>
        <w:rPr>
          <w:rFonts w:ascii="Arial" w:cs="Arial" w:eastAsia="Arial" w:hAnsi="Arial"/>
          <w:sz w:val="16"/>
          <w:szCs w:val="16"/>
          <w:i w:val="1"/>
          <w:iCs w:val="1"/>
          <w:color w:val="auto"/>
        </w:rPr>
      </w:pPr>
    </w:p>
    <w:p>
      <w:pPr>
        <w:ind w:left="340" w:hanging="332"/>
        <w:spacing w:after="0"/>
        <w:tabs>
          <w:tab w:leader="none" w:pos="340" w:val="left"/>
        </w:tabs>
        <w:numPr>
          <w:ilvl w:val="0"/>
          <w:numId w:val="45"/>
        </w:numPr>
        <w:rPr>
          <w:rFonts w:ascii="Arial" w:cs="Arial" w:eastAsia="Arial" w:hAnsi="Arial"/>
          <w:sz w:val="16"/>
          <w:szCs w:val="16"/>
          <w:i w:val="1"/>
          <w:iCs w:val="1"/>
          <w:color w:val="auto"/>
        </w:rPr>
      </w:pPr>
      <w:r>
        <w:rPr>
          <w:rFonts w:ascii="Arial" w:cs="Arial" w:eastAsia="Arial" w:hAnsi="Arial"/>
          <w:sz w:val="16"/>
          <w:szCs w:val="16"/>
          <w:i w:val="1"/>
          <w:iCs w:val="1"/>
          <w:color w:val="auto"/>
        </w:rPr>
        <w:t>With respect to certain companies, shares in names of nominees and qualifying shares in names of directors are included in the above percentages.</w:t>
      </w:r>
    </w:p>
    <w:p>
      <w:pPr>
        <w:spacing w:after="0" w:line="59" w:lineRule="exact"/>
        <w:rPr>
          <w:rFonts w:ascii="Arial" w:cs="Arial" w:eastAsia="Arial" w:hAnsi="Arial"/>
          <w:sz w:val="16"/>
          <w:szCs w:val="16"/>
          <w:i w:val="1"/>
          <w:iCs w:val="1"/>
          <w:color w:val="auto"/>
        </w:rPr>
      </w:pPr>
    </w:p>
    <w:p>
      <w:pPr>
        <w:ind w:left="340" w:hanging="332"/>
        <w:spacing w:after="0" w:line="275" w:lineRule="auto"/>
        <w:tabs>
          <w:tab w:leader="none" w:pos="340" w:val="left"/>
        </w:tabs>
        <w:numPr>
          <w:ilvl w:val="0"/>
          <w:numId w:val="45"/>
        </w:numPr>
        <w:rPr>
          <w:rFonts w:ascii="Arial" w:cs="Arial" w:eastAsia="Arial" w:hAnsi="Arial"/>
          <w:sz w:val="16"/>
          <w:szCs w:val="16"/>
          <w:i w:val="1"/>
          <w:iCs w:val="1"/>
          <w:color w:val="auto"/>
        </w:rPr>
      </w:pPr>
      <w:r>
        <w:rPr>
          <w:rFonts w:ascii="Arial" w:cs="Arial" w:eastAsia="Arial" w:hAnsi="Arial"/>
          <w:sz w:val="16"/>
          <w:szCs w:val="16"/>
          <w:i w:val="1"/>
          <w:iCs w:val="1"/>
          <w:color w:val="auto"/>
        </w:rPr>
        <w:t>The names of other subsidiaries have been omitted from the above list since considered in the aggregate, they would not constitute a significant subsidiary under Securities and Exchange Commission Regulation S-X, Rule 1-02(w).</w:t>
      </w:r>
    </w:p>
    <w:p>
      <w:pPr>
        <w:spacing w:after="0" w:line="23" w:lineRule="exact"/>
        <w:rPr>
          <w:rFonts w:ascii="Arial" w:cs="Arial" w:eastAsia="Arial" w:hAnsi="Arial"/>
          <w:sz w:val="16"/>
          <w:szCs w:val="16"/>
          <w:i w:val="1"/>
          <w:iCs w:val="1"/>
          <w:color w:val="auto"/>
        </w:rPr>
      </w:pPr>
    </w:p>
    <w:p>
      <w:pPr>
        <w:ind w:left="340" w:hanging="332"/>
        <w:spacing w:after="0" w:line="275" w:lineRule="auto"/>
        <w:tabs>
          <w:tab w:leader="none" w:pos="340" w:val="left"/>
        </w:tabs>
        <w:numPr>
          <w:ilvl w:val="0"/>
          <w:numId w:val="45"/>
        </w:numPr>
        <w:rPr>
          <w:rFonts w:ascii="Arial" w:cs="Arial" w:eastAsia="Arial" w:hAnsi="Arial"/>
          <w:sz w:val="16"/>
          <w:szCs w:val="16"/>
          <w:i w:val="1"/>
          <w:iCs w:val="1"/>
          <w:color w:val="auto"/>
        </w:rPr>
      </w:pPr>
      <w:r>
        <w:rPr>
          <w:rFonts w:ascii="Arial" w:cs="Arial" w:eastAsia="Arial" w:hAnsi="Arial"/>
          <w:sz w:val="16"/>
          <w:szCs w:val="16"/>
          <w:i w:val="1"/>
          <w:iCs w:val="1"/>
          <w:color w:val="auto"/>
        </w:rPr>
        <w:t>The registrant owns directly or indirectly approximately 50 percent of the securities of this person and approximately 50 percent of the voting securities of this person is owned directly or indirectly by another single interest.</w:t>
      </w:r>
    </w:p>
    <w:p>
      <w:pPr>
        <w:spacing w:after="0" w:line="10" w:lineRule="exact"/>
        <w:rPr>
          <w:rFonts w:ascii="Arial" w:cs="Arial" w:eastAsia="Arial" w:hAnsi="Arial"/>
          <w:sz w:val="16"/>
          <w:szCs w:val="16"/>
          <w:i w:val="1"/>
          <w:iCs w:val="1"/>
          <w:color w:val="auto"/>
        </w:rPr>
      </w:pPr>
    </w:p>
    <w:p>
      <w:pPr>
        <w:ind w:left="340" w:hanging="332"/>
        <w:spacing w:after="0" w:line="275" w:lineRule="auto"/>
        <w:tabs>
          <w:tab w:leader="none" w:pos="340" w:val="left"/>
        </w:tabs>
        <w:numPr>
          <w:ilvl w:val="0"/>
          <w:numId w:val="45"/>
        </w:numPr>
        <w:rPr>
          <w:rFonts w:ascii="Arial" w:cs="Arial" w:eastAsia="Arial" w:hAnsi="Arial"/>
          <w:sz w:val="16"/>
          <w:szCs w:val="16"/>
          <w:i w:val="1"/>
          <w:iCs w:val="1"/>
          <w:color w:val="auto"/>
        </w:rPr>
      </w:pPr>
      <w:r>
        <w:rPr>
          <w:rFonts w:ascii="Arial" w:cs="Arial" w:eastAsia="Arial" w:hAnsi="Arial"/>
          <w:sz w:val="16"/>
          <w:szCs w:val="16"/>
          <w:i w:val="1"/>
          <w:iCs w:val="1"/>
          <w:color w:val="auto"/>
        </w:rPr>
        <w:t>The investment in this unconsolidated person is represented by the registrant's percentage interest in the underlying net assets of such person. The accounting for these unconsolidated persons is referred to as the equity method of accounting.</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016" w:right="3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b w:val="1"/>
          <w:bCs w:val="1"/>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9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hereby consent to the incorporation by reference in the Registration Statements on Form S-3 (No. 333-237052) and Form S-8 (Nos. 333-145188, 333-110494, 333-183012, 333-166576 and 333-117980) of Exxon Mobil Corporation of our report dated February 23, 2022 relating to the financial statements and the effectiveness of internal control over financial reporting, which appears in this Form 10-K.</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23, 2022</w:t>
      </w:r>
    </w:p>
    <w:p>
      <w:pPr>
        <w:sectPr>
          <w:pgSz w:w="11900" w:h="16838" w:orient="portrait"/>
          <w:cols w:equalWidth="0" w:num="1">
            <w:col w:w="11240"/>
          </w:cols>
          <w:pgMar w:left="320" w:top="1012" w:right="3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Darren W. Woods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Pursuant to Securities Exchange Act Rule 13a-14(a)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Darren W. Woods, certify that:</w:t>
      </w:r>
    </w:p>
    <w:p>
      <w:pPr>
        <w:spacing w:after="0" w:line="225"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Exxon Mobil Corporation;</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060" w:hanging="404"/>
        <w:spacing w:after="0" w:line="263" w:lineRule="auto"/>
        <w:tabs>
          <w:tab w:leader="none" w:pos="1057"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1060" w:hanging="404"/>
        <w:spacing w:after="0" w:line="263" w:lineRule="auto"/>
        <w:tabs>
          <w:tab w:leader="none" w:pos="1054"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1060" w:hanging="404"/>
        <w:spacing w:after="0" w:line="342" w:lineRule="auto"/>
        <w:tabs>
          <w:tab w:leader="none" w:pos="1057" w:val="left"/>
        </w:tabs>
        <w:numPr>
          <w:ilvl w:val="1"/>
          <w:numId w:val="4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060" w:hanging="404"/>
        <w:spacing w:after="0" w:line="263" w:lineRule="auto"/>
        <w:tabs>
          <w:tab w:leader="none" w:pos="1054"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60" w:right="20" w:hanging="404"/>
        <w:spacing w:after="0" w:line="308" w:lineRule="auto"/>
        <w:tabs>
          <w:tab w:leader="none" w:pos="1057" w:val="left"/>
        </w:tabs>
        <w:numPr>
          <w:ilvl w:val="1"/>
          <w:numId w:val="4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060" w:hanging="404"/>
        <w:spacing w:after="0" w:line="277" w:lineRule="auto"/>
        <w:tabs>
          <w:tab w:leader="none" w:pos="1054"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23, 2022</w:t>
      </w:r>
    </w:p>
    <w:p>
      <w:pPr>
        <w:spacing w:after="0" w:line="144" w:lineRule="exact"/>
        <w:rPr>
          <w:sz w:val="20"/>
          <w:szCs w:val="20"/>
          <w:color w:val="auto"/>
        </w:rPr>
      </w:pPr>
    </w:p>
    <w:p>
      <w:pPr>
        <w:ind w:left="8240"/>
        <w:spacing w:after="0"/>
        <w:rPr>
          <w:sz w:val="20"/>
          <w:szCs w:val="20"/>
          <w:color w:val="auto"/>
        </w:rPr>
      </w:pPr>
      <w:r>
        <w:rPr>
          <w:rFonts w:ascii="Arial" w:cs="Arial" w:eastAsia="Arial" w:hAnsi="Arial"/>
          <w:sz w:val="18"/>
          <w:szCs w:val="18"/>
          <w:color w:val="auto"/>
        </w:rPr>
        <w:t>/s/ DARREN W. WOODS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4635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9">
                      <a:extLst>
                        <a:ext uri="{28A0092B-C50C-407E-A947-70E740481C1C}"/>
                      </a:extLst>
                    </a:blip>
                    <a:srcRect/>
                    <a:stretch>
                      <a:fillRect/>
                    </a:stretch>
                  </pic:blipFill>
                  <pic:spPr bwMode="auto">
                    <a:xfrm>
                      <a:off x="0" y="0"/>
                      <a:ext cx="2546350" cy="8255"/>
                    </a:xfrm>
                    <a:prstGeom prst="rect">
                      <a:avLst/>
                    </a:prstGeom>
                    <a:noFill/>
                  </pic:spPr>
                </pic:pic>
              </a:graphicData>
            </a:graphic>
          </wp:anchor>
        </w:drawing>
      </w:r>
    </w:p>
    <w:p>
      <w:pPr>
        <w:spacing w:after="0" w:line="16" w:lineRule="exact"/>
        <w:rPr>
          <w:sz w:val="20"/>
          <w:szCs w:val="20"/>
          <w:color w:val="auto"/>
        </w:rPr>
      </w:pPr>
    </w:p>
    <w:p>
      <w:pPr>
        <w:ind w:left="8560"/>
        <w:spacing w:after="0"/>
        <w:rPr>
          <w:sz w:val="20"/>
          <w:szCs w:val="20"/>
          <w:color w:val="auto"/>
        </w:rPr>
      </w:pPr>
      <w:r>
        <w:rPr>
          <w:rFonts w:ascii="Arial" w:cs="Arial" w:eastAsia="Arial" w:hAnsi="Arial"/>
          <w:sz w:val="18"/>
          <w:szCs w:val="18"/>
          <w:color w:val="auto"/>
        </w:rPr>
        <w:t>Darren W. Woods</w:t>
      </w:r>
    </w:p>
    <w:p>
      <w:pPr>
        <w:spacing w:after="0" w:line="23" w:lineRule="exact"/>
        <w:rPr>
          <w:sz w:val="20"/>
          <w:szCs w:val="20"/>
          <w:color w:val="auto"/>
        </w:rPr>
      </w:pPr>
    </w:p>
    <w:p>
      <w:pPr>
        <w:ind w:left="83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891" w:right="33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Kathryn A. Mikells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Pursuant to Securities Exchange Act Rule 13a-14(a)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Kathryn A. Mikells, certify that:</w:t>
      </w:r>
    </w:p>
    <w:p>
      <w:pPr>
        <w:spacing w:after="0" w:line="225"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Exxon Mobil Corporation;</w:t>
      </w:r>
    </w:p>
    <w:p>
      <w:pPr>
        <w:spacing w:after="0" w:line="252"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060" w:hanging="404"/>
        <w:spacing w:after="0" w:line="263" w:lineRule="auto"/>
        <w:tabs>
          <w:tab w:leader="none" w:pos="1057"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1060" w:hanging="404"/>
        <w:spacing w:after="0" w:line="263" w:lineRule="auto"/>
        <w:tabs>
          <w:tab w:leader="none" w:pos="1054"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060" w:hanging="404"/>
        <w:spacing w:after="0" w:line="342" w:lineRule="auto"/>
        <w:tabs>
          <w:tab w:leader="none" w:pos="1057" w:val="left"/>
        </w:tabs>
        <w:numPr>
          <w:ilvl w:val="1"/>
          <w:numId w:val="4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060" w:hanging="404"/>
        <w:spacing w:after="0" w:line="263" w:lineRule="auto"/>
        <w:tabs>
          <w:tab w:leader="none" w:pos="1054"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60" w:right="20" w:hanging="404"/>
        <w:spacing w:after="0" w:line="308" w:lineRule="auto"/>
        <w:tabs>
          <w:tab w:leader="none" w:pos="1057" w:val="left"/>
        </w:tabs>
        <w:numPr>
          <w:ilvl w:val="1"/>
          <w:numId w:val="4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060" w:hanging="404"/>
        <w:spacing w:after="0" w:line="277" w:lineRule="auto"/>
        <w:tabs>
          <w:tab w:leader="none" w:pos="1054"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9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23, 2022</w:t>
      </w:r>
    </w:p>
    <w:p>
      <w:pPr>
        <w:ind w:left="7860"/>
        <w:spacing w:after="0"/>
        <w:rPr>
          <w:sz w:val="20"/>
          <w:szCs w:val="20"/>
          <w:color w:val="auto"/>
        </w:rPr>
      </w:pPr>
      <w:r>
        <w:rPr>
          <w:rFonts w:ascii="Arial" w:cs="Arial" w:eastAsia="Arial" w:hAnsi="Arial"/>
          <w:sz w:val="18"/>
          <w:szCs w:val="18"/>
          <w:color w:val="auto"/>
        </w:rPr>
        <w:t>/s/ KATHRYN A. MIKELLS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4445</wp:posOffset>
            </wp:positionV>
            <wp:extent cx="292290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0">
                      <a:extLst>
                        <a:ext uri="{28A0092B-C50C-407E-A947-70E740481C1C}"/>
                      </a:extLst>
                    </a:blip>
                    <a:srcRect/>
                    <a:stretch>
                      <a:fillRect/>
                    </a:stretch>
                  </pic:blipFill>
                  <pic:spPr bwMode="auto">
                    <a:xfrm>
                      <a:off x="0" y="0"/>
                      <a:ext cx="2922905" cy="8890"/>
                    </a:xfrm>
                    <a:prstGeom prst="rect">
                      <a:avLst/>
                    </a:prstGeom>
                    <a:noFill/>
                  </pic:spPr>
                </pic:pic>
              </a:graphicData>
            </a:graphic>
          </wp:anchor>
        </w:drawing>
      </w:r>
    </w:p>
    <w:p>
      <w:pPr>
        <w:ind w:left="8240"/>
        <w:spacing w:after="0"/>
        <w:rPr>
          <w:sz w:val="20"/>
          <w:szCs w:val="20"/>
          <w:color w:val="auto"/>
        </w:rPr>
      </w:pPr>
      <w:r>
        <w:rPr>
          <w:rFonts w:ascii="Arial" w:cs="Arial" w:eastAsia="Arial" w:hAnsi="Arial"/>
          <w:sz w:val="18"/>
          <w:szCs w:val="18"/>
          <w:color w:val="auto"/>
        </w:rPr>
        <w:t>Kathryn A. Mikells</w:t>
      </w:r>
    </w:p>
    <w:p>
      <w:pPr>
        <w:spacing w:after="0" w:line="23"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240"/>
          </w:cols>
          <w:pgMar w:left="320" w:top="891" w:right="33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b w:val="1"/>
          <w:bCs w:val="1"/>
          <w:color w:val="auto"/>
        </w:rPr>
        <w:t>EXHIBIT 31.3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Len M. Fox</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Pursuant to Securities Exchange Act Rule 13a-14(a)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Len M. Fox, certify that:</w:t>
      </w:r>
    </w:p>
    <w:p>
      <w:pPr>
        <w:spacing w:after="0" w:line="225" w:lineRule="exact"/>
        <w:rPr>
          <w:sz w:val="20"/>
          <w:szCs w:val="20"/>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Exxon Mobil Corporation;</w:t>
      </w:r>
    </w:p>
    <w:p>
      <w:pPr>
        <w:spacing w:after="0" w:line="252"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060" w:hanging="404"/>
        <w:spacing w:after="0" w:line="263" w:lineRule="auto"/>
        <w:tabs>
          <w:tab w:leader="none" w:pos="1057"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060" w:hanging="404"/>
        <w:spacing w:after="0" w:line="263" w:lineRule="auto"/>
        <w:tabs>
          <w:tab w:leader="none" w:pos="1054"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060" w:hanging="404"/>
        <w:spacing w:after="0" w:line="342" w:lineRule="auto"/>
        <w:tabs>
          <w:tab w:leader="none" w:pos="1057" w:val="left"/>
        </w:tabs>
        <w:numPr>
          <w:ilvl w:val="1"/>
          <w:numId w:val="4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060" w:hanging="404"/>
        <w:spacing w:after="0" w:line="263" w:lineRule="auto"/>
        <w:tabs>
          <w:tab w:leader="none" w:pos="1054"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60" w:right="20" w:hanging="404"/>
        <w:spacing w:after="0" w:line="308" w:lineRule="auto"/>
        <w:tabs>
          <w:tab w:leader="none" w:pos="1057" w:val="left"/>
        </w:tabs>
        <w:numPr>
          <w:ilvl w:val="1"/>
          <w:numId w:val="4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060" w:hanging="404"/>
        <w:spacing w:after="0" w:line="277" w:lineRule="auto"/>
        <w:tabs>
          <w:tab w:leader="none" w:pos="1054"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23, 2022</w:t>
      </w:r>
    </w:p>
    <w:p>
      <w:pPr>
        <w:spacing w:after="0" w:line="144" w:lineRule="exact"/>
        <w:rPr>
          <w:sz w:val="20"/>
          <w:szCs w:val="20"/>
          <w:color w:val="auto"/>
        </w:rPr>
      </w:pPr>
    </w:p>
    <w:p>
      <w:pPr>
        <w:ind w:left="8580"/>
        <w:spacing w:after="0"/>
        <w:rPr>
          <w:sz w:val="20"/>
          <w:szCs w:val="20"/>
          <w:color w:val="auto"/>
        </w:rPr>
      </w:pPr>
      <w:r>
        <w:rPr>
          <w:rFonts w:ascii="Arial" w:cs="Arial" w:eastAsia="Arial" w:hAnsi="Arial"/>
          <w:sz w:val="18"/>
          <w:szCs w:val="18"/>
          <w:color w:val="auto"/>
        </w:rPr>
        <w:t>/s/ LEN M. FOX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4635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1">
                      <a:extLst>
                        <a:ext uri="{28A0092B-C50C-407E-A947-70E740481C1C}"/>
                      </a:extLst>
                    </a:blip>
                    <a:srcRect/>
                    <a:stretch>
                      <a:fillRect/>
                    </a:stretch>
                  </pic:blipFill>
                  <pic:spPr bwMode="auto">
                    <a:xfrm>
                      <a:off x="0" y="0"/>
                      <a:ext cx="2546350" cy="8890"/>
                    </a:xfrm>
                    <a:prstGeom prst="rect">
                      <a:avLst/>
                    </a:prstGeom>
                    <a:noFill/>
                  </pic:spPr>
                </pic:pic>
              </a:graphicData>
            </a:graphic>
          </wp:anchor>
        </w:drawing>
      </w:r>
    </w:p>
    <w:p>
      <w:pPr>
        <w:spacing w:after="0" w:line="16" w:lineRule="exact"/>
        <w:rPr>
          <w:sz w:val="20"/>
          <w:szCs w:val="20"/>
          <w:color w:val="auto"/>
        </w:rPr>
      </w:pPr>
    </w:p>
    <w:p>
      <w:pPr>
        <w:ind w:left="8780"/>
        <w:spacing w:after="0"/>
        <w:rPr>
          <w:sz w:val="20"/>
          <w:szCs w:val="20"/>
          <w:color w:val="auto"/>
        </w:rPr>
      </w:pPr>
      <w:r>
        <w:rPr>
          <w:rFonts w:ascii="Arial" w:cs="Arial" w:eastAsia="Arial" w:hAnsi="Arial"/>
          <w:sz w:val="18"/>
          <w:szCs w:val="18"/>
          <w:color w:val="auto"/>
        </w:rPr>
        <w:t>Len M. Fox</w:t>
      </w:r>
    </w:p>
    <w:p>
      <w:pPr>
        <w:spacing w:after="0" w:line="23" w:lineRule="exact"/>
        <w:rPr>
          <w:sz w:val="20"/>
          <w:szCs w:val="20"/>
          <w:color w:val="auto"/>
        </w:rPr>
      </w:pPr>
    </w:p>
    <w:p>
      <w:pPr>
        <w:ind w:left="8140"/>
        <w:spacing w:after="0"/>
        <w:rPr>
          <w:sz w:val="20"/>
          <w:szCs w:val="20"/>
          <w:color w:val="auto"/>
        </w:rPr>
      </w:pPr>
      <w:r>
        <w:rPr>
          <w:rFonts w:ascii="Arial" w:cs="Arial" w:eastAsia="Arial" w:hAnsi="Arial"/>
          <w:sz w:val="18"/>
          <w:szCs w:val="18"/>
          <w:color w:val="auto"/>
        </w:rPr>
        <w:t>Vice President and Controller</w:t>
      </w:r>
    </w:p>
    <w:p>
      <w:pPr>
        <w:spacing w:after="0" w:line="23"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(Principal Accounting Officer)</w:t>
      </w:r>
    </w:p>
    <w:p>
      <w:pPr>
        <w:sectPr>
          <w:pgSz w:w="11900" w:h="16838" w:orient="portrait"/>
          <w:cols w:equalWidth="0" w:num="1">
            <w:col w:w="11240"/>
          </w:cols>
          <w:pgMar w:left="320" w:top="891" w:right="339"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Financial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purposes of 18 U.S.C. Section 1350, as adopted pursuant to Section 906 of the Sarbanes-Oxley Act of 2002, the undersigned, Darren W. Woods, the chief executive officer of Exxon Mobil Corporation (the “Company”), hereby certifies that, to his knowledge:</w:t>
      </w:r>
    </w:p>
    <w:p>
      <w:pPr>
        <w:spacing w:after="0" w:line="170" w:lineRule="exact"/>
        <w:rPr>
          <w:sz w:val="20"/>
          <w:szCs w:val="20"/>
          <w:color w:val="auto"/>
        </w:rPr>
      </w:pPr>
    </w:p>
    <w:p>
      <w:pPr>
        <w:ind w:left="500" w:hanging="492"/>
        <w:spacing w:after="0" w:line="342" w:lineRule="auto"/>
        <w:tabs>
          <w:tab w:leader="none" w:pos="494"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Annual Report on Form 10-K of the Company for the year ended December 31, 2021, as filed with the Securities and Exchange Commission on the date hereof (the “Report”) fully complies with the requirements of section 13(a) or 15(d) of the Securities Exchange Act of 1934; and</w:t>
      </w:r>
    </w:p>
    <w:p>
      <w:pPr>
        <w:spacing w:after="0" w:line="150" w:lineRule="exact"/>
        <w:rPr>
          <w:rFonts w:ascii="Arial" w:cs="Arial" w:eastAsia="Arial" w:hAnsi="Arial"/>
          <w:sz w:val="16"/>
          <w:szCs w:val="16"/>
          <w:color w:val="auto"/>
        </w:rPr>
      </w:pPr>
    </w:p>
    <w:p>
      <w:pPr>
        <w:ind w:left="480" w:hanging="472"/>
        <w:spacing w:after="0"/>
        <w:tabs>
          <w:tab w:leader="none" w:pos="4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23, 2022</w:t>
      </w:r>
    </w:p>
    <w:p>
      <w:pPr>
        <w:spacing w:after="0" w:line="320" w:lineRule="exact"/>
        <w:rPr>
          <w:sz w:val="20"/>
          <w:szCs w:val="20"/>
          <w:color w:val="auto"/>
        </w:rPr>
      </w:pPr>
    </w:p>
    <w:p>
      <w:pPr>
        <w:ind w:left="8280"/>
        <w:spacing w:after="0"/>
        <w:rPr>
          <w:sz w:val="20"/>
          <w:szCs w:val="20"/>
          <w:color w:val="auto"/>
        </w:rPr>
      </w:pPr>
      <w:r>
        <w:rPr>
          <w:rFonts w:ascii="Arial" w:cs="Arial" w:eastAsia="Arial" w:hAnsi="Arial"/>
          <w:sz w:val="18"/>
          <w:szCs w:val="18"/>
          <w:color w:val="auto"/>
        </w:rPr>
        <w:t>/s/ DARREN W. WOODS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688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2">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spacing w:after="0" w:line="16" w:lineRule="exact"/>
        <w:rPr>
          <w:sz w:val="20"/>
          <w:szCs w:val="20"/>
          <w:color w:val="auto"/>
        </w:rPr>
      </w:pPr>
    </w:p>
    <w:p>
      <w:pPr>
        <w:ind w:left="8620"/>
        <w:spacing w:after="0"/>
        <w:rPr>
          <w:sz w:val="20"/>
          <w:szCs w:val="20"/>
          <w:color w:val="auto"/>
        </w:rPr>
      </w:pPr>
      <w:r>
        <w:rPr>
          <w:rFonts w:ascii="Arial" w:cs="Arial" w:eastAsia="Arial" w:hAnsi="Arial"/>
          <w:sz w:val="18"/>
          <w:szCs w:val="18"/>
          <w:color w:val="auto"/>
        </w:rPr>
        <w:t>Darren W. Woods</w:t>
      </w:r>
    </w:p>
    <w:p>
      <w:pPr>
        <w:spacing w:after="0" w:line="23" w:lineRule="exact"/>
        <w:rPr>
          <w:sz w:val="20"/>
          <w:szCs w:val="20"/>
          <w:color w:val="auto"/>
        </w:rPr>
      </w:pPr>
    </w:p>
    <w:p>
      <w:pPr>
        <w:ind w:left="8400"/>
        <w:spacing w:after="0"/>
        <w:rPr>
          <w:sz w:val="20"/>
          <w:szCs w:val="20"/>
          <w:color w:val="auto"/>
        </w:rPr>
      </w:pPr>
      <w:r>
        <w:rPr>
          <w:rFonts w:ascii="Arial" w:cs="Arial" w:eastAsia="Arial" w:hAnsi="Arial"/>
          <w:sz w:val="18"/>
          <w:szCs w:val="18"/>
          <w:color w:val="auto"/>
        </w:rPr>
        <w:t>Chief Executive Officer</w:t>
      </w:r>
    </w:p>
    <w:p>
      <w:pPr>
        <w:spacing w:after="0" w:line="30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Exxon Mobil Corporation and will be retained by Exxon Mobil Corporation and furnished to the Securities and Exchange Commission or its staff upon request.</w:t>
      </w:r>
    </w:p>
    <w:p>
      <w:pPr>
        <w:sectPr>
          <w:pgSz w:w="11900" w:h="16838" w:orient="portrait"/>
          <w:cols w:equalWidth="0" w:num="1">
            <w:col w:w="11240"/>
          </w:cols>
          <w:pgMar w:left="320" w:top="904" w:right="3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Financial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purposes of 18 U.S.C. Section 1350, as adopted pursuant to Section 906 of the Sarbanes-Oxley Act of 2002, the undersigned, Kathryn A. Mikells, the chief financial officer of Exxon Mobil Corporation (the “Company”), hereby certifies that, to her knowledge:</w:t>
      </w:r>
    </w:p>
    <w:p>
      <w:pPr>
        <w:spacing w:after="0" w:line="170" w:lineRule="exact"/>
        <w:rPr>
          <w:sz w:val="20"/>
          <w:szCs w:val="20"/>
          <w:color w:val="auto"/>
        </w:rPr>
      </w:pPr>
    </w:p>
    <w:p>
      <w:pPr>
        <w:ind w:left="500" w:hanging="492"/>
        <w:spacing w:after="0" w:line="342" w:lineRule="auto"/>
        <w:tabs>
          <w:tab w:leader="none" w:pos="494"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Annual Report on Form 10-K of the Company for the year ended December 31, 2021, as filed with the Securities and Exchange Commission on the date hereof (the “Report”) fully complies with the requirements of section 13(a) or 15(d) of the Securities Exchange Act of 1934; and</w:t>
      </w:r>
    </w:p>
    <w:p>
      <w:pPr>
        <w:spacing w:after="0" w:line="150" w:lineRule="exact"/>
        <w:rPr>
          <w:rFonts w:ascii="Arial" w:cs="Arial" w:eastAsia="Arial" w:hAnsi="Arial"/>
          <w:sz w:val="16"/>
          <w:szCs w:val="16"/>
          <w:color w:val="auto"/>
        </w:rPr>
      </w:pPr>
    </w:p>
    <w:p>
      <w:pPr>
        <w:ind w:left="480" w:hanging="472"/>
        <w:spacing w:after="0"/>
        <w:tabs>
          <w:tab w:leader="none" w:pos="4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23, 2022</w:t>
      </w:r>
    </w:p>
    <w:p>
      <w:pPr>
        <w:spacing w:after="0" w:line="320" w:lineRule="exact"/>
        <w:rPr>
          <w:sz w:val="20"/>
          <w:szCs w:val="20"/>
          <w:color w:val="auto"/>
        </w:rPr>
      </w:pPr>
    </w:p>
    <w:p>
      <w:pPr>
        <w:ind w:left="7860"/>
        <w:spacing w:after="0"/>
        <w:rPr>
          <w:sz w:val="20"/>
          <w:szCs w:val="20"/>
          <w:color w:val="auto"/>
        </w:rPr>
      </w:pPr>
      <w:r>
        <w:rPr>
          <w:rFonts w:ascii="Arial" w:cs="Arial" w:eastAsia="Arial" w:hAnsi="Arial"/>
          <w:sz w:val="18"/>
          <w:szCs w:val="18"/>
          <w:color w:val="auto"/>
        </w:rPr>
        <w:t>/s/ KATHRYN A. MIKELLS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14605</wp:posOffset>
            </wp:positionV>
            <wp:extent cx="292290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3">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16" w:lineRule="exact"/>
        <w:rPr>
          <w:sz w:val="20"/>
          <w:szCs w:val="20"/>
          <w:color w:val="auto"/>
        </w:rPr>
      </w:pPr>
    </w:p>
    <w:p>
      <w:pPr>
        <w:ind w:left="8240"/>
        <w:spacing w:after="0"/>
        <w:rPr>
          <w:sz w:val="20"/>
          <w:szCs w:val="20"/>
          <w:color w:val="auto"/>
        </w:rPr>
      </w:pPr>
      <w:r>
        <w:rPr>
          <w:rFonts w:ascii="Arial" w:cs="Arial" w:eastAsia="Arial" w:hAnsi="Arial"/>
          <w:sz w:val="18"/>
          <w:szCs w:val="18"/>
          <w:color w:val="auto"/>
        </w:rPr>
        <w:t>Kathryn A. Mikells</w:t>
      </w:r>
    </w:p>
    <w:p>
      <w:pPr>
        <w:spacing w:after="0" w:line="23"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Senior Vice President and Chief Financial Officer</w:t>
      </w:r>
    </w:p>
    <w:p>
      <w:pPr>
        <w:spacing w:after="0" w:line="200" w:lineRule="exact"/>
        <w:rPr>
          <w:sz w:val="20"/>
          <w:szCs w:val="20"/>
          <w:color w:val="auto"/>
        </w:rPr>
      </w:pPr>
    </w:p>
    <w:p>
      <w:pPr>
        <w:spacing w:after="0" w:line="33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Exxon Mobil Corporation and will be retained by Exxon Mobil Corporation and furnished to the Securities and Exchange Commission or its staff upon request.</w:t>
      </w:r>
    </w:p>
    <w:p>
      <w:pPr>
        <w:sectPr>
          <w:pgSz w:w="11900" w:h="16838" w:orient="portrait"/>
          <w:cols w:equalWidth="0" w:num="1">
            <w:col w:w="11240"/>
          </w:cols>
          <w:pgMar w:left="320" w:top="891" w:right="33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b w:val="1"/>
          <w:bCs w:val="1"/>
          <w:color w:val="auto"/>
        </w:rPr>
        <w:t>EXHIBIT 32.3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Financial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purposes of 18 U.S.C. Section 1350, as adopted pursuant to Section 906 of the Sarbanes-Oxley Act of 2002, the undersigned, Len M. Fox, the principal accounting officer of Exxon Mobil Corporation (the “Company”), hereby certifies that, to his knowledge:</w:t>
      </w:r>
    </w:p>
    <w:p>
      <w:pPr>
        <w:spacing w:after="0" w:line="170" w:lineRule="exact"/>
        <w:rPr>
          <w:sz w:val="20"/>
          <w:szCs w:val="20"/>
          <w:color w:val="auto"/>
        </w:rPr>
      </w:pPr>
    </w:p>
    <w:p>
      <w:pPr>
        <w:ind w:left="500" w:hanging="492"/>
        <w:spacing w:after="0" w:line="342" w:lineRule="auto"/>
        <w:tabs>
          <w:tab w:leader="none" w:pos="494"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Annual Report on Form 10-K of the Company for the year ended December 31, 2021, as filed with the Securities and Exchange Commission on the date hereof (the “Report”) fully complies with the requirements of section 13(a) or 15(d) of the Securities Exchange Act of 1934; and</w:t>
      </w:r>
    </w:p>
    <w:p>
      <w:pPr>
        <w:spacing w:after="0" w:line="123" w:lineRule="exact"/>
        <w:rPr>
          <w:rFonts w:ascii="Arial" w:cs="Arial" w:eastAsia="Arial" w:hAnsi="Arial"/>
          <w:sz w:val="16"/>
          <w:szCs w:val="16"/>
          <w:color w:val="auto"/>
        </w:rPr>
      </w:pPr>
    </w:p>
    <w:p>
      <w:pPr>
        <w:ind w:left="480" w:hanging="472"/>
        <w:spacing w:after="0"/>
        <w:tabs>
          <w:tab w:leader="none" w:pos="4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23, 2022</w:t>
      </w:r>
    </w:p>
    <w:p>
      <w:pPr>
        <w:spacing w:after="0" w:line="320" w:lineRule="exact"/>
        <w:rPr>
          <w:sz w:val="20"/>
          <w:szCs w:val="20"/>
          <w:color w:val="auto"/>
        </w:rPr>
      </w:pPr>
    </w:p>
    <w:p>
      <w:pPr>
        <w:ind w:left="8620"/>
        <w:spacing w:after="0"/>
        <w:rPr>
          <w:sz w:val="20"/>
          <w:szCs w:val="20"/>
          <w:color w:val="auto"/>
        </w:rPr>
      </w:pPr>
      <w:r>
        <w:rPr>
          <w:rFonts w:ascii="Arial" w:cs="Arial" w:eastAsia="Arial" w:hAnsi="Arial"/>
          <w:sz w:val="18"/>
          <w:szCs w:val="18"/>
          <w:color w:val="auto"/>
        </w:rPr>
        <w:t>/s/ LEN M. FOX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688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4">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16" w:lineRule="exact"/>
        <w:rPr>
          <w:sz w:val="20"/>
          <w:szCs w:val="20"/>
          <w:color w:val="auto"/>
        </w:rPr>
      </w:pPr>
    </w:p>
    <w:p>
      <w:pPr>
        <w:ind w:left="8820"/>
        <w:spacing w:after="0"/>
        <w:rPr>
          <w:sz w:val="20"/>
          <w:szCs w:val="20"/>
          <w:color w:val="auto"/>
        </w:rPr>
      </w:pPr>
      <w:r>
        <w:rPr>
          <w:rFonts w:ascii="Arial" w:cs="Arial" w:eastAsia="Arial" w:hAnsi="Arial"/>
          <w:sz w:val="18"/>
          <w:szCs w:val="18"/>
          <w:color w:val="auto"/>
        </w:rPr>
        <w:t>Len M. Fox</w:t>
      </w:r>
    </w:p>
    <w:p>
      <w:pPr>
        <w:spacing w:after="0" w:line="23" w:lineRule="exact"/>
        <w:rPr>
          <w:sz w:val="20"/>
          <w:szCs w:val="20"/>
          <w:color w:val="auto"/>
        </w:rPr>
      </w:pPr>
    </w:p>
    <w:p>
      <w:pPr>
        <w:ind w:left="8180"/>
        <w:spacing w:after="0"/>
        <w:rPr>
          <w:sz w:val="20"/>
          <w:szCs w:val="20"/>
          <w:color w:val="auto"/>
        </w:rPr>
      </w:pPr>
      <w:r>
        <w:rPr>
          <w:rFonts w:ascii="Arial" w:cs="Arial" w:eastAsia="Arial" w:hAnsi="Arial"/>
          <w:sz w:val="18"/>
          <w:szCs w:val="18"/>
          <w:color w:val="auto"/>
        </w:rPr>
        <w:t>Vice President and Controller</w:t>
      </w:r>
    </w:p>
    <w:p>
      <w:pPr>
        <w:spacing w:after="0" w:line="23" w:lineRule="exact"/>
        <w:rPr>
          <w:sz w:val="20"/>
          <w:szCs w:val="20"/>
          <w:color w:val="auto"/>
        </w:rPr>
      </w:pPr>
    </w:p>
    <w:p>
      <w:pPr>
        <w:ind w:left="8140"/>
        <w:spacing w:after="0"/>
        <w:rPr>
          <w:sz w:val="20"/>
          <w:szCs w:val="20"/>
          <w:color w:val="auto"/>
        </w:rPr>
      </w:pPr>
      <w:r>
        <w:rPr>
          <w:rFonts w:ascii="Arial" w:cs="Arial" w:eastAsia="Arial" w:hAnsi="Arial"/>
          <w:sz w:val="18"/>
          <w:szCs w:val="18"/>
          <w:color w:val="auto"/>
        </w:rPr>
        <w:t>(Principal Accounting Officer)</w:t>
      </w:r>
    </w:p>
    <w:p>
      <w:pPr>
        <w:spacing w:after="0" w:line="30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Exxon Mobil Corporation and will be retained by Exxon Mobil Corporation and furnished to the Securities and Exchange Commission or its staff upon request.</w:t>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1)"/>
      <w:numFmt w:val="decimal"/>
      <w:start w:val="1"/>
    </w:lvl>
  </w:abstractNum>
  <w:abstractNum w:abstractNumId="4">
    <w:nsid w:val="2CA88611"/>
    <w:multiLevelType w:val="hybridMultilevel"/>
    <w:lvl w:ilvl="0">
      <w:lvlJc w:val="left"/>
      <w:lvlText w:val="%1."/>
      <w:numFmt w:val="decimal"/>
      <w:start w:val="3"/>
    </w:lvl>
  </w:abstractNum>
  <w:abstractNum w:abstractNumId="5">
    <w:nsid w:val="836C40E"/>
    <w:multiLevelType w:val="hybridMultilevel"/>
    <w:lvl w:ilvl="0">
      <w:lvlJc w:val="left"/>
      <w:lvlText w:val="(%1)"/>
      <w:numFmt w:val="decimal"/>
      <w:start w:val="1"/>
    </w:lvl>
  </w:abstractNum>
  <w:abstractNum w:abstractNumId="6">
    <w:nsid w:val="2901D82"/>
    <w:multiLevelType w:val="hybridMultilevel"/>
    <w:lvl w:ilvl="0">
      <w:lvlJc w:val="left"/>
      <w:lvlText w:val="%1."/>
      <w:numFmt w:val="decimal"/>
      <w:start w:val="4"/>
    </w:lvl>
  </w:abstractNum>
  <w:abstractNum w:abstractNumId="7">
    <w:nsid w:val="3A95F874"/>
    <w:multiLevelType w:val="hybridMultilevel"/>
    <w:lvl w:ilvl="0">
      <w:lvlJc w:val="left"/>
      <w:lvlText w:val="%1."/>
      <w:numFmt w:val="decimal"/>
      <w:start w:val="7"/>
    </w:lvl>
  </w:abstractNum>
  <w:abstractNum w:abstractNumId="8">
    <w:nsid w:val="8138641"/>
    <w:multiLevelType w:val="hybridMultilevel"/>
    <w:lvl w:ilvl="0">
      <w:lvlJc w:val="left"/>
      <w:lvlText w:val="(%1)"/>
      <w:numFmt w:val="decimal"/>
      <w:start w:val="1"/>
    </w:lvl>
  </w:abstractNum>
  <w:abstractNum w:abstractNumId="9">
    <w:nsid w:val="1E7FF521"/>
    <w:multiLevelType w:val="hybridMultilevel"/>
    <w:lvl w:ilvl="0">
      <w:lvlJc w:val="left"/>
      <w:lvlText w:val="(%1)"/>
      <w:numFmt w:val="decimal"/>
      <w:start w:val="1"/>
    </w:lvl>
  </w:abstractNum>
  <w:abstractNum w:abstractNumId="10">
    <w:nsid w:val="7C3DBD3D"/>
    <w:multiLevelType w:val="hybridMultilevel"/>
    <w:lvl w:ilvl="0">
      <w:lvlJc w:val="left"/>
      <w:lvlText w:val="•"/>
      <w:numFmt w:val="bullet"/>
      <w:start w:val="1"/>
    </w:lvl>
  </w:abstractNum>
  <w:abstractNum w:abstractNumId="11">
    <w:nsid w:val="737B8DDC"/>
    <w:multiLevelType w:val="hybridMultilevel"/>
    <w:lvl w:ilvl="0">
      <w:lvlJc w:val="left"/>
      <w:lvlText w:val="•"/>
      <w:numFmt w:val="bullet"/>
      <w:start w:val="1"/>
    </w:lvl>
  </w:abstractNum>
  <w:abstractNum w:abstractNumId="12">
    <w:nsid w:val="6CEAF087"/>
    <w:multiLevelType w:val="hybridMultilevel"/>
    <w:lvl w:ilvl="0">
      <w:lvlJc w:val="left"/>
      <w:lvlText w:val="(%1)"/>
      <w:numFmt w:val="decimal"/>
      <w:start w:val="1"/>
    </w:lvl>
  </w:abstractNum>
  <w:abstractNum w:abstractNumId="13">
    <w:nsid w:val="22221A70"/>
    <w:multiLevelType w:val="hybridMultilevel"/>
    <w:lvl w:ilvl="0">
      <w:lvlJc w:val="left"/>
      <w:lvlText w:val="(%1)"/>
      <w:numFmt w:val="decimal"/>
      <w:start w:val="1"/>
    </w:lvl>
  </w:abstractNum>
  <w:abstractNum w:abstractNumId="14">
    <w:nsid w:val="4516DDE9"/>
    <w:multiLevelType w:val="hybridMultilevel"/>
    <w:lvl w:ilvl="0">
      <w:lvlJc w:val="left"/>
      <w:lvlText w:val="(%1)"/>
      <w:numFmt w:val="decimal"/>
      <w:start w:val="1"/>
    </w:lvl>
  </w:abstractNum>
  <w:abstractNum w:abstractNumId="15">
    <w:nsid w:val="3006C83E"/>
    <w:multiLevelType w:val="hybridMultilevel"/>
    <w:lvl w:ilvl="0">
      <w:lvlJc w:val="left"/>
      <w:lvlText w:val="(%1)"/>
      <w:numFmt w:val="decimal"/>
      <w:start w:val="1"/>
    </w:lvl>
  </w:abstractNum>
  <w:abstractNum w:abstractNumId="16">
    <w:nsid w:val="614FD4A1"/>
    <w:multiLevelType w:val="hybridMultilevel"/>
    <w:lvl w:ilvl="0">
      <w:lvlJc w:val="left"/>
      <w:lvlText w:val="(%1)"/>
      <w:numFmt w:val="decimal"/>
      <w:start w:val="1"/>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
      <w:numFmt w:val="bullet"/>
      <w:start w:val="1"/>
    </w:lvl>
  </w:abstractNum>
  <w:abstractNum w:abstractNumId="19">
    <w:nsid w:val="440BADFC"/>
    <w:multiLevelType w:val="hybridMultilevel"/>
    <w:lvl w:ilvl="0">
      <w:lvlJc w:val="left"/>
      <w:lvlText w:val="(%1)"/>
      <w:numFmt w:val="decimal"/>
      <w:start w:val="1"/>
    </w:lvl>
  </w:abstractNum>
  <w:abstractNum w:abstractNumId="20">
    <w:nsid w:val="5072367"/>
    <w:multiLevelType w:val="hybridMultilevel"/>
    <w:lvl w:ilvl="0">
      <w:lvlJc w:val="left"/>
      <w:lvlText w:val="(%1)"/>
      <w:numFmt w:val="decimal"/>
      <w:start w:val="2"/>
    </w:lvl>
  </w:abstractNum>
  <w:abstractNum w:abstractNumId="21">
    <w:nsid w:val="3804823E"/>
    <w:multiLevelType w:val="hybridMultilevel"/>
    <w:lvl w:ilvl="0">
      <w:lvlJc w:val="left"/>
      <w:lvlText w:val="(%1)"/>
      <w:numFmt w:val="decimal"/>
      <w:start w:val="1"/>
    </w:lvl>
  </w:abstractNum>
  <w:abstractNum w:abstractNumId="22">
    <w:nsid w:val="77465F01"/>
    <w:multiLevelType w:val="hybridMultilevel"/>
    <w:lvl w:ilvl="0">
      <w:lvlJc w:val="left"/>
      <w:lvlText w:val="(%1)"/>
      <w:numFmt w:val="decimal"/>
      <w:start w:val="1"/>
    </w:lvl>
  </w:abstractNum>
  <w:abstractNum w:abstractNumId="23">
    <w:nsid w:val="7724C67E"/>
    <w:multiLevelType w:val="hybridMultilevel"/>
    <w:lvl w:ilvl="0">
      <w:lvlJc w:val="left"/>
      <w:lvlText w:val="(%1)"/>
      <w:numFmt w:val="decimal"/>
      <w:start w:val="1"/>
    </w:lvl>
  </w:abstractNum>
  <w:abstractNum w:abstractNumId="24">
    <w:nsid w:val="5C482A97"/>
    <w:multiLevelType w:val="hybridMultilevel"/>
    <w:lvl w:ilvl="0">
      <w:lvlJc w:val="left"/>
      <w:lvlText w:val="(%1)"/>
      <w:numFmt w:val="decimal"/>
      <w:start w:val="1"/>
    </w:lvl>
  </w:abstractNum>
  <w:abstractNum w:abstractNumId="25">
    <w:nsid w:val="2463B9EA"/>
    <w:multiLevelType w:val="hybridMultilevel"/>
    <w:lvl w:ilvl="0">
      <w:lvlJc w:val="left"/>
      <w:lvlText w:val="(%1)"/>
      <w:numFmt w:val="decimal"/>
      <w:start w:val="1"/>
    </w:lvl>
  </w:abstractNum>
  <w:abstractNum w:abstractNumId="26">
    <w:nsid w:val="5E884ADC"/>
    <w:multiLevelType w:val="hybridMultilevel"/>
    <w:lvl w:ilvl="0">
      <w:lvlJc w:val="left"/>
      <w:lvlText w:val="(%1)"/>
      <w:numFmt w:val="decimal"/>
      <w:start w:val="1"/>
    </w:lvl>
  </w:abstractNum>
  <w:abstractNum w:abstractNumId="27">
    <w:nsid w:val="51EAD36B"/>
    <w:multiLevelType w:val="hybridMultilevel"/>
    <w:lvl w:ilvl="0">
      <w:lvlJc w:val="left"/>
      <w:lvlText w:val="(%1)"/>
      <w:numFmt w:val="decimal"/>
      <w:start w:val="1"/>
    </w:lvl>
  </w:abstractNum>
  <w:abstractNum w:abstractNumId="28">
    <w:nsid w:val="2D517796"/>
    <w:multiLevelType w:val="hybridMultilevel"/>
    <w:lvl w:ilvl="0">
      <w:lvlJc w:val="left"/>
      <w:lvlText w:val="(%1)"/>
      <w:numFmt w:val="decimal"/>
      <w:start w:val="1"/>
    </w:lvl>
  </w:abstractNum>
  <w:abstractNum w:abstractNumId="29">
    <w:nsid w:val="580BD78F"/>
    <w:multiLevelType w:val="hybridMultilevel"/>
    <w:lvl w:ilvl="0">
      <w:lvlJc w:val="left"/>
      <w:lvlText w:val="(%1)"/>
      <w:numFmt w:val="decimal"/>
      <w:start w:val="1"/>
    </w:lvl>
  </w:abstractNum>
  <w:abstractNum w:abstractNumId="30">
    <w:nsid w:val="153EA438"/>
    <w:multiLevelType w:val="hybridMultilevel"/>
    <w:lvl w:ilvl="0">
      <w:lvlJc w:val="left"/>
      <w:lvlText w:val="(%1)"/>
      <w:numFmt w:val="decimal"/>
      <w:start w:val="1"/>
    </w:lvl>
  </w:abstractNum>
  <w:abstractNum w:abstractNumId="31">
    <w:nsid w:val="3855585C"/>
    <w:multiLevelType w:val="hybridMultilevel"/>
    <w:lvl w:ilvl="0">
      <w:lvlJc w:val="left"/>
      <w:lvlText w:val="(%1)"/>
      <w:numFmt w:val="decimal"/>
      <w:start w:val="1"/>
    </w:lvl>
  </w:abstractNum>
  <w:abstractNum w:abstractNumId="32">
    <w:nsid w:val="70A64E2A"/>
    <w:multiLevelType w:val="hybridMultilevel"/>
    <w:lvl w:ilvl="0">
      <w:lvlJc w:val="left"/>
      <w:lvlText w:val="(%1)"/>
      <w:numFmt w:val="decimal"/>
      <w:start w:val="1"/>
    </w:lvl>
  </w:abstractNum>
  <w:abstractNum w:abstractNumId="33">
    <w:nsid w:val="6A2342EC"/>
    <w:multiLevelType w:val="hybridMultilevel"/>
    <w:lvl w:ilvl="0">
      <w:lvlJc w:val="left"/>
      <w:lvlText w:val="(%1)"/>
      <w:numFmt w:val="decimal"/>
      <w:start w:val="1"/>
    </w:lvl>
  </w:abstractNum>
  <w:abstractNum w:abstractNumId="34">
    <w:nsid w:val="2A487CB0"/>
    <w:multiLevelType w:val="hybridMultilevel"/>
    <w:lvl w:ilvl="0">
      <w:lvlJc w:val="left"/>
      <w:lvlText w:val="(%1)"/>
      <w:numFmt w:val="decimal"/>
      <w:start w:val="1"/>
    </w:lvl>
  </w:abstractNum>
  <w:abstractNum w:abstractNumId="35">
    <w:nsid w:val="1D4ED43B"/>
    <w:multiLevelType w:val="hybridMultilevel"/>
    <w:lvl w:ilvl="0">
      <w:lvlJc w:val="left"/>
      <w:lvlText w:val="(%1)"/>
      <w:numFmt w:val="decimal"/>
      <w:start w:val="1"/>
    </w:lvl>
  </w:abstractNum>
  <w:abstractNum w:abstractNumId="36">
    <w:nsid w:val="725A06FB"/>
    <w:multiLevelType w:val="hybridMultilevel"/>
    <w:lvl w:ilvl="0">
      <w:lvlJc w:val="left"/>
      <w:lvlText w:val="(%1)"/>
      <w:numFmt w:val="decimal"/>
      <w:start w:val="1"/>
    </w:lvl>
  </w:abstractNum>
  <w:abstractNum w:abstractNumId="37">
    <w:nsid w:val="2CD89A32"/>
    <w:multiLevelType w:val="hybridMultilevel"/>
    <w:lvl w:ilvl="0">
      <w:lvlJc w:val="left"/>
      <w:lvlText w:val="(%1)"/>
      <w:numFmt w:val="decimal"/>
      <w:start w:val="1"/>
    </w:lvl>
  </w:abstractNum>
  <w:abstractNum w:abstractNumId="38">
    <w:nsid w:val="57E4CCAF"/>
    <w:multiLevelType w:val="hybridMultilevel"/>
    <w:lvl w:ilvl="0">
      <w:lvlJc w:val="left"/>
      <w:lvlText w:val="%1"/>
      <w:numFmt w:val="decimal"/>
      <w:start w:val="14"/>
    </w:lvl>
  </w:abstractNum>
  <w:abstractNum w:abstractNumId="39">
    <w:nsid w:val="7A6D8D3C"/>
    <w:multiLevelType w:val="hybridMultilevel"/>
    <w:lvl w:ilvl="0">
      <w:lvlJc w:val="left"/>
      <w:lvlText w:val="%1"/>
      <w:numFmt w:val="decimal"/>
      <w:start w:val="21"/>
    </w:lvl>
  </w:abstractNum>
  <w:abstractNum w:abstractNumId="40">
    <w:nsid w:val="4B588F54"/>
    <w:multiLevelType w:val="hybridMultilevel"/>
    <w:lvl w:ilvl="0">
      <w:lvlJc w:val="left"/>
      <w:lvlText w:val="%1"/>
      <w:numFmt w:val="decimal"/>
      <w:start w:val="23"/>
    </w:lvl>
  </w:abstractNum>
  <w:abstractNum w:abstractNumId="41">
    <w:nsid w:val="542289EC"/>
    <w:multiLevelType w:val="hybridMultilevel"/>
    <w:lvl w:ilvl="0">
      <w:lvlJc w:val="left"/>
      <w:lvlText w:val="%1."/>
      <w:numFmt w:val="decimal"/>
      <w:start w:val="1"/>
    </w:lvl>
    <w:lvl w:ilvl="1">
      <w:lvlJc w:val="left"/>
      <w:lvlText w:val="•"/>
      <w:numFmt w:val="bullet"/>
      <w:start w:val="1"/>
    </w:lvl>
  </w:abstractNum>
  <w:abstractNum w:abstractNumId="42">
    <w:nsid w:val="6DE91B18"/>
    <w:multiLevelType w:val="hybridMultilevel"/>
    <w:lvl w:ilvl="0">
      <w:lvlJc w:val="left"/>
      <w:lvlText w:val="%1."/>
      <w:numFmt w:val="decimal"/>
      <w:start w:val="7"/>
    </w:lvl>
  </w:abstractNum>
  <w:abstractNum w:abstractNumId="43">
    <w:nsid w:val="38437FDB"/>
    <w:multiLevelType w:val="hybridMultilevel"/>
    <w:lvl w:ilvl="0">
      <w:lvlJc w:val="left"/>
      <w:lvlText w:val="%1."/>
      <w:numFmt w:val="decimal"/>
      <w:start w:val="15"/>
    </w:lvl>
  </w:abstractNum>
  <w:abstractNum w:abstractNumId="44">
    <w:nsid w:val="7644A45C"/>
    <w:multiLevelType w:val="hybridMultilevel"/>
    <w:lvl w:ilvl="0">
      <w:lvlJc w:val="left"/>
      <w:lvlText w:val="(%1)"/>
      <w:numFmt w:val="decimal"/>
      <w:start w:val="1"/>
    </w:lvl>
  </w:abstractNum>
  <w:abstractNum w:abstractNumId="45">
    <w:nsid w:val="32FFF902"/>
    <w:multiLevelType w:val="hybridMultilevel"/>
    <w:lvl w:ilvl="0">
      <w:lvlJc w:val="left"/>
      <w:lvlText w:val="%1."/>
      <w:numFmt w:val="decimal"/>
      <w:start w:val="1"/>
    </w:lvl>
    <w:lvl w:ilvl="1">
      <w:lvlJc w:val="left"/>
      <w:lvlText w:val="(%2)"/>
      <w:numFmt w:val="lowerLetter"/>
      <w:start w:val="1"/>
    </w:lvl>
  </w:abstractNum>
  <w:abstractNum w:abstractNumId="46">
    <w:nsid w:val="684A481A"/>
    <w:multiLevelType w:val="hybridMultilevel"/>
    <w:lvl w:ilvl="0">
      <w:lvlJc w:val="left"/>
      <w:lvlText w:val="%1."/>
      <w:numFmt w:val="decimal"/>
      <w:start w:val="1"/>
    </w:lvl>
    <w:lvl w:ilvl="1">
      <w:lvlJc w:val="left"/>
      <w:lvlText w:val="(%2)"/>
      <w:numFmt w:val="lowerLetter"/>
      <w:start w:val="1"/>
    </w:lvl>
  </w:abstractNum>
  <w:abstractNum w:abstractNumId="47">
    <w:nsid w:val="579478FE"/>
    <w:multiLevelType w:val="hybridMultilevel"/>
    <w:lvl w:ilvl="0">
      <w:lvlJc w:val="left"/>
      <w:lvlText w:val="%1."/>
      <w:numFmt w:val="decimal"/>
      <w:start w:val="1"/>
    </w:lvl>
    <w:lvl w:ilvl="1">
      <w:lvlJc w:val="left"/>
      <w:lvlText w:val="(%2)"/>
      <w:numFmt w:val="lowerLetter"/>
      <w:start w:val="1"/>
    </w:lvl>
  </w:abstractNum>
  <w:abstractNum w:abstractNumId="48">
    <w:nsid w:val="749ABB43"/>
    <w:multiLevelType w:val="hybridMultilevel"/>
    <w:lvl w:ilvl="0">
      <w:lvlJc w:val="left"/>
      <w:lvlText w:val="(%1)"/>
      <w:numFmt w:val="lowerRoman"/>
      <w:start w:val="1"/>
    </w:lvl>
  </w:abstractNum>
  <w:abstractNum w:abstractNumId="49">
    <w:nsid w:val="3DC240FB"/>
    <w:multiLevelType w:val="hybridMultilevel"/>
    <w:lvl w:ilvl="0">
      <w:lvlJc w:val="left"/>
      <w:lvlText w:val="(%1)"/>
      <w:numFmt w:val="lowerRoman"/>
      <w:start w:val="1"/>
    </w:lvl>
  </w:abstractNum>
  <w:abstractNum w:abstractNumId="50">
    <w:nsid w:val="1BA026F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93" Type="http://schemas.openxmlformats.org/officeDocument/2006/relationships/image" Target="media/image171.png"/><Relationship Id="rId194" Type="http://schemas.openxmlformats.org/officeDocument/2006/relationships/image" Target="media/image172.png"/><Relationship Id="rId195" Type="http://schemas.openxmlformats.org/officeDocument/2006/relationships/image" Target="media/image173.png"/><Relationship Id="rId196" Type="http://schemas.openxmlformats.org/officeDocument/2006/relationships/image" Target="media/image174.png"/><Relationship Id="rId197" Type="http://schemas.openxmlformats.org/officeDocument/2006/relationships/image" Target="media/image175.png"/><Relationship Id="rId198" Type="http://schemas.openxmlformats.org/officeDocument/2006/relationships/image" Target="media/image176.jpeg"/><Relationship Id="rId199" Type="http://schemas.openxmlformats.org/officeDocument/2006/relationships/image" Target="media/image177.png"/><Relationship Id="rId200" Type="http://schemas.openxmlformats.org/officeDocument/2006/relationships/image" Target="media/image178.png"/><Relationship Id="rId201" Type="http://schemas.openxmlformats.org/officeDocument/2006/relationships/image" Target="media/image179.png"/><Relationship Id="rId202" Type="http://schemas.openxmlformats.org/officeDocument/2006/relationships/image" Target="media/image180.png"/><Relationship Id="rId203" Type="http://schemas.openxmlformats.org/officeDocument/2006/relationships/image" Target="media/image181.png"/><Relationship Id="rId204" Type="http://schemas.openxmlformats.org/officeDocument/2006/relationships/image" Target="media/image182.png"/><Relationship Id="rId178" Type="http://schemas.openxmlformats.org/officeDocument/2006/relationships/hyperlink" Target="https://www.sec.gov/Archives/edgar/data/34088/000003408816000065/xomexhibit3i.htm" TargetMode="External"/><Relationship Id="rId179" Type="http://schemas.openxmlformats.org/officeDocument/2006/relationships/hyperlink" Target="https://www.sec.gov/Archives/edgar/data/34088/000003408820000019/xomexhibit3ii.htm" TargetMode="External"/><Relationship Id="rId180" Type="http://schemas.openxmlformats.org/officeDocument/2006/relationships/hyperlink" Target="https://www.sec.gov/Archives/edgar/data/34088/000003408820000016/xomexhibit4vi.htm" TargetMode="External"/><Relationship Id="rId181" Type="http://schemas.openxmlformats.org/officeDocument/2006/relationships/hyperlink" Target="https://www.sec.gov/Archives/edgar/data/34088/000003408818000015/xomexhibit10iiia1.htm" TargetMode="External"/><Relationship Id="rId182" Type="http://schemas.openxmlformats.org/officeDocument/2006/relationships/hyperlink" Target="https://www.sec.gov/Archives/edgar/data/34088/000003408817000017/xomexhibit10iiia2.htm" TargetMode="External"/><Relationship Id="rId183" Type="http://schemas.openxmlformats.org/officeDocument/2006/relationships/hyperlink" Target="https://www.sec.gov/Archives/edgar/data/34088/000003408819000010/xomexhibit10iiib1.htm" TargetMode="External"/><Relationship Id="rId184" Type="http://schemas.openxmlformats.org/officeDocument/2006/relationships/hyperlink" Target="https://www.sec.gov/Archives/edgar/data/34088/000003408820000016/xomexhibit10iiib2.htm" TargetMode="External"/><Relationship Id="rId185" Type="http://schemas.openxmlformats.org/officeDocument/2006/relationships/hyperlink" Target="https://www.sec.gov/Archives/edgar/data/34088/000003408821000069/xomexhibit99111232021.htm" TargetMode="External"/><Relationship Id="rId186" Type="http://schemas.openxmlformats.org/officeDocument/2006/relationships/hyperlink" Target="https://www.sec.gov/Archives/edgar/data/34088/000003408821000024/xomexhibit10iiic1033121.htm" TargetMode="External"/><Relationship Id="rId187" Type="http://schemas.openxmlformats.org/officeDocument/2006/relationships/hyperlink" Target="https://www.sec.gov/Archives/edgar/data/34088/000003408821000024/xomexhibit10iiic2033121.htm" TargetMode="External"/><Relationship Id="rId188" Type="http://schemas.openxmlformats.org/officeDocument/2006/relationships/hyperlink" Target="https://www.sec.gov/Archives/edgar/data/34088/000003408821000024/xomexhibit10iiic3033121.htm" TargetMode="External"/><Relationship Id="rId189" Type="http://schemas.openxmlformats.org/officeDocument/2006/relationships/hyperlink" Target="https://www.sec.gov/Archives/edgar/data/34088/000003408817000017/xomexhibit10iiid.htm" TargetMode="External"/><Relationship Id="rId190" Type="http://schemas.openxmlformats.org/officeDocument/2006/relationships/hyperlink" Target="https://www.sec.gov/Archives/edgar/data/34088/000003408819000010/xomexhibit10iiif1.htm" TargetMode="External"/><Relationship Id="rId191" Type="http://schemas.openxmlformats.org/officeDocument/2006/relationships/hyperlink" Target="https://www.sec.gov/Archives/edgar/data/34088/000003408817000017/xomexhibit10iiif2.htm" TargetMode="External"/><Relationship Id="rId192" Type="http://schemas.openxmlformats.org/officeDocument/2006/relationships/hyperlink" Target="https://www.sec.gov/Archives/edgar/data/34088/000003408820000037/xomexhibit10iiif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2022-02-23T15:46:21Z</dcterms:created>
  <dcterms:modified xsi:type="dcterms:W3CDTF">2022-02-23T15:46:21Z</dcterms:modified>
</cp:coreProperties>
</file>