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26, 2021</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Exxon Mobil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282" w:right="339" w:bottom="1440" w:gutter="0" w:footer="0" w:header="0"/>
        </w:sectPr>
      </w:pPr>
    </w:p>
    <w:p>
      <w:pPr>
        <w:spacing w:after="0" w:line="236" w:lineRule="exact"/>
        <w:rPr>
          <w:sz w:val="24"/>
          <w:szCs w:val="24"/>
          <w:color w:val="auto"/>
        </w:rPr>
      </w:pPr>
    </w:p>
    <w:p>
      <w:pPr>
        <w:ind w:left="1440"/>
        <w:spacing w:after="0"/>
        <w:rPr>
          <w:sz w:val="20"/>
          <w:szCs w:val="20"/>
          <w:color w:val="auto"/>
        </w:rPr>
      </w:pPr>
      <w:r>
        <w:rPr>
          <w:rFonts w:ascii="Arial" w:cs="Arial" w:eastAsia="Arial" w:hAnsi="Arial"/>
          <w:sz w:val="19"/>
          <w:szCs w:val="19"/>
          <w:b w:val="1"/>
          <w:bCs w:val="1"/>
          <w:color w:val="auto"/>
        </w:rPr>
        <w:t>New Jersey</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120"/>
        <w:spacing w:after="0"/>
        <w:rPr>
          <w:sz w:val="20"/>
          <w:szCs w:val="20"/>
          <w:color w:val="auto"/>
        </w:rPr>
      </w:pPr>
      <w:r>
        <w:rPr>
          <w:rFonts w:ascii="Arial" w:cs="Arial" w:eastAsia="Arial" w:hAnsi="Arial"/>
          <w:sz w:val="19"/>
          <w:szCs w:val="19"/>
          <w:b w:val="1"/>
          <w:bCs w:val="1"/>
          <w:color w:val="auto"/>
        </w:rPr>
        <w:t>1-2256</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13-5409005</w:t>
      </w:r>
    </w:p>
    <w:p>
      <w:pPr>
        <w:spacing w:after="0" w:line="49" w:lineRule="exact"/>
        <w:rPr>
          <w:sz w:val="24"/>
          <w:szCs w:val="24"/>
          <w:color w:val="auto"/>
        </w:rPr>
      </w:pPr>
    </w:p>
    <w:p>
      <w:pPr>
        <w:sectPr>
          <w:pgSz w:w="11900" w:h="16838" w:orient="portrait"/>
          <w:cols w:equalWidth="0" w:num="3">
            <w:col w:w="4520" w:space="720"/>
            <w:col w:w="2720" w:space="720"/>
            <w:col w:w="2560"/>
          </w:cols>
          <w:pgMar w:left="320" w:top="1282" w:right="339" w:bottom="1440" w:gutter="0" w:footer="0" w:header="0"/>
          <w:type w:val="continuous"/>
        </w:sectPr>
      </w:pPr>
    </w:p>
    <w:p>
      <w:pPr>
        <w:spacing w:after="0" w:line="16"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w:t>
      </w:r>
    </w:p>
    <w:p>
      <w:pPr>
        <w:spacing w:after="0" w:line="8"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8"/>
          <w:szCs w:val="18"/>
          <w:color w:val="auto"/>
        </w:rPr>
        <w:t>(IRS Employer</w:t>
      </w:r>
    </w:p>
    <w:p>
      <w:pPr>
        <w:jc w:val="center"/>
        <w:ind w:right="13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2760" w:space="720"/>
            <w:col w:w="2700"/>
          </w:cols>
          <w:pgMar w:left="320" w:top="1282" w:right="339" w:bottom="1440" w:gutter="0" w:footer="0" w:header="0"/>
          <w:type w:val="continuous"/>
        </w:sectPr>
      </w:pP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5959 Las Colinas Boulevard, Irving, Texas 75039-2298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ectPr>
          <w:pgSz w:w="11900" w:h="16838" w:orient="portrait"/>
          <w:cols w:equalWidth="0" w:num="1">
            <w:col w:w="11240"/>
          </w:cols>
          <w:pgMar w:left="320" w:top="1282"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(972) 940-6000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232410</wp:posOffset>
            </wp:positionV>
            <wp:extent cx="4723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4360" w:type="dxa"/>
            <w:vAlign w:val="bottom"/>
          </w:tcPr>
          <w:p>
            <w:pPr>
              <w:ind w:left="640"/>
              <w:spacing w:after="0"/>
              <w:rPr>
                <w:sz w:val="20"/>
                <w:szCs w:val="20"/>
                <w:color w:val="auto"/>
              </w:rPr>
            </w:pPr>
            <w:r>
              <w:rPr>
                <w:rFonts w:ascii="Arial" w:cs="Arial" w:eastAsia="Arial" w:hAnsi="Arial"/>
                <w:sz w:val="14"/>
                <w:szCs w:val="14"/>
                <w:color w:val="auto"/>
              </w:rPr>
              <w:t>Securities registered pursuant to Section 12(b) of the Act:</w:t>
            </w:r>
          </w:p>
        </w:tc>
        <w:tc>
          <w:tcPr>
            <w:tcW w:w="3260" w:type="dxa"/>
            <w:vAlign w:val="bottom"/>
          </w:tcPr>
          <w:p>
            <w:pPr>
              <w:spacing w:after="0"/>
              <w:rPr>
                <w:sz w:val="15"/>
                <w:szCs w:val="15"/>
                <w:color w:val="auto"/>
              </w:rPr>
            </w:pPr>
          </w:p>
        </w:tc>
      </w:tr>
      <w:tr>
        <w:trPr>
          <w:trHeight w:val="297"/>
        </w:trPr>
        <w:tc>
          <w:tcPr>
            <w:tcW w:w="3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60" w:type="dxa"/>
            <w:vAlign w:val="bottom"/>
          </w:tcPr>
          <w:p>
            <w:pPr>
              <w:jc w:val="center"/>
              <w:ind w:right="315"/>
              <w:spacing w:after="0"/>
              <w:rPr>
                <w:sz w:val="20"/>
                <w:szCs w:val="20"/>
                <w:color w:val="auto"/>
              </w:rPr>
            </w:pPr>
            <w:r>
              <w:rPr>
                <w:rFonts w:ascii="Arial" w:cs="Arial" w:eastAsia="Arial" w:hAnsi="Arial"/>
                <w:sz w:val="14"/>
                <w:szCs w:val="14"/>
                <w:color w:val="auto"/>
                <w:w w:val="91"/>
              </w:rPr>
              <w:t>Name of Each Exchange</w:t>
            </w:r>
          </w:p>
        </w:tc>
      </w:tr>
      <w:tr>
        <w:trPr>
          <w:trHeight w:val="19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326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color w:val="auto"/>
                <w:w w:val="93"/>
              </w:rPr>
              <w:t>on Which Registered</w:t>
            </w: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Common Stock, without par value</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0.142% Notes due 2024</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9"/>
              </w:rPr>
              <w:t>XOM24B</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0.524% Notes due 2028</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XOM28</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0.835% Notes due 2032</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XOM32</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1.408% Notes due 2039</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XOM39A</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ind w:left="20"/>
        <w:spacing w:after="0"/>
        <w:tabs>
          <w:tab w:leader="none" w:pos="18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Holdings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229" w:lineRule="exact"/>
        <w:rPr>
          <w:sz w:val="20"/>
          <w:szCs w:val="20"/>
          <w:color w:val="auto"/>
        </w:rPr>
      </w:pPr>
    </w:p>
    <w:p>
      <w:pPr>
        <w:ind w:right="540"/>
        <w:spacing w:after="0" w:line="246" w:lineRule="auto"/>
        <w:rPr>
          <w:sz w:val="20"/>
          <w:szCs w:val="20"/>
          <w:color w:val="auto"/>
        </w:rPr>
      </w:pPr>
      <w:r>
        <w:rPr>
          <w:rFonts w:ascii="Arial" w:cs="Arial" w:eastAsia="Arial" w:hAnsi="Arial"/>
          <w:sz w:val="20"/>
          <w:szCs w:val="20"/>
          <w:color w:val="auto"/>
        </w:rPr>
        <w:t>Exxon Mobil Corporation (the “Company” or “ExxonMobil”) held its Annual Meeting of Shareholders on May 26, 2021, at which the matters set forth below in response to Item 5.07(b) were submitted to a vote of security holders.</w:t>
      </w:r>
    </w:p>
    <w:p>
      <w:pPr>
        <w:spacing w:after="0" w:line="204"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As of the close of business on March 29, 2021, the record date for the Annual Meeting, 4,233,538,767 shares of the Company’s common stock, without par value (“Common Stock”), were outstanding and entitled to vote.</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Set forth below are the proposals voted upon at the Annual Meeting, and the estimated preliminary voting results reported by the Company’s proxy solicitor, MacKenzie Partners, Inc. (the “Proxy Solicitor”), based on the information available to the Proxy Solicitor. Based on the estimated preliminary results from the Proxy Solicitor and subject to the qualifications set forth herein, at least 2,842,090,241 shares of Common Stock were voted in person or by proxy at the Annual Meeting, representing more than 67.1% percent of the shares entitled to be voted. Percentages are based on the total votes cast. Under the corporate law of New Jersey, where ExxonMobil is incorporated, abstentions are not votes cast. Broker non-votes are not separately reported.</w:t>
      </w:r>
    </w:p>
    <w:p>
      <w:pPr>
        <w:spacing w:after="0" w:line="20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numbers depicted as votes cast on each proposal and with respect to the voting for and withheld on the contested director election are only estimates and may not reflect the actual results, which are being tabulated by the independent inspector of election (the “Inspector of Election”). The Inspector of Election is the only person who will be able to count, tabulate and validate the votes to reflect, among other items: the net effect of legal proxies and other ballots or proxy cards voted at the Annual Meeting; the proxy votes received by Engine No. 1; any reconciliations between votes submitted on the blue card vs. the white card (including cases in which shareholders may have voted both cards or a later-dated proxy revoked a prior vote); the votes cast on behalf of the custodian banks and brokers by Broadridge Financial Solutions ("Broadridge") and votes cast through certain other intermediaries who do not participate in the proxy voting system maintained by Broadridge.</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preliminary voting results will ultimately be updated through the filing of an amendment to this Current Report on Form 8-K to reflect the final certification of results from the Inspector of Election. At this time, the Company does not know when the Inspector of Election will complete his work and then be able to certify the Annual Meeting vote results. There can be no assurance that the outcome of the final results will be consistent with the outcome of the estimated vote results indicated on this Form 8-K.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estimated preliminary voting results from the Proxy Solicitor for the proposals presented at the Annual Meeting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 – Election of Directors</w:t>
      </w:r>
    </w:p>
    <w:p>
      <w:pPr>
        <w:spacing w:after="0" w:line="249" w:lineRule="exact"/>
        <w:rPr>
          <w:sz w:val="20"/>
          <w:szCs w:val="20"/>
          <w:color w:val="auto"/>
        </w:rPr>
      </w:pPr>
    </w:p>
    <w:p>
      <w:pPr>
        <w:jc w:val="both"/>
        <w:spacing w:after="0" w:line="368" w:lineRule="auto"/>
        <w:rPr>
          <w:sz w:val="20"/>
          <w:szCs w:val="20"/>
          <w:color w:val="auto"/>
        </w:rPr>
      </w:pPr>
      <w:r>
        <w:rPr>
          <w:rFonts w:ascii="Arial" w:cs="Arial" w:eastAsia="Arial" w:hAnsi="Arial"/>
          <w:sz w:val="16"/>
          <w:szCs w:val="16"/>
          <w:i w:val="1"/>
          <w:iCs w:val="1"/>
          <w:color w:val="auto"/>
        </w:rPr>
        <w:t>The estimated preliminary votes in Favor and Withheld for each nominee, by order of the votes For each nominee, are set forth below. The twelve nominees with the most votes in favor will be elected to the board after certification of the final results by the Inspector of Election.</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2600" w:type="dxa"/>
            <w:vAlign w:val="bottom"/>
          </w:tcPr>
          <w:p>
            <w:pPr>
              <w:spacing w:after="0"/>
              <w:rPr>
                <w:sz w:val="20"/>
                <w:szCs w:val="20"/>
                <w:color w:val="auto"/>
              </w:rPr>
            </w:pPr>
            <w:r>
              <w:rPr>
                <w:rFonts w:ascii="Arial" w:cs="Arial" w:eastAsia="Arial" w:hAnsi="Arial"/>
                <w:sz w:val="20"/>
                <w:szCs w:val="20"/>
                <w:b w:val="1"/>
                <w:bCs w:val="1"/>
                <w:color w:val="auto"/>
              </w:rPr>
              <w:t>Nominees</w:t>
            </w:r>
          </w:p>
        </w:tc>
        <w:tc>
          <w:tcPr>
            <w:tcW w:w="2020" w:type="dxa"/>
            <w:vAlign w:val="bottom"/>
          </w:tcPr>
          <w:p>
            <w:pPr>
              <w:jc w:val="right"/>
              <w:ind w:right="141"/>
              <w:spacing w:after="0"/>
              <w:rPr>
                <w:sz w:val="20"/>
                <w:szCs w:val="20"/>
                <w:color w:val="auto"/>
              </w:rPr>
            </w:pPr>
            <w:r>
              <w:rPr>
                <w:rFonts w:ascii="Arial" w:cs="Arial" w:eastAsia="Arial" w:hAnsi="Arial"/>
                <w:sz w:val="20"/>
                <w:szCs w:val="20"/>
                <w:b w:val="1"/>
                <w:bCs w:val="1"/>
                <w:color w:val="auto"/>
              </w:rPr>
              <w:t>Votes For</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auto"/>
              </w:rPr>
              <w:t>Votes Withheld</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Michael J. Angelakis*</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2,795,977,247</w:t>
            </w:r>
          </w:p>
        </w:tc>
        <w:tc>
          <w:tcPr>
            <w:tcW w:w="1540" w:type="dxa"/>
            <w:vAlign w:val="bottom"/>
          </w:tcPr>
          <w:p>
            <w:pPr>
              <w:jc w:val="right"/>
              <w:spacing w:after="0"/>
              <w:rPr>
                <w:sz w:val="20"/>
                <w:szCs w:val="20"/>
                <w:color w:val="auto"/>
              </w:rPr>
            </w:pPr>
            <w:r>
              <w:rPr>
                <w:rFonts w:ascii="Arial" w:cs="Arial" w:eastAsia="Arial" w:hAnsi="Arial"/>
                <w:sz w:val="20"/>
                <w:szCs w:val="20"/>
                <w:color w:val="auto"/>
              </w:rPr>
              <w:t>46,112,993</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Jeffrey W. Ubben*</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2,788,399,718</w:t>
            </w:r>
          </w:p>
        </w:tc>
        <w:tc>
          <w:tcPr>
            <w:tcW w:w="1540" w:type="dxa"/>
            <w:vAlign w:val="bottom"/>
          </w:tcPr>
          <w:p>
            <w:pPr>
              <w:jc w:val="right"/>
              <w:spacing w:after="0"/>
              <w:rPr>
                <w:sz w:val="20"/>
                <w:szCs w:val="20"/>
                <w:color w:val="auto"/>
              </w:rPr>
            </w:pPr>
            <w:r>
              <w:rPr>
                <w:rFonts w:ascii="Arial" w:cs="Arial" w:eastAsia="Arial" w:hAnsi="Arial"/>
                <w:sz w:val="20"/>
                <w:szCs w:val="20"/>
                <w:color w:val="auto"/>
              </w:rPr>
              <w:t>53,690,522</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Ursula M. Burns*</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2,780,709,604</w:t>
            </w:r>
          </w:p>
        </w:tc>
        <w:tc>
          <w:tcPr>
            <w:tcW w:w="1540" w:type="dxa"/>
            <w:vAlign w:val="bottom"/>
          </w:tcPr>
          <w:p>
            <w:pPr>
              <w:jc w:val="right"/>
              <w:spacing w:after="0"/>
              <w:rPr>
                <w:sz w:val="20"/>
                <w:szCs w:val="20"/>
                <w:color w:val="auto"/>
              </w:rPr>
            </w:pPr>
            <w:r>
              <w:rPr>
                <w:rFonts w:ascii="Arial" w:cs="Arial" w:eastAsia="Arial" w:hAnsi="Arial"/>
                <w:sz w:val="20"/>
                <w:szCs w:val="20"/>
                <w:color w:val="auto"/>
              </w:rPr>
              <w:t>61,380,636</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Joseph L. Hooley*</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2,757,824,558</w:t>
            </w:r>
          </w:p>
        </w:tc>
        <w:tc>
          <w:tcPr>
            <w:tcW w:w="1540" w:type="dxa"/>
            <w:vAlign w:val="bottom"/>
          </w:tcPr>
          <w:p>
            <w:pPr>
              <w:jc w:val="right"/>
              <w:spacing w:after="0"/>
              <w:rPr>
                <w:sz w:val="20"/>
                <w:szCs w:val="20"/>
                <w:color w:val="auto"/>
              </w:rPr>
            </w:pPr>
            <w:r>
              <w:rPr>
                <w:rFonts w:ascii="Arial" w:cs="Arial" w:eastAsia="Arial" w:hAnsi="Arial"/>
                <w:sz w:val="20"/>
                <w:szCs w:val="20"/>
                <w:color w:val="auto"/>
              </w:rPr>
              <w:t>84,265,683</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Susan K. Avery*</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2,747,648,791</w:t>
            </w:r>
          </w:p>
        </w:tc>
        <w:tc>
          <w:tcPr>
            <w:tcW w:w="1540" w:type="dxa"/>
            <w:vAlign w:val="bottom"/>
          </w:tcPr>
          <w:p>
            <w:pPr>
              <w:jc w:val="right"/>
              <w:spacing w:after="0"/>
              <w:rPr>
                <w:sz w:val="20"/>
                <w:szCs w:val="20"/>
                <w:color w:val="auto"/>
              </w:rPr>
            </w:pPr>
            <w:r>
              <w:rPr>
                <w:rFonts w:ascii="Arial" w:cs="Arial" w:eastAsia="Arial" w:hAnsi="Arial"/>
                <w:sz w:val="20"/>
                <w:szCs w:val="20"/>
                <w:color w:val="auto"/>
              </w:rPr>
              <w:t>94,441,450</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Angela F. Braly*</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2,708,193,493</w:t>
            </w:r>
          </w:p>
        </w:tc>
        <w:tc>
          <w:tcPr>
            <w:tcW w:w="1540" w:type="dxa"/>
            <w:vAlign w:val="bottom"/>
          </w:tcPr>
          <w:p>
            <w:pPr>
              <w:jc w:val="right"/>
              <w:spacing w:after="0"/>
              <w:rPr>
                <w:sz w:val="20"/>
                <w:szCs w:val="20"/>
                <w:color w:val="auto"/>
              </w:rPr>
            </w:pPr>
            <w:r>
              <w:rPr>
                <w:rFonts w:ascii="Arial" w:cs="Arial" w:eastAsia="Arial" w:hAnsi="Arial"/>
                <w:sz w:val="20"/>
                <w:szCs w:val="20"/>
                <w:color w:val="auto"/>
              </w:rPr>
              <w:t>133,896,747</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Kenneth C. Frazier*</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2,684,683,067</w:t>
            </w:r>
          </w:p>
        </w:tc>
        <w:tc>
          <w:tcPr>
            <w:tcW w:w="1540" w:type="dxa"/>
            <w:vAlign w:val="bottom"/>
          </w:tcPr>
          <w:p>
            <w:pPr>
              <w:jc w:val="right"/>
              <w:spacing w:after="0"/>
              <w:rPr>
                <w:sz w:val="20"/>
                <w:szCs w:val="20"/>
                <w:color w:val="auto"/>
              </w:rPr>
            </w:pPr>
            <w:r>
              <w:rPr>
                <w:rFonts w:ascii="Arial" w:cs="Arial" w:eastAsia="Arial" w:hAnsi="Arial"/>
                <w:sz w:val="20"/>
                <w:szCs w:val="20"/>
                <w:color w:val="auto"/>
              </w:rPr>
              <w:t>157,407,173</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Darren W. Woods*</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2,674,761,694</w:t>
            </w:r>
          </w:p>
        </w:tc>
        <w:tc>
          <w:tcPr>
            <w:tcW w:w="1540" w:type="dxa"/>
            <w:vAlign w:val="bottom"/>
          </w:tcPr>
          <w:p>
            <w:pPr>
              <w:jc w:val="right"/>
              <w:spacing w:after="0"/>
              <w:rPr>
                <w:sz w:val="20"/>
                <w:szCs w:val="20"/>
                <w:color w:val="auto"/>
              </w:rPr>
            </w:pPr>
            <w:r>
              <w:rPr>
                <w:rFonts w:ascii="Arial" w:cs="Arial" w:eastAsia="Arial" w:hAnsi="Arial"/>
                <w:sz w:val="20"/>
                <w:szCs w:val="20"/>
                <w:color w:val="auto"/>
              </w:rPr>
              <w:t>167,328,547</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Kaisa Hietala**</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1,516,288,928</w:t>
            </w:r>
          </w:p>
        </w:tc>
        <w:tc>
          <w:tcPr>
            <w:tcW w:w="1540" w:type="dxa"/>
            <w:vAlign w:val="bottom"/>
          </w:tcPr>
          <w:p>
            <w:pPr>
              <w:jc w:val="right"/>
              <w:spacing w:after="0"/>
              <w:rPr>
                <w:sz w:val="20"/>
                <w:szCs w:val="20"/>
                <w:color w:val="auto"/>
              </w:rPr>
            </w:pPr>
            <w:r>
              <w:rPr>
                <w:rFonts w:ascii="Arial" w:cs="Arial" w:eastAsia="Arial" w:hAnsi="Arial"/>
                <w:sz w:val="20"/>
                <w:szCs w:val="20"/>
                <w:color w:val="auto"/>
              </w:rPr>
              <w:t>118,756,243</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Gregory J. Goff**</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1,429,068,516</w:t>
            </w:r>
          </w:p>
        </w:tc>
        <w:tc>
          <w:tcPr>
            <w:tcW w:w="1540" w:type="dxa"/>
            <w:vAlign w:val="bottom"/>
          </w:tcPr>
          <w:p>
            <w:pPr>
              <w:jc w:val="right"/>
              <w:spacing w:after="0"/>
              <w:rPr>
                <w:sz w:val="20"/>
                <w:szCs w:val="20"/>
                <w:color w:val="auto"/>
              </w:rPr>
            </w:pPr>
            <w:r>
              <w:rPr>
                <w:rFonts w:ascii="Arial" w:cs="Arial" w:eastAsia="Arial" w:hAnsi="Arial"/>
                <w:sz w:val="20"/>
                <w:szCs w:val="20"/>
                <w:color w:val="auto"/>
              </w:rPr>
              <w:t>205,976,655</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Alexander A. Karsner**</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1,188,343,388</w:t>
            </w:r>
          </w:p>
        </w:tc>
        <w:tc>
          <w:tcPr>
            <w:tcW w:w="1540" w:type="dxa"/>
            <w:vAlign w:val="bottom"/>
          </w:tcPr>
          <w:p>
            <w:pPr>
              <w:jc w:val="right"/>
              <w:spacing w:after="0"/>
              <w:rPr>
                <w:sz w:val="20"/>
                <w:szCs w:val="20"/>
                <w:color w:val="auto"/>
              </w:rPr>
            </w:pPr>
            <w:r>
              <w:rPr>
                <w:rFonts w:ascii="Arial" w:cs="Arial" w:eastAsia="Arial" w:hAnsi="Arial"/>
                <w:sz w:val="20"/>
                <w:szCs w:val="20"/>
                <w:color w:val="auto"/>
              </w:rPr>
              <w:t>446,701,783</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Douglas R. Oberhelman*</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1,174,445,208</w:t>
            </w:r>
          </w:p>
        </w:tc>
        <w:tc>
          <w:tcPr>
            <w:tcW w:w="1540" w:type="dxa"/>
            <w:vAlign w:val="bottom"/>
          </w:tcPr>
          <w:p>
            <w:pPr>
              <w:jc w:val="right"/>
              <w:spacing w:after="0"/>
              <w:rPr>
                <w:sz w:val="20"/>
                <w:szCs w:val="20"/>
                <w:color w:val="auto"/>
              </w:rPr>
            </w:pPr>
            <w:r>
              <w:rPr>
                <w:rFonts w:ascii="Arial" w:cs="Arial" w:eastAsia="Arial" w:hAnsi="Arial"/>
                <w:sz w:val="20"/>
                <w:szCs w:val="20"/>
                <w:color w:val="auto"/>
              </w:rPr>
              <w:t>32,599,861</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Steven A. Kandarian*</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1,173,545,328</w:t>
            </w:r>
          </w:p>
        </w:tc>
        <w:tc>
          <w:tcPr>
            <w:tcW w:w="1540" w:type="dxa"/>
            <w:vAlign w:val="bottom"/>
          </w:tcPr>
          <w:p>
            <w:pPr>
              <w:jc w:val="right"/>
              <w:spacing w:after="0"/>
              <w:rPr>
                <w:sz w:val="20"/>
                <w:szCs w:val="20"/>
                <w:color w:val="auto"/>
              </w:rPr>
            </w:pPr>
            <w:r>
              <w:rPr>
                <w:rFonts w:ascii="Arial" w:cs="Arial" w:eastAsia="Arial" w:hAnsi="Arial"/>
                <w:sz w:val="20"/>
                <w:szCs w:val="20"/>
                <w:color w:val="auto"/>
              </w:rPr>
              <w:t>33,499,741</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Wan Zulkiflee*</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1,128,703,149</w:t>
            </w:r>
          </w:p>
        </w:tc>
        <w:tc>
          <w:tcPr>
            <w:tcW w:w="1540" w:type="dxa"/>
            <w:vAlign w:val="bottom"/>
          </w:tcPr>
          <w:p>
            <w:pPr>
              <w:jc w:val="right"/>
              <w:spacing w:after="0"/>
              <w:rPr>
                <w:sz w:val="20"/>
                <w:szCs w:val="20"/>
                <w:color w:val="auto"/>
              </w:rPr>
            </w:pPr>
            <w:r>
              <w:rPr>
                <w:rFonts w:ascii="Arial" w:cs="Arial" w:eastAsia="Arial" w:hAnsi="Arial"/>
                <w:sz w:val="20"/>
                <w:szCs w:val="20"/>
                <w:color w:val="auto"/>
              </w:rPr>
              <w:t>78,341,921</w:t>
            </w:r>
          </w:p>
        </w:tc>
      </w:tr>
      <w:tr>
        <w:trPr>
          <w:trHeight w:val="243"/>
        </w:trPr>
        <w:tc>
          <w:tcPr>
            <w:tcW w:w="2600" w:type="dxa"/>
            <w:vAlign w:val="bottom"/>
          </w:tcPr>
          <w:p>
            <w:pPr>
              <w:spacing w:after="0"/>
              <w:rPr>
                <w:sz w:val="20"/>
                <w:szCs w:val="20"/>
                <w:color w:val="auto"/>
              </w:rPr>
            </w:pPr>
            <w:r>
              <w:rPr>
                <w:rFonts w:ascii="Arial" w:cs="Arial" w:eastAsia="Arial" w:hAnsi="Arial"/>
                <w:sz w:val="20"/>
                <w:szCs w:val="20"/>
                <w:color w:val="auto"/>
              </w:rPr>
              <w:t>Samuel J. Palmisano*</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1,127,243,352</w:t>
            </w:r>
          </w:p>
        </w:tc>
        <w:tc>
          <w:tcPr>
            <w:tcW w:w="1540" w:type="dxa"/>
            <w:vAlign w:val="bottom"/>
          </w:tcPr>
          <w:p>
            <w:pPr>
              <w:jc w:val="right"/>
              <w:spacing w:after="0"/>
              <w:rPr>
                <w:sz w:val="20"/>
                <w:szCs w:val="20"/>
                <w:color w:val="auto"/>
              </w:rPr>
            </w:pPr>
            <w:r>
              <w:rPr>
                <w:rFonts w:ascii="Arial" w:cs="Arial" w:eastAsia="Arial" w:hAnsi="Arial"/>
                <w:sz w:val="20"/>
                <w:szCs w:val="20"/>
                <w:color w:val="auto"/>
              </w:rPr>
              <w:t>79,801,717</w:t>
            </w:r>
          </w:p>
        </w:tc>
      </w:tr>
      <w:tr>
        <w:trPr>
          <w:trHeight w:val="250"/>
        </w:trPr>
        <w:tc>
          <w:tcPr>
            <w:tcW w:w="2600" w:type="dxa"/>
            <w:vAlign w:val="bottom"/>
          </w:tcPr>
          <w:p>
            <w:pPr>
              <w:spacing w:after="0"/>
              <w:rPr>
                <w:sz w:val="20"/>
                <w:szCs w:val="20"/>
                <w:color w:val="auto"/>
              </w:rPr>
            </w:pPr>
            <w:r>
              <w:rPr>
                <w:rFonts w:ascii="Arial" w:cs="Arial" w:eastAsia="Arial" w:hAnsi="Arial"/>
                <w:sz w:val="20"/>
                <w:szCs w:val="20"/>
                <w:color w:val="auto"/>
              </w:rPr>
              <w:t>Anders Runevad**</w:t>
            </w:r>
          </w:p>
        </w:tc>
        <w:tc>
          <w:tcPr>
            <w:tcW w:w="2020" w:type="dxa"/>
            <w:vAlign w:val="bottom"/>
          </w:tcPr>
          <w:p>
            <w:pPr>
              <w:jc w:val="right"/>
              <w:ind w:right="201"/>
              <w:spacing w:after="0"/>
              <w:rPr>
                <w:sz w:val="20"/>
                <w:szCs w:val="20"/>
                <w:color w:val="auto"/>
              </w:rPr>
            </w:pPr>
            <w:r>
              <w:rPr>
                <w:rFonts w:ascii="Arial" w:cs="Arial" w:eastAsia="Arial" w:hAnsi="Arial"/>
                <w:sz w:val="20"/>
                <w:szCs w:val="20"/>
                <w:color w:val="auto"/>
              </w:rPr>
              <w:t>272,113,248</w:t>
            </w:r>
          </w:p>
        </w:tc>
        <w:tc>
          <w:tcPr>
            <w:tcW w:w="1540" w:type="dxa"/>
            <w:vAlign w:val="bottom"/>
          </w:tcPr>
          <w:p>
            <w:pPr>
              <w:jc w:val="right"/>
              <w:spacing w:after="0"/>
              <w:rPr>
                <w:sz w:val="20"/>
                <w:szCs w:val="20"/>
                <w:color w:val="auto"/>
              </w:rPr>
            </w:pPr>
            <w:r>
              <w:rPr>
                <w:rFonts w:ascii="Arial" w:cs="Arial" w:eastAsia="Arial" w:hAnsi="Arial"/>
                <w:sz w:val="20"/>
                <w:szCs w:val="20"/>
                <w:color w:val="auto"/>
              </w:rPr>
              <w:t>1,362,931,923</w:t>
            </w:r>
          </w:p>
        </w:tc>
      </w:tr>
    </w:tbl>
    <w:p>
      <w:pPr>
        <w:spacing w:after="0" w:line="263" w:lineRule="exact"/>
        <w:rPr>
          <w:sz w:val="20"/>
          <w:szCs w:val="20"/>
          <w:color w:val="auto"/>
        </w:rPr>
      </w:pPr>
    </w:p>
    <w:p>
      <w:pPr>
        <w:ind w:left="20" w:right="8840" w:firstLine="6"/>
        <w:spacing w:after="0" w:line="332" w:lineRule="auto"/>
        <w:tabs>
          <w:tab w:leader="none" w:pos="1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ExxonMobil Nominees ** Engine No. 1 Nominees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680" w:type="dxa"/>
            <w:vAlign w:val="bottom"/>
            <w:gridSpan w:val="2"/>
          </w:tcPr>
          <w:p>
            <w:pPr>
              <w:spacing w:after="0"/>
              <w:rPr>
                <w:sz w:val="20"/>
                <w:szCs w:val="20"/>
                <w:color w:val="auto"/>
              </w:rPr>
            </w:pPr>
            <w:r>
              <w:rPr>
                <w:rFonts w:ascii="Arial" w:cs="Arial" w:eastAsia="Arial" w:hAnsi="Arial"/>
                <w:sz w:val="20"/>
                <w:szCs w:val="20"/>
                <w:b w:val="1"/>
                <w:bCs w:val="1"/>
                <w:color w:val="auto"/>
              </w:rPr>
              <w:t>Proposal 2 – Ratification of Independent Auditors:</w:t>
            </w:r>
          </w:p>
        </w:tc>
        <w:tc>
          <w:tcPr>
            <w:tcW w:w="860" w:type="dxa"/>
            <w:vAlign w:val="bottom"/>
          </w:tcPr>
          <w:p>
            <w:pPr>
              <w:spacing w:after="0"/>
              <w:rPr>
                <w:sz w:val="22"/>
                <w:szCs w:val="22"/>
                <w:color w:val="auto"/>
              </w:rPr>
            </w:pPr>
          </w:p>
        </w:tc>
      </w:tr>
      <w:tr>
        <w:trPr>
          <w:trHeight w:val="249"/>
        </w:trPr>
        <w:tc>
          <w:tcPr>
            <w:tcW w:w="3120" w:type="dxa"/>
            <w:vAlign w:val="bottom"/>
          </w:tcPr>
          <w:p>
            <w:pPr>
              <w:ind w:left="420"/>
              <w:spacing w:after="0"/>
              <w:rPr>
                <w:sz w:val="20"/>
                <w:szCs w:val="20"/>
                <w:color w:val="auto"/>
              </w:rPr>
            </w:pPr>
            <w:r>
              <w:rPr>
                <w:rFonts w:ascii="Arial" w:cs="Arial" w:eastAsia="Arial" w:hAnsi="Arial"/>
                <w:sz w:val="20"/>
                <w:szCs w:val="20"/>
                <w:color w:val="auto"/>
              </w:rPr>
              <w:t>Votes Cast For:</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2,932,727,074</w:t>
            </w:r>
          </w:p>
        </w:tc>
        <w:tc>
          <w:tcPr>
            <w:tcW w:w="860" w:type="dxa"/>
            <w:vAlign w:val="bottom"/>
          </w:tcPr>
          <w:p>
            <w:pPr>
              <w:jc w:val="right"/>
              <w:spacing w:after="0"/>
              <w:rPr>
                <w:sz w:val="20"/>
                <w:szCs w:val="20"/>
                <w:color w:val="auto"/>
              </w:rPr>
            </w:pPr>
            <w:r>
              <w:rPr>
                <w:rFonts w:ascii="Arial" w:cs="Arial" w:eastAsia="Arial" w:hAnsi="Arial"/>
                <w:sz w:val="20"/>
                <w:szCs w:val="20"/>
                <w:color w:val="auto"/>
              </w:rPr>
              <w:t>96.8 %</w:t>
            </w:r>
          </w:p>
        </w:tc>
      </w:tr>
      <w:tr>
        <w:trPr>
          <w:trHeight w:val="243"/>
        </w:trPr>
        <w:tc>
          <w:tcPr>
            <w:tcW w:w="3120" w:type="dxa"/>
            <w:vAlign w:val="bottom"/>
          </w:tcPr>
          <w:p>
            <w:pPr>
              <w:ind w:left="420"/>
              <w:spacing w:after="0"/>
              <w:rPr>
                <w:sz w:val="20"/>
                <w:szCs w:val="20"/>
                <w:color w:val="auto"/>
              </w:rPr>
            </w:pPr>
            <w:r>
              <w:rPr>
                <w:rFonts w:ascii="Arial" w:cs="Arial" w:eastAsia="Arial" w:hAnsi="Arial"/>
                <w:sz w:val="20"/>
                <w:szCs w:val="20"/>
                <w:color w:val="auto"/>
              </w:rPr>
              <w:t>Votes Cast Against:</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98,410,005</w:t>
            </w:r>
          </w:p>
        </w:tc>
        <w:tc>
          <w:tcPr>
            <w:tcW w:w="860" w:type="dxa"/>
            <w:vAlign w:val="bottom"/>
          </w:tcPr>
          <w:p>
            <w:pPr>
              <w:jc w:val="right"/>
              <w:spacing w:after="0"/>
              <w:rPr>
                <w:sz w:val="20"/>
                <w:szCs w:val="20"/>
                <w:color w:val="auto"/>
              </w:rPr>
            </w:pPr>
            <w:r>
              <w:rPr>
                <w:rFonts w:ascii="Arial" w:cs="Arial" w:eastAsia="Arial" w:hAnsi="Arial"/>
                <w:sz w:val="20"/>
                <w:szCs w:val="20"/>
                <w:color w:val="auto"/>
              </w:rPr>
              <w:t>3.2 %</w:t>
            </w:r>
          </w:p>
        </w:tc>
      </w:tr>
      <w:tr>
        <w:trPr>
          <w:trHeight w:val="250"/>
        </w:trPr>
        <w:tc>
          <w:tcPr>
            <w:tcW w:w="3120" w:type="dxa"/>
            <w:vAlign w:val="bottom"/>
          </w:tcPr>
          <w:p>
            <w:pPr>
              <w:ind w:left="420"/>
              <w:spacing w:after="0"/>
              <w:rPr>
                <w:sz w:val="20"/>
                <w:szCs w:val="20"/>
                <w:color w:val="auto"/>
              </w:rPr>
            </w:pPr>
            <w:r>
              <w:rPr>
                <w:rFonts w:ascii="Arial" w:cs="Arial" w:eastAsia="Arial" w:hAnsi="Arial"/>
                <w:sz w:val="20"/>
                <w:szCs w:val="20"/>
                <w:color w:val="auto"/>
              </w:rPr>
              <w:t>Abstentions:</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15,532,899</w:t>
            </w:r>
          </w:p>
        </w:tc>
        <w:tc>
          <w:tcPr>
            <w:tcW w:w="860" w:type="dxa"/>
            <w:vAlign w:val="bottom"/>
          </w:tcPr>
          <w:p>
            <w:pPr>
              <w:spacing w:after="0"/>
              <w:rPr>
                <w:sz w:val="21"/>
                <w:szCs w:val="21"/>
                <w:color w:val="auto"/>
              </w:rPr>
            </w:pPr>
          </w:p>
        </w:tc>
      </w:tr>
    </w:tbl>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Proposal 3 – Advisory Vote to Approve Executive Compensation:</w:t>
      </w:r>
    </w:p>
    <w:p>
      <w:pPr>
        <w:spacing w:after="0" w:line="26" w:lineRule="exact"/>
        <w:rPr>
          <w:sz w:val="20"/>
          <w:szCs w:val="20"/>
          <w:color w:val="auto"/>
        </w:rPr>
      </w:pPr>
    </w:p>
    <w:tbl>
      <w:tblPr>
        <w:tblLayout w:type="fixed"/>
        <w:tblInd w:w="44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r>
              <w:rPr>
                <w:rFonts w:ascii="Arial" w:cs="Arial" w:eastAsia="Arial" w:hAnsi="Arial"/>
                <w:sz w:val="20"/>
                <w:szCs w:val="20"/>
                <w:color w:val="auto"/>
              </w:rPr>
              <w:t>Votes Cast For:</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2,467,959,717</w:t>
            </w:r>
          </w:p>
        </w:tc>
        <w:tc>
          <w:tcPr>
            <w:tcW w:w="860" w:type="dxa"/>
            <w:vAlign w:val="bottom"/>
          </w:tcPr>
          <w:p>
            <w:pPr>
              <w:jc w:val="right"/>
              <w:spacing w:after="0"/>
              <w:rPr>
                <w:sz w:val="20"/>
                <w:szCs w:val="20"/>
                <w:color w:val="auto"/>
              </w:rPr>
            </w:pPr>
            <w:r>
              <w:rPr>
                <w:rFonts w:ascii="Arial" w:cs="Arial" w:eastAsia="Arial" w:hAnsi="Arial"/>
                <w:sz w:val="20"/>
                <w:szCs w:val="20"/>
                <w:color w:val="auto"/>
              </w:rPr>
              <w:t>88.3 %</w:t>
            </w:r>
          </w:p>
        </w:tc>
      </w:tr>
      <w:tr>
        <w:trPr>
          <w:trHeight w:val="243"/>
        </w:trPr>
        <w:tc>
          <w:tcPr>
            <w:tcW w:w="2700" w:type="dxa"/>
            <w:vAlign w:val="bottom"/>
          </w:tcPr>
          <w:p>
            <w:pPr>
              <w:spacing w:after="0"/>
              <w:rPr>
                <w:sz w:val="20"/>
                <w:szCs w:val="20"/>
                <w:color w:val="auto"/>
              </w:rPr>
            </w:pPr>
            <w:r>
              <w:rPr>
                <w:rFonts w:ascii="Arial" w:cs="Arial" w:eastAsia="Arial" w:hAnsi="Arial"/>
                <w:sz w:val="20"/>
                <w:szCs w:val="20"/>
                <w:color w:val="auto"/>
              </w:rPr>
              <w:t>Votes Cast Against:</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326,696,514</w:t>
            </w:r>
          </w:p>
        </w:tc>
        <w:tc>
          <w:tcPr>
            <w:tcW w:w="860" w:type="dxa"/>
            <w:vAlign w:val="bottom"/>
          </w:tcPr>
          <w:p>
            <w:pPr>
              <w:jc w:val="right"/>
              <w:spacing w:after="0"/>
              <w:rPr>
                <w:sz w:val="20"/>
                <w:szCs w:val="20"/>
                <w:color w:val="auto"/>
              </w:rPr>
            </w:pPr>
            <w:r>
              <w:rPr>
                <w:rFonts w:ascii="Arial" w:cs="Arial" w:eastAsia="Arial" w:hAnsi="Arial"/>
                <w:sz w:val="20"/>
                <w:szCs w:val="20"/>
                <w:color w:val="auto"/>
              </w:rPr>
              <w:t>11.7 %</w:t>
            </w:r>
          </w:p>
        </w:tc>
      </w:tr>
      <w:tr>
        <w:trPr>
          <w:trHeight w:val="250"/>
        </w:trPr>
        <w:tc>
          <w:tcPr>
            <w:tcW w:w="2700" w:type="dxa"/>
            <w:vAlign w:val="bottom"/>
          </w:tcPr>
          <w:p>
            <w:pPr>
              <w:spacing w:after="0"/>
              <w:rPr>
                <w:sz w:val="20"/>
                <w:szCs w:val="20"/>
                <w:color w:val="auto"/>
              </w:rPr>
            </w:pPr>
            <w:r>
              <w:rPr>
                <w:rFonts w:ascii="Arial" w:cs="Arial" w:eastAsia="Arial" w:hAnsi="Arial"/>
                <w:sz w:val="20"/>
                <w:szCs w:val="20"/>
                <w:color w:val="auto"/>
              </w:rPr>
              <w:t>Abstentions:</w:t>
            </w:r>
          </w:p>
        </w:tc>
        <w:tc>
          <w:tcPr>
            <w:tcW w:w="2560" w:type="dxa"/>
            <w:vAlign w:val="bottom"/>
          </w:tcPr>
          <w:p>
            <w:pPr>
              <w:jc w:val="right"/>
              <w:ind w:right="181"/>
              <w:spacing w:after="0"/>
              <w:rPr>
                <w:sz w:val="20"/>
                <w:szCs w:val="20"/>
                <w:color w:val="auto"/>
              </w:rPr>
            </w:pPr>
            <w:r>
              <w:rPr>
                <w:rFonts w:ascii="Arial" w:cs="Arial" w:eastAsia="Arial" w:hAnsi="Arial"/>
                <w:sz w:val="20"/>
                <w:szCs w:val="20"/>
                <w:color w:val="auto"/>
              </w:rPr>
              <w:t>47,433,958</w:t>
            </w:r>
          </w:p>
        </w:tc>
        <w:tc>
          <w:tcPr>
            <w:tcW w:w="8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2" w:right="5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shareholders voted as set forth below on seven shareholder proposals: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rPr>
              <w:t>Proposal 4 – Independent Chairman:</w:t>
            </w:r>
          </w:p>
        </w:tc>
        <w:tc>
          <w:tcPr>
            <w:tcW w:w="1340" w:type="dxa"/>
            <w:vAlign w:val="bottom"/>
          </w:tcPr>
          <w:p>
            <w:pPr>
              <w:spacing w:after="0"/>
              <w:rPr>
                <w:sz w:val="21"/>
                <w:szCs w:val="21"/>
                <w:color w:val="auto"/>
              </w:rPr>
            </w:pPr>
          </w:p>
        </w:tc>
        <w:tc>
          <w:tcPr>
            <w:tcW w:w="5740" w:type="dxa"/>
            <w:vAlign w:val="bottom"/>
          </w:tcPr>
          <w:p>
            <w:pPr>
              <w:spacing w:after="0"/>
              <w:rPr>
                <w:sz w:val="21"/>
                <w:szCs w:val="21"/>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rPr>
              <w:t>605,287,850</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22.1 %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2,139,304,007</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77.9 %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97,498,145</w:t>
            </w:r>
          </w:p>
        </w:tc>
        <w:tc>
          <w:tcPr>
            <w:tcW w:w="5740" w:type="dxa"/>
            <w:vAlign w:val="bottom"/>
          </w:tcPr>
          <w:p>
            <w:pPr>
              <w:spacing w:after="0"/>
              <w:rPr>
                <w:sz w:val="21"/>
                <w:szCs w:val="21"/>
                <w:color w:val="auto"/>
              </w:rPr>
            </w:pPr>
          </w:p>
        </w:tc>
      </w:tr>
      <w:tr>
        <w:trPr>
          <w:trHeight w:val="600"/>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w w:val="99"/>
              </w:rPr>
              <w:t>Proposal 5 – Special Shareholder Meetings:</w:t>
            </w: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rPr>
              <w:t>570,342,592</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20.8 %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2,165,517,003</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79.2 %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106,230,163</w:t>
            </w:r>
          </w:p>
        </w:tc>
        <w:tc>
          <w:tcPr>
            <w:tcW w:w="5740" w:type="dxa"/>
            <w:vAlign w:val="bottom"/>
          </w:tcPr>
          <w:p>
            <w:pPr>
              <w:spacing w:after="0"/>
              <w:rPr>
                <w:sz w:val="21"/>
                <w:szCs w:val="21"/>
                <w:color w:val="auto"/>
              </w:rPr>
            </w:pPr>
          </w:p>
        </w:tc>
      </w:tr>
      <w:tr>
        <w:trPr>
          <w:trHeight w:val="587"/>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rPr>
              <w:t>Proposal 6 – Report on Scenario Analysis</w:t>
            </w: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1,335,259,043</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48.9 %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1,397,442,071</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51.1 %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109,389,104</w:t>
            </w:r>
          </w:p>
        </w:tc>
        <w:tc>
          <w:tcPr>
            <w:tcW w:w="5740" w:type="dxa"/>
            <w:vAlign w:val="bottom"/>
          </w:tcPr>
          <w:p>
            <w:pPr>
              <w:spacing w:after="0"/>
              <w:rPr>
                <w:sz w:val="21"/>
                <w:szCs w:val="21"/>
                <w:color w:val="auto"/>
              </w:rPr>
            </w:pPr>
          </w:p>
        </w:tc>
      </w:tr>
      <w:tr>
        <w:trPr>
          <w:trHeight w:val="600"/>
        </w:trPr>
        <w:tc>
          <w:tcPr>
            <w:tcW w:w="5500" w:type="dxa"/>
            <w:vAlign w:val="bottom"/>
            <w:gridSpan w:val="2"/>
          </w:tcPr>
          <w:p>
            <w:pPr>
              <w:ind w:left="20"/>
              <w:spacing w:after="0"/>
              <w:rPr>
                <w:sz w:val="20"/>
                <w:szCs w:val="20"/>
                <w:color w:val="auto"/>
              </w:rPr>
            </w:pPr>
            <w:r>
              <w:rPr>
                <w:rFonts w:ascii="Arial" w:cs="Arial" w:eastAsia="Arial" w:hAnsi="Arial"/>
                <w:sz w:val="20"/>
                <w:szCs w:val="20"/>
                <w:b w:val="1"/>
                <w:bCs w:val="1"/>
                <w:color w:val="auto"/>
              </w:rPr>
              <w:t>Proposal 7 – Report on Environmental Expenditures:</w:t>
            </w:r>
          </w:p>
        </w:tc>
        <w:tc>
          <w:tcPr>
            <w:tcW w:w="5740" w:type="dxa"/>
            <w:vAlign w:val="bottom"/>
          </w:tcPr>
          <w:p>
            <w:pPr>
              <w:spacing w:after="0"/>
              <w:rPr>
                <w:sz w:val="24"/>
                <w:szCs w:val="24"/>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rPr>
              <w:t>142,754,351</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5.2 %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2,602,828,237</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94.8 %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96,507,614</w:t>
            </w:r>
          </w:p>
        </w:tc>
        <w:tc>
          <w:tcPr>
            <w:tcW w:w="5740" w:type="dxa"/>
            <w:vAlign w:val="bottom"/>
          </w:tcPr>
          <w:p>
            <w:pPr>
              <w:spacing w:after="0"/>
              <w:rPr>
                <w:sz w:val="21"/>
                <w:szCs w:val="21"/>
                <w:color w:val="auto"/>
              </w:rPr>
            </w:pPr>
          </w:p>
        </w:tc>
      </w:tr>
      <w:tr>
        <w:trPr>
          <w:trHeight w:val="621"/>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w w:val="92"/>
              </w:rPr>
              <w:t>Proposal 8 – Report on Political Contributions:</w:t>
            </w: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9"/>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rPr>
              <w:t>838,542,434</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30.5 %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1,911,320,273</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69.5 %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92,227,479</w:t>
            </w:r>
          </w:p>
        </w:tc>
        <w:tc>
          <w:tcPr>
            <w:tcW w:w="5740" w:type="dxa"/>
            <w:vAlign w:val="bottom"/>
          </w:tcPr>
          <w:p>
            <w:pPr>
              <w:spacing w:after="0"/>
              <w:rPr>
                <w:sz w:val="21"/>
                <w:szCs w:val="21"/>
                <w:color w:val="auto"/>
              </w:rPr>
            </w:pPr>
          </w:p>
        </w:tc>
      </w:tr>
      <w:tr>
        <w:trPr>
          <w:trHeight w:val="587"/>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rPr>
              <w:t>Proposal 9 – Report on Lobbying:</w:t>
            </w: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1,527,934,642</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55.6 %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1,218,752,700</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44.4 %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95,402,850</w:t>
            </w:r>
          </w:p>
        </w:tc>
        <w:tc>
          <w:tcPr>
            <w:tcW w:w="5740" w:type="dxa"/>
            <w:vAlign w:val="bottom"/>
          </w:tcPr>
          <w:p>
            <w:pPr>
              <w:spacing w:after="0"/>
              <w:rPr>
                <w:sz w:val="21"/>
                <w:szCs w:val="21"/>
                <w:color w:val="auto"/>
              </w:rPr>
            </w:pPr>
          </w:p>
        </w:tc>
      </w:tr>
      <w:tr>
        <w:trPr>
          <w:trHeight w:val="600"/>
        </w:trPr>
        <w:tc>
          <w:tcPr>
            <w:tcW w:w="4160" w:type="dxa"/>
            <w:vAlign w:val="bottom"/>
          </w:tcPr>
          <w:p>
            <w:pPr>
              <w:ind w:left="20"/>
              <w:spacing w:after="0"/>
              <w:rPr>
                <w:sz w:val="20"/>
                <w:szCs w:val="20"/>
                <w:color w:val="auto"/>
              </w:rPr>
            </w:pPr>
            <w:r>
              <w:rPr>
                <w:rFonts w:ascii="Arial" w:cs="Arial" w:eastAsia="Arial" w:hAnsi="Arial"/>
                <w:sz w:val="20"/>
                <w:szCs w:val="20"/>
                <w:b w:val="1"/>
                <w:bCs w:val="1"/>
                <w:color w:val="auto"/>
              </w:rPr>
              <w:t>Proposal 10 – Report on Climate Lobbying:</w:t>
            </w: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For:</w:t>
            </w:r>
          </w:p>
        </w:tc>
        <w:tc>
          <w:tcPr>
            <w:tcW w:w="1340" w:type="dxa"/>
            <w:vAlign w:val="bottom"/>
          </w:tcPr>
          <w:p>
            <w:pPr>
              <w:jc w:val="right"/>
              <w:spacing w:after="0"/>
              <w:rPr>
                <w:sz w:val="20"/>
                <w:szCs w:val="20"/>
                <w:color w:val="auto"/>
              </w:rPr>
            </w:pPr>
            <w:r>
              <w:rPr>
                <w:rFonts w:ascii="Arial" w:cs="Arial" w:eastAsia="Arial" w:hAnsi="Arial"/>
                <w:sz w:val="20"/>
                <w:szCs w:val="20"/>
                <w:color w:val="auto"/>
                <w:w w:val="96"/>
              </w:rPr>
              <w:t>1,752,779,954</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63.8 %</w:t>
            </w:r>
          </w:p>
        </w:tc>
      </w:tr>
      <w:tr>
        <w:trPr>
          <w:trHeight w:val="243"/>
        </w:trPr>
        <w:tc>
          <w:tcPr>
            <w:tcW w:w="4160" w:type="dxa"/>
            <w:vAlign w:val="bottom"/>
          </w:tcPr>
          <w:p>
            <w:pPr>
              <w:ind w:left="440"/>
              <w:spacing w:after="0"/>
              <w:rPr>
                <w:sz w:val="20"/>
                <w:szCs w:val="20"/>
                <w:color w:val="auto"/>
              </w:rPr>
            </w:pPr>
            <w:r>
              <w:rPr>
                <w:rFonts w:ascii="Arial" w:cs="Arial" w:eastAsia="Arial" w:hAnsi="Arial"/>
                <w:sz w:val="20"/>
                <w:szCs w:val="20"/>
                <w:color w:val="auto"/>
              </w:rPr>
              <w:t>Votes Cast Against:</w:t>
            </w:r>
          </w:p>
        </w:tc>
        <w:tc>
          <w:tcPr>
            <w:tcW w:w="1340" w:type="dxa"/>
            <w:vAlign w:val="bottom"/>
          </w:tcPr>
          <w:p>
            <w:pPr>
              <w:jc w:val="right"/>
              <w:spacing w:after="0"/>
              <w:rPr>
                <w:sz w:val="20"/>
                <w:szCs w:val="20"/>
                <w:color w:val="auto"/>
              </w:rPr>
            </w:pPr>
            <w:r>
              <w:rPr>
                <w:rFonts w:ascii="Arial" w:cs="Arial" w:eastAsia="Arial" w:hAnsi="Arial"/>
                <w:sz w:val="20"/>
                <w:szCs w:val="20"/>
                <w:color w:val="auto"/>
              </w:rPr>
              <w:t>992,506,297</w:t>
            </w:r>
          </w:p>
        </w:tc>
        <w:tc>
          <w:tcPr>
            <w:tcW w:w="5740" w:type="dxa"/>
            <w:vAlign w:val="bottom"/>
          </w:tcPr>
          <w:p>
            <w:pPr>
              <w:jc w:val="right"/>
              <w:ind w:right="4582"/>
              <w:spacing w:after="0"/>
              <w:rPr>
                <w:sz w:val="20"/>
                <w:szCs w:val="20"/>
                <w:color w:val="auto"/>
              </w:rPr>
            </w:pPr>
            <w:r>
              <w:rPr>
                <w:rFonts w:ascii="Arial" w:cs="Arial" w:eastAsia="Arial" w:hAnsi="Arial"/>
                <w:sz w:val="20"/>
                <w:szCs w:val="20"/>
                <w:color w:val="auto"/>
              </w:rPr>
              <w:t>36.2 %</w:t>
            </w:r>
          </w:p>
        </w:tc>
      </w:tr>
      <w:tr>
        <w:trPr>
          <w:trHeight w:val="250"/>
        </w:trPr>
        <w:tc>
          <w:tcPr>
            <w:tcW w:w="4160" w:type="dxa"/>
            <w:vAlign w:val="bottom"/>
          </w:tcPr>
          <w:p>
            <w:pPr>
              <w:ind w:left="440"/>
              <w:spacing w:after="0"/>
              <w:rPr>
                <w:sz w:val="20"/>
                <w:szCs w:val="20"/>
                <w:color w:val="auto"/>
              </w:rPr>
            </w:pPr>
            <w:r>
              <w:rPr>
                <w:rFonts w:ascii="Arial" w:cs="Arial" w:eastAsia="Arial" w:hAnsi="Arial"/>
                <w:sz w:val="20"/>
                <w:szCs w:val="20"/>
                <w:color w:val="auto"/>
              </w:rPr>
              <w:t>Abstentions:</w:t>
            </w:r>
          </w:p>
        </w:tc>
        <w:tc>
          <w:tcPr>
            <w:tcW w:w="1340" w:type="dxa"/>
            <w:vAlign w:val="bottom"/>
          </w:tcPr>
          <w:p>
            <w:pPr>
              <w:jc w:val="right"/>
              <w:spacing w:after="0"/>
              <w:rPr>
                <w:sz w:val="20"/>
                <w:szCs w:val="20"/>
                <w:color w:val="auto"/>
              </w:rPr>
            </w:pPr>
            <w:r>
              <w:rPr>
                <w:rFonts w:ascii="Arial" w:cs="Arial" w:eastAsia="Arial" w:hAnsi="Arial"/>
                <w:sz w:val="20"/>
                <w:szCs w:val="20"/>
                <w:color w:val="auto"/>
              </w:rPr>
              <w:t>96,781,076</w:t>
            </w:r>
          </w:p>
        </w:tc>
        <w:tc>
          <w:tcPr>
            <w:tcW w:w="5740" w:type="dxa"/>
            <w:vAlign w:val="bottom"/>
          </w:tcPr>
          <w:p>
            <w:pPr>
              <w:spacing w:after="0"/>
              <w:rPr>
                <w:sz w:val="21"/>
                <w:szCs w:val="21"/>
                <w:color w:val="auto"/>
              </w:rPr>
            </w:pPr>
          </w:p>
        </w:tc>
      </w:tr>
      <w:tr>
        <w:trPr>
          <w:trHeight w:val="860"/>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40" w:type="dxa"/>
            <w:vAlign w:val="bottom"/>
          </w:tcPr>
          <w:p>
            <w:pPr>
              <w:jc w:val="right"/>
              <w:ind w:right="5482"/>
              <w:spacing w:after="0"/>
              <w:rPr>
                <w:sz w:val="20"/>
                <w:szCs w:val="20"/>
                <w:color w:val="auto"/>
              </w:rPr>
            </w:pPr>
            <w:r>
              <w:rPr>
                <w:rFonts w:ascii="Arial" w:cs="Arial" w:eastAsia="Arial" w:hAnsi="Arial"/>
                <w:sz w:val="18"/>
                <w:szCs w:val="18"/>
                <w:color w:val="auto"/>
              </w:rPr>
              <w:t>4</w:t>
            </w:r>
          </w:p>
        </w:tc>
      </w:tr>
      <w:tr>
        <w:trPr>
          <w:trHeight w:val="115"/>
        </w:trPr>
        <w:tc>
          <w:tcPr>
            <w:tcW w:w="4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EXXON MOBIL CORPORATION</w:t>
      </w:r>
    </w:p>
    <w:p>
      <w:pPr>
        <w:sectPr>
          <w:pgSz w:w="11900" w:h="16838" w:orient="portrait"/>
          <w:cols w:equalWidth="0" w:num="1">
            <w:col w:w="10880"/>
          </w:cols>
          <w:pgMar w:left="320" w:top="892" w:right="6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June 2,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17780</wp:posOffset>
            </wp:positionV>
            <wp:extent cx="3171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4720" w:space="720"/>
            <w:col w:w="1820" w:space="720"/>
            <w:col w:w="2900"/>
          </w:cols>
          <w:pgMar w:left="320" w:top="892" w:right="699" w:bottom="1440" w:gutter="0" w:footer="0" w:header="0"/>
          <w:type w:val="continuous"/>
        </w:sectPr>
      </w:pPr>
    </w:p>
    <w:p>
      <w:pPr>
        <w:jc w:val="center"/>
        <w:ind w:left="6040"/>
        <w:spacing w:after="0"/>
        <w:rPr>
          <w:sz w:val="20"/>
          <w:szCs w:val="20"/>
          <w:color w:val="auto"/>
        </w:rPr>
      </w:pPr>
      <w:r>
        <w:rPr>
          <w:rFonts w:ascii="Arial" w:cs="Arial" w:eastAsia="Arial" w:hAnsi="Arial"/>
          <w:sz w:val="20"/>
          <w:szCs w:val="20"/>
          <w:color w:val="auto"/>
        </w:rPr>
        <w:t>Len M. Fox</w:t>
      </w:r>
    </w:p>
    <w:p>
      <w:pPr>
        <w:spacing w:after="0" w:line="20"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5</w:t>
      </w:r>
    </w:p>
    <w:sectPr>
      <w:pgSz w:w="11900" w:h="16838" w:orient="portrait"/>
      <w:cols w:equalWidth="0" w:num="1">
        <w:col w:w="10880"/>
      </w:cols>
      <w:pgMar w:left="320" w:top="892"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2021-06-02T15:10:20Z</dcterms:created>
  <dcterms:modified xsi:type="dcterms:W3CDTF">2021-06-02T15:10:20Z</dcterms:modified>
</cp:coreProperties>
</file>