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1, 2022</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340" w:type="dxa"/>
        <w:tblCellMar>
          <w:top w:w="0" w:type="dxa"/>
          <w:left w:w="0" w:type="dxa"/>
          <w:bottom w:w="0" w:type="dxa"/>
          <w:right w:w="0" w:type="dxa"/>
        </w:tblCellMar>
      </w:tblPr>
      <w:tr>
        <w:trPr>
          <w:trHeight w:val="283"/>
        </w:trPr>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1-2256</w:t>
            </w:r>
          </w:p>
        </w:tc>
        <w:tc>
          <w:tcPr>
            <w:tcW w:w="1520" w:type="dxa"/>
            <w:vAlign w:val="bottom"/>
            <w:gridSpan w:val="2"/>
          </w:tcPr>
          <w:p>
            <w:pPr>
              <w:jc w:val="center"/>
              <w:ind w:left="84"/>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9"/>
        </w:trPr>
        <w:tc>
          <w:tcPr>
            <w:tcW w:w="14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(State or other</w:t>
            </w:r>
          </w:p>
        </w:tc>
        <w:tc>
          <w:tcPr>
            <w:tcW w:w="5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1520" w:type="dxa"/>
            <w:vAlign w:val="bottom"/>
            <w:gridSpan w:val="2"/>
          </w:tcPr>
          <w:p>
            <w:pPr>
              <w:jc w:val="center"/>
              <w:ind w:left="84"/>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180"/>
        </w:trPr>
        <w:tc>
          <w:tcPr>
            <w:tcW w:w="14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jurisdiction</w:t>
            </w: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File Number)</w:t>
            </w:r>
          </w:p>
        </w:tc>
        <w:tc>
          <w:tcPr>
            <w:tcW w:w="1520" w:type="dxa"/>
            <w:vAlign w:val="bottom"/>
            <w:gridSpan w:val="2"/>
          </w:tcPr>
          <w:p>
            <w:pPr>
              <w:jc w:val="center"/>
              <w:ind w:left="84"/>
              <w:spacing w:after="0" w:line="181"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1"/>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80" w:type="dxa"/>
            <w:vAlign w:val="bottom"/>
          </w:tcPr>
          <w:p>
            <w:pPr>
              <w:jc w:val="center"/>
              <w:ind w:left="25"/>
              <w:spacing w:after="0"/>
              <w:rPr>
                <w:sz w:val="20"/>
                <w:szCs w:val="20"/>
                <w:color w:val="auto"/>
              </w:rPr>
            </w:pPr>
            <w:r>
              <w:rPr>
                <w:rFonts w:ascii="Times New Roman" w:cs="Times New Roman" w:eastAsia="Times New Roman" w:hAnsi="Times New Roman"/>
                <w:sz w:val="22"/>
                <w:szCs w:val="22"/>
                <w:b w:val="1"/>
                <w:bCs w:val="1"/>
                <w:color w:val="auto"/>
                <w:w w:val="97"/>
              </w:rPr>
              <w:t>5959 Las Colinas Boulevard, Irving, Texas 75039-2298</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60" w:type="dxa"/>
            <w:vAlign w:val="bottom"/>
          </w:tcPr>
          <w:p>
            <w:pPr>
              <w:jc w:val="center"/>
              <w:ind w:left="175"/>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ind w:left="175"/>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960" w:type="dxa"/>
            <w:vAlign w:val="bottom"/>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0.142% Notes due 2024</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XOM24B</w:t>
            </w:r>
          </w:p>
        </w:tc>
        <w:tc>
          <w:tcPr>
            <w:tcW w:w="3960" w:type="dxa"/>
            <w:vAlign w:val="bottom"/>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960" w:type="dxa"/>
            <w:vAlign w:val="bottom"/>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960" w:type="dxa"/>
            <w:vAlign w:val="bottom"/>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960" w:type="dxa"/>
            <w:vAlign w:val="bottom"/>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1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97" w:right="1440"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398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Exxon Mobil Corporation 2Q22 Earnings Considerations.</w:t>
            </w:r>
          </w:p>
        </w:tc>
      </w:tr>
      <w:tr>
        <w:trPr>
          <w:trHeight w:val="539"/>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July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jc w:val="center"/>
        <w:ind w:left="6380"/>
        <w:spacing w:after="0"/>
        <w:rPr>
          <w:sz w:val="20"/>
          <w:szCs w:val="20"/>
          <w:color w:val="auto"/>
        </w:rPr>
      </w:pPr>
      <w:r>
        <w:rPr>
          <w:rFonts w:ascii="Times New Roman" w:cs="Times New Roman" w:eastAsia="Times New Roman" w:hAnsi="Times New Roman"/>
          <w:sz w:val="20"/>
          <w:szCs w:val="20"/>
          <w:color w:val="auto"/>
        </w:rPr>
        <w:t>Len M. Fox</w:t>
      </w:r>
    </w:p>
    <w:p>
      <w:pPr>
        <w:spacing w:after="0" w:line="28"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20"/>
          <w:szCs w:val="20"/>
          <w:color w:val="auto"/>
        </w:rPr>
        <w:t>Vice President and Controller</w:t>
      </w:r>
    </w:p>
    <w:p>
      <w:pPr>
        <w:spacing w:after="0" w:line="27"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ind w:left="1024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2Q22 Earnings Considerations</w:t>
      </w:r>
    </w:p>
    <w:p>
      <w:pPr>
        <w:spacing w:after="0" w:line="245"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To give perspective regarding market and planned factors affecting 2Q 2022 results, we are providing the following summary of factors management believes will impact 2Q 2022 results relative to 1Q 2022 results. These factors are generally limited to market dynamics, seasonal patterns, and planned activities. This list is not meant to be a comprehensive list of all changes between 1Q 2022 results and 2Q 2022 results or to provide an estimate of 2Q 2022 results for the Corporation. For example, the seasonality of base operating expenses (which are typically higher in the second quarter than in the first), unscheduled downtime, impacts from foreign exchange fluctuation, and other factors are not included below. Further, this list may not account for all adjustments and charges required to fully reflect the changes in industry conditions.</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 billions</w:t>
            </w:r>
          </w:p>
        </w:tc>
        <w:tc>
          <w:tcPr>
            <w:tcW w:w="164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rPr>
              <w:t>Upstream</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Energy</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8"/>
              </w:rPr>
              <w:t>Chemical</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rPr>
              <w:t>Specialty</w:t>
            </w:r>
          </w:p>
        </w:tc>
        <w:tc>
          <w:tcPr>
            <w:tcW w:w="13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Corp &amp; Fin</w:t>
            </w:r>
          </w:p>
        </w:tc>
        <w:tc>
          <w:tcPr>
            <w:tcW w:w="90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52"/>
        </w:trPr>
        <w:tc>
          <w:tcPr>
            <w:tcW w:w="372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1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Products</w:t>
            </w:r>
          </w:p>
        </w:tc>
        <w:tc>
          <w:tcPr>
            <w:tcW w:w="1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7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1Q22 earnings / (loss), U.S. GAAP</w:t>
            </w:r>
          </w:p>
        </w:tc>
        <w:tc>
          <w:tcPr>
            <w:tcW w:w="1640" w:type="dxa"/>
            <w:vAlign w:val="bottom"/>
          </w:tcPr>
          <w:p>
            <w:pPr>
              <w:jc w:val="right"/>
              <w:ind w:right="421"/>
              <w:spacing w:after="0"/>
              <w:rPr>
                <w:sz w:val="20"/>
                <w:szCs w:val="20"/>
                <w:color w:val="auto"/>
              </w:rPr>
            </w:pPr>
            <w:r>
              <w:rPr>
                <w:rFonts w:ascii="Arial" w:cs="Arial" w:eastAsia="Arial" w:hAnsi="Arial"/>
                <w:sz w:val="20"/>
                <w:szCs w:val="20"/>
                <w:b w:val="1"/>
                <w:bCs w:val="1"/>
                <w:color w:val="auto"/>
              </w:rPr>
              <w:t>4.5</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7"/>
              </w:rPr>
              <w:t>(0.2)</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rPr>
              <w:t>1.4</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rPr>
              <w:t>0.5</w:t>
            </w:r>
          </w:p>
        </w:tc>
        <w:tc>
          <w:tcPr>
            <w:tcW w:w="1320" w:type="dxa"/>
            <w:vAlign w:val="bottom"/>
          </w:tcPr>
          <w:p>
            <w:pPr>
              <w:jc w:val="center"/>
              <w:spacing w:after="0"/>
              <w:rPr>
                <w:sz w:val="20"/>
                <w:szCs w:val="20"/>
                <w:color w:val="auto"/>
              </w:rPr>
            </w:pPr>
            <w:r>
              <w:rPr>
                <w:rFonts w:ascii="Arial" w:cs="Arial" w:eastAsia="Arial" w:hAnsi="Arial"/>
                <w:sz w:val="20"/>
                <w:szCs w:val="20"/>
                <w:b w:val="1"/>
                <w:bCs w:val="1"/>
                <w:color w:val="auto"/>
                <w:w w:val="97"/>
              </w:rPr>
              <w:t>(0.7)</w:t>
            </w: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5.5</w:t>
            </w:r>
          </w:p>
        </w:tc>
        <w:tc>
          <w:tcPr>
            <w:tcW w:w="0" w:type="dxa"/>
            <w:vAlign w:val="bottom"/>
          </w:tcPr>
          <w:p>
            <w:pPr>
              <w:spacing w:after="0"/>
              <w:rPr>
                <w:sz w:val="1"/>
                <w:szCs w:val="1"/>
                <w:color w:val="auto"/>
              </w:rPr>
            </w:pPr>
          </w:p>
        </w:tc>
      </w:tr>
      <w:tr>
        <w:trPr>
          <w:trHeight w:val="43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1Q22 identified items</w:t>
            </w:r>
          </w:p>
        </w:tc>
        <w:tc>
          <w:tcPr>
            <w:tcW w:w="1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Impairments</w:t>
            </w:r>
          </w:p>
        </w:tc>
        <w:tc>
          <w:tcPr>
            <w:tcW w:w="16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(2.9)</w:t>
            </w:r>
          </w:p>
        </w:tc>
        <w:tc>
          <w:tcPr>
            <w:tcW w:w="1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(0.1)</w:t>
            </w:r>
          </w:p>
        </w:tc>
        <w:tc>
          <w:tcPr>
            <w:tcW w:w="90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77"/>
        </w:trPr>
        <w:tc>
          <w:tcPr>
            <w:tcW w:w="3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Other</w:t>
            </w:r>
          </w:p>
        </w:tc>
        <w:tc>
          <w:tcPr>
            <w:tcW w:w="16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(0.4)</w:t>
            </w: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368"/>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1Q22 earnings / (loss) excluding</w:t>
            </w:r>
          </w:p>
        </w:tc>
        <w:tc>
          <w:tcPr>
            <w:tcW w:w="1640" w:type="dxa"/>
            <w:vAlign w:val="bottom"/>
          </w:tcPr>
          <w:p>
            <w:pPr>
              <w:jc w:val="right"/>
              <w:ind w:right="421"/>
              <w:spacing w:after="0"/>
              <w:rPr>
                <w:sz w:val="20"/>
                <w:szCs w:val="20"/>
                <w:color w:val="auto"/>
              </w:rPr>
            </w:pPr>
            <w:r>
              <w:rPr>
                <w:rFonts w:ascii="Arial" w:cs="Arial" w:eastAsia="Arial" w:hAnsi="Arial"/>
                <w:sz w:val="20"/>
                <w:szCs w:val="20"/>
                <w:b w:val="1"/>
                <w:bCs w:val="1"/>
                <w:color w:val="auto"/>
              </w:rPr>
              <w:t>7.7</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7"/>
              </w:rPr>
              <w:t>(0.2)</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rPr>
              <w:t>1.4</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rPr>
              <w:t>0.5</w:t>
            </w:r>
          </w:p>
        </w:tc>
        <w:tc>
          <w:tcPr>
            <w:tcW w:w="1320" w:type="dxa"/>
            <w:vAlign w:val="bottom"/>
          </w:tcPr>
          <w:p>
            <w:pPr>
              <w:jc w:val="center"/>
              <w:spacing w:after="0"/>
              <w:rPr>
                <w:sz w:val="20"/>
                <w:szCs w:val="20"/>
                <w:color w:val="auto"/>
              </w:rPr>
            </w:pPr>
            <w:r>
              <w:rPr>
                <w:rFonts w:ascii="Arial" w:cs="Arial" w:eastAsia="Arial" w:hAnsi="Arial"/>
                <w:sz w:val="20"/>
                <w:szCs w:val="20"/>
                <w:b w:val="1"/>
                <w:bCs w:val="1"/>
                <w:color w:val="auto"/>
                <w:w w:val="97"/>
              </w:rPr>
              <w:t>(0.6)</w:t>
            </w: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8.8</w:t>
            </w:r>
          </w:p>
        </w:tc>
        <w:tc>
          <w:tcPr>
            <w:tcW w:w="0" w:type="dxa"/>
            <w:vAlign w:val="bottom"/>
          </w:tcPr>
          <w:p>
            <w:pPr>
              <w:spacing w:after="0"/>
              <w:rPr>
                <w:sz w:val="1"/>
                <w:szCs w:val="1"/>
                <w:color w:val="auto"/>
              </w:rPr>
            </w:pPr>
          </w:p>
        </w:tc>
      </w:tr>
      <w:tr>
        <w:trPr>
          <w:trHeight w:val="273"/>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identified items</w:t>
            </w:r>
          </w:p>
        </w:tc>
        <w:tc>
          <w:tcPr>
            <w:tcW w:w="1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Due to rounding, numbers presented above may not add up precisely to the totals indicated.</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market factors impacting 2Q22 results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liquids prices</w:t>
            </w:r>
          </w:p>
        </w:tc>
        <w:tc>
          <w:tcPr>
            <w:tcW w:w="1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rPr>
              <w:t>1.0 - 1.4</w:t>
            </w:r>
          </w:p>
        </w:tc>
        <w:tc>
          <w:tcPr>
            <w:tcW w:w="1260" w:type="dxa"/>
            <w:vAlign w:val="bottom"/>
            <w:tcBorders>
              <w:top w:val="single" w:sz="8" w:color="auto"/>
              <w:bottom w:val="single" w:sz="8" w:color="auto"/>
            </w:tcBorders>
          </w:tcPr>
          <w:p>
            <w:pPr>
              <w:spacing w:after="0"/>
              <w:rPr>
                <w:sz w:val="24"/>
                <w:szCs w:val="24"/>
                <w:color w:val="auto"/>
              </w:rPr>
            </w:pPr>
          </w:p>
        </w:tc>
        <w:tc>
          <w:tcPr>
            <w:tcW w:w="46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gas prices</w:t>
            </w: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1.5 - 1.9</w:t>
            </w:r>
          </w:p>
        </w:tc>
        <w:tc>
          <w:tcPr>
            <w:tcW w:w="1260" w:type="dxa"/>
            <w:vAlign w:val="bottom"/>
            <w:tcBorders>
              <w:bottom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industry margins</w:t>
            </w:r>
          </w:p>
        </w:tc>
        <w:tc>
          <w:tcPr>
            <w:tcW w:w="1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4.4 - 4.6</w:t>
            </w:r>
          </w:p>
        </w:tc>
        <w:tc>
          <w:tcPr>
            <w:tcW w:w="4640" w:type="dxa"/>
            <w:vAlign w:val="bottom"/>
            <w:tcBorders>
              <w:bottom w:val="single" w:sz="8" w:color="auto"/>
              <w:right w:val="single" w:sz="8" w:color="auto"/>
            </w:tcBorders>
          </w:tcPr>
          <w:p>
            <w:pPr>
              <w:jc w:val="right"/>
              <w:ind w:right="2261"/>
              <w:spacing w:after="0"/>
              <w:rPr>
                <w:sz w:val="20"/>
                <w:szCs w:val="20"/>
                <w:color w:val="auto"/>
              </w:rPr>
            </w:pPr>
            <w:r>
              <w:rPr>
                <w:rFonts w:ascii="Arial" w:cs="Arial" w:eastAsia="Arial" w:hAnsi="Arial"/>
                <w:sz w:val="20"/>
                <w:szCs w:val="20"/>
                <w:color w:val="auto"/>
              </w:rPr>
              <w:t>(0.1) - 0.1    (0.1) - 0.1</w:t>
            </w:r>
          </w:p>
        </w:tc>
        <w:tc>
          <w:tcPr>
            <w:tcW w:w="0" w:type="dxa"/>
            <w:vAlign w:val="bottom"/>
          </w:tcPr>
          <w:p>
            <w:pPr>
              <w:spacing w:after="0"/>
              <w:rPr>
                <w:sz w:val="1"/>
                <w:szCs w:val="1"/>
                <w:color w:val="auto"/>
              </w:rPr>
            </w:pPr>
          </w:p>
        </w:tc>
      </w:tr>
      <w:tr>
        <w:trPr>
          <w:trHeight w:val="235"/>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unsettled derivatives (mark-to-</w:t>
            </w:r>
          </w:p>
        </w:tc>
        <w:tc>
          <w:tcPr>
            <w:tcW w:w="1360" w:type="dxa"/>
            <w:vAlign w:val="bottom"/>
            <w:vMerge w:val="restart"/>
          </w:tcPr>
          <w:p>
            <w:pPr>
              <w:jc w:val="right"/>
              <w:ind w:right="201"/>
              <w:spacing w:after="0"/>
              <w:rPr>
                <w:sz w:val="20"/>
                <w:szCs w:val="20"/>
                <w:color w:val="auto"/>
              </w:rPr>
            </w:pPr>
            <w:r>
              <w:rPr>
                <w:rFonts w:ascii="Arial" w:cs="Arial" w:eastAsia="Arial" w:hAnsi="Arial"/>
                <w:sz w:val="20"/>
                <w:szCs w:val="20"/>
                <w:color w:val="auto"/>
              </w:rPr>
              <w:t>0.0 - 0.2</w:t>
            </w:r>
          </w:p>
        </w:tc>
        <w:tc>
          <w:tcPr>
            <w:tcW w:w="1260" w:type="dxa"/>
            <w:vAlign w:val="bottom"/>
            <w:vMerge w:val="restart"/>
          </w:tcPr>
          <w:p>
            <w:pPr>
              <w:jc w:val="right"/>
              <w:ind w:right="141"/>
              <w:spacing w:after="0"/>
              <w:rPr>
                <w:sz w:val="20"/>
                <w:szCs w:val="20"/>
                <w:color w:val="auto"/>
              </w:rPr>
            </w:pPr>
            <w:r>
              <w:rPr>
                <w:rFonts w:ascii="Arial" w:cs="Arial" w:eastAsia="Arial" w:hAnsi="Arial"/>
                <w:sz w:val="20"/>
                <w:szCs w:val="20"/>
                <w:color w:val="auto"/>
              </w:rPr>
              <w:t>0.7 - 0.9</w:t>
            </w:r>
          </w:p>
        </w:tc>
        <w:tc>
          <w:tcPr>
            <w:tcW w:w="4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40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market)</w:t>
            </w:r>
          </w:p>
        </w:tc>
        <w:tc>
          <w:tcPr>
            <w:tcW w:w="13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0" w:type="dxa"/>
            <w:vAlign w:val="bottom"/>
            <w:tcBorders>
              <w:left w:val="single" w:sz="8" w:color="auto"/>
              <w:bottom w:val="single" w:sz="8" w:color="auto"/>
            </w:tcBorders>
            <w:vMerge w:val="continue"/>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planned and seasonal factors, and other items impacting 2Q22 results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9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scheduled maintenance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 (0.1)</w:t>
            </w:r>
          </w:p>
        </w:tc>
        <w:tc>
          <w:tcPr>
            <w:tcW w:w="1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(0.1) - 0.1</w:t>
            </w:r>
          </w:p>
        </w:tc>
        <w:tc>
          <w:tcPr>
            <w:tcW w:w="4620" w:type="dxa"/>
            <w:vAlign w:val="bottom"/>
            <w:tcBorders>
              <w:top w:val="single" w:sz="8" w:color="auto"/>
              <w:bottom w:val="single" w:sz="8" w:color="auto"/>
              <w:right w:val="single" w:sz="8" w:color="auto"/>
            </w:tcBorders>
          </w:tcPr>
          <w:p>
            <w:pPr>
              <w:jc w:val="right"/>
              <w:ind w:right="2261"/>
              <w:spacing w:after="0"/>
              <w:rPr>
                <w:sz w:val="20"/>
                <w:szCs w:val="20"/>
                <w:color w:val="auto"/>
              </w:rPr>
            </w:pPr>
            <w:r>
              <w:rPr>
                <w:rFonts w:ascii="Arial" w:cs="Arial" w:eastAsia="Arial" w:hAnsi="Arial"/>
                <w:sz w:val="20"/>
                <w:szCs w:val="20"/>
                <w:color w:val="auto"/>
              </w:rPr>
              <w:t>(0.1) - 0.1    (0.1) - 0.1</w:t>
            </w:r>
          </w:p>
        </w:tc>
        <w:tc>
          <w:tcPr>
            <w:tcW w:w="0" w:type="dxa"/>
            <w:vAlign w:val="bottom"/>
          </w:tcPr>
          <w:p>
            <w:pPr>
              <w:spacing w:after="0"/>
              <w:rPr>
                <w:sz w:val="1"/>
                <w:szCs w:val="1"/>
                <w:color w:val="auto"/>
              </w:rPr>
            </w:pPr>
          </w:p>
        </w:tc>
      </w:tr>
      <w:tr>
        <w:trPr>
          <w:trHeight w:val="277"/>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seasonal gas demand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(0.1)</w:t>
            </w:r>
          </w:p>
        </w:tc>
        <w:tc>
          <w:tcPr>
            <w:tcW w:w="1260" w:type="dxa"/>
            <w:vAlign w:val="bottom"/>
            <w:tcBorders>
              <w:bottom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Absence of 1Q22 weather-related impacts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- 0.3</w:t>
            </w:r>
          </w:p>
        </w:tc>
        <w:tc>
          <w:tcPr>
            <w:tcW w:w="1260" w:type="dxa"/>
            <w:vAlign w:val="bottom"/>
            <w:tcBorders>
              <w:bottom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9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Day effect (additional day in 2Q22 versus</w:t>
            </w:r>
          </w:p>
        </w:tc>
        <w:tc>
          <w:tcPr>
            <w:tcW w:w="1420" w:type="dxa"/>
            <w:vAlign w:val="bottom"/>
            <w:gridSpan w:val="2"/>
            <w:vMerge w:val="restart"/>
          </w:tcPr>
          <w:p>
            <w:pPr>
              <w:jc w:val="right"/>
              <w:ind w:right="401"/>
              <w:spacing w:after="0"/>
              <w:rPr>
                <w:sz w:val="20"/>
                <w:szCs w:val="20"/>
                <w:color w:val="auto"/>
              </w:rPr>
            </w:pPr>
            <w:r>
              <w:rPr>
                <w:rFonts w:ascii="Arial" w:cs="Arial" w:eastAsia="Arial" w:hAnsi="Arial"/>
                <w:sz w:val="20"/>
                <w:szCs w:val="20"/>
                <w:color w:val="auto"/>
              </w:rPr>
              <w:t>~0.1</w:t>
            </w:r>
          </w:p>
        </w:tc>
        <w:tc>
          <w:tcPr>
            <w:tcW w:w="1260" w:type="dxa"/>
            <w:vAlign w:val="bottom"/>
            <w:vMerge w:val="restart"/>
          </w:tcPr>
          <w:p>
            <w:pPr>
              <w:jc w:val="right"/>
              <w:ind w:right="321"/>
              <w:spacing w:after="0"/>
              <w:rPr>
                <w:sz w:val="20"/>
                <w:szCs w:val="20"/>
                <w:color w:val="auto"/>
              </w:rPr>
            </w:pPr>
            <w:r>
              <w:rPr>
                <w:rFonts w:ascii="Arial" w:cs="Arial" w:eastAsia="Arial" w:hAnsi="Arial"/>
                <w:sz w:val="20"/>
                <w:szCs w:val="20"/>
                <w:color w:val="auto"/>
              </w:rPr>
              <w:t>~0.1</w:t>
            </w:r>
          </w:p>
        </w:tc>
        <w:tc>
          <w:tcPr>
            <w:tcW w:w="4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396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1Q22)</w:t>
            </w:r>
          </w:p>
        </w:tc>
        <w:tc>
          <w:tcPr>
            <w:tcW w:w="14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tcBorders>
              <w:left w:val="single" w:sz="8" w:color="auto"/>
              <w:bottom w:val="single" w:sz="8" w:color="auto"/>
            </w:tcBorders>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Russia production impact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(0.1)</w:t>
            </w:r>
          </w:p>
        </w:tc>
        <w:tc>
          <w:tcPr>
            <w:tcW w:w="1260" w:type="dxa"/>
            <w:vAlign w:val="bottom"/>
            <w:tcBorders>
              <w:bottom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Identified Items</w:t>
            </w: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Announced U.S. divestment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- 0.4</w:t>
            </w:r>
          </w:p>
        </w:tc>
        <w:tc>
          <w:tcPr>
            <w:tcW w:w="1260" w:type="dxa"/>
            <w:vAlign w:val="bottom"/>
            <w:tcBorders>
              <w:bottom w:val="single" w:sz="8" w:color="auto"/>
            </w:tcBorders>
          </w:tcPr>
          <w:p>
            <w:pPr>
              <w:spacing w:after="0"/>
              <w:rPr>
                <w:sz w:val="23"/>
                <w:szCs w:val="23"/>
                <w:color w:val="auto"/>
              </w:rPr>
            </w:pPr>
          </w:p>
        </w:tc>
        <w:tc>
          <w:tcPr>
            <w:tcW w:w="46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62" w:right="319" w:bottom="1440" w:gutter="0" w:footer="0" w:header="0"/>
        </w:sectPr>
      </w:pPr>
    </w:p>
    <w:bookmarkStart w:id="5" w:name="page6"/>
    <w:bookmarkEnd w:id="5"/>
    <w:p>
      <w:pPr>
        <w:ind w:right="40"/>
        <w:spacing w:after="0" w:line="242" w:lineRule="auto"/>
        <w:rPr>
          <w:sz w:val="20"/>
          <w:szCs w:val="20"/>
          <w:color w:val="auto"/>
        </w:rPr>
      </w:pPr>
      <w:r>
        <w:rPr>
          <w:rFonts w:ascii="Arial" w:cs="Arial" w:eastAsia="Arial" w:hAnsi="Arial"/>
          <w:sz w:val="20"/>
          <w:szCs w:val="20"/>
          <w:color w:val="auto"/>
        </w:rPr>
        <w:t>This information is only intended to provide additional information regarding current estimates of certain limited market and planned factors management believes will likely affect results for 2Q 2022 relative to 1Q 2022 to assist investors, analysts and others in formulating their own estimates. It is not intended to be a comprehensive presentation of all factors that will affect the Corporation’s sequential results or to provide an estimate of the Corporation’s 2Q 2022 results. Actual results and the impact of factors identified here may vary depending on the impact of other factors not identified here and are subject to finalization of the Corporation’s financial reporting process for 2Q 2022. Further, this list may not account for all adjustments and charges required to fully reflect the changes in industry conditions. For more information regarding the Product Solutions segments, including Energy Products, Chemical Products and Specialty Products, see Form 8-K filed on June 17, 2022.</w:t>
      </w:r>
    </w:p>
    <w:p>
      <w:pPr>
        <w:spacing w:after="0" w:line="21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2Q 2022 may vary from our estimates for a number of reasons, including additional unidentified factors related to: sales volume and sales mix numbers; supply and demand imbalances; regional pricing differentials and refining and chemical margins; global and regional hostilities, war, terrorism, or civil unrest and its impact on markets and our assets around the world; resolution of trading and derivative positions for the quarter; price impacts and the broader government responses to public health events;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changes in regulatory policies and any associated liabilities; changes in asset valuation or estimates of fair value as of a certain date; updates or corrections of any estimate used herein; and other market conditions in the oil, natural gas, petroleum, and petrochemical industries. Furthermore, additional factors may exist that will be relevant to 2Q 2022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0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Earnings / (loss) excluding identified items is defined as earnings / (loss) excluding individually significant non-operational events with an absolute corporate total earnings impact of at least $250 million in a given quarter. The earnings impact of an identified item for an individual segment may be less than $ 250 million when the item impacts several periods or several segments. Earnings / (loss) excluding identified items does include non-operational earnings events or impacts that are below the $250M threshold utilized for identified items. When the effect of these events are material in aggregate, they are indicated in analysis of period results as part of quarterly earnings press release and teleconference materials.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excluding Identified Items is not meant to be viewed in isolation or as a substitute for net income (loss) attributable to ExxonMobil as prepared in accordance with U.S. GAAP.</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In accordance with Regulation FD, we are hereby providing notice that the Company currently intends to furnish its second quarter 2022 financial results both (1) by posting them on our website at www.exxonmobil.com and (2) in a filing on Form 8-K in the Securities and Exchange Commission EDGAR system, each at approximately 5:30 a.m. CT Friday, July 29, 2022. In the event that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July 29, 2022.</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320" w:top="7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2022-07-01T15:25:10Z</dcterms:created>
  <dcterms:modified xsi:type="dcterms:W3CDTF">2022-07-01T15:25:10Z</dcterms:modified>
</cp:coreProperties>
</file>